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lang w:val="fr-FR"/>
        </w:rPr>
      </w:pPr>
      <w:r>
        <w:rPr>
          <w:lang w:val="fr-FR"/>
        </w:rPr>
      </w:r>
    </w:p>
    <w:p>
      <w:pPr>
        <w:pStyle w:val="PA"/>
        <w:rPr>
          <w:lang w:val="fr-FR"/>
        </w:rPr>
      </w:pPr>
      <w:r>
        <w:rPr>
          <w:lang w:val="fr-FR"/>
        </w:rPr>
      </w:r>
    </w:p>
    <w:p>
      <w:pPr>
        <w:pStyle w:val="PA"/>
        <w:rPr>
          <w:lang w:val="fr-FR"/>
        </w:rPr>
      </w:pPr>
      <w:r>
        <w:rPr>
          <w:lang w:val="fr-FR"/>
        </w:rPr>
        <w:t>Ville de Marseille - Mairie de Marseille</w:t>
      </w:r>
    </w:p>
    <w:p>
      <w:pPr>
        <w:pStyle w:val="Textbody"/>
        <w:rPr>
          <w:lang w:val="fr-FR"/>
        </w:rPr>
      </w:pPr>
      <w:r>
        <w:rPr>
          <w:lang w:val="fr-FR"/>
        </w:rPr>
      </w:r>
    </w:p>
    <w:p>
      <w:pPr>
        <w:pStyle w:val="Direction"/>
        <w:rPr>
          <w:lang w:val="fr-FR"/>
        </w:rPr>
      </w:pPr>
      <w:r>
        <w:rPr>
          <w:lang w:val="fr-FR"/>
        </w:rPr>
        <w:t>DGAJSP (90001)</w:t>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TypeDocument3"/>
        <w:rPr>
          <w:lang w:val="fr-FR"/>
        </w:rPr>
      </w:pPr>
      <w:r>
        <w:rPr>
          <w:lang w:val="fr-FR"/>
        </w:rPr>
        <w:t>Cahier des clauses administratives particulières</w:t>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Intitule2"/>
        <w:rPr>
          <w:lang w:val="fr-FR"/>
        </w:rPr>
      </w:pPr>
      <w:r>
        <w:rPr>
          <w:lang w:val="fr-FR"/>
        </w:rPr>
      </w:r>
    </w:p>
    <w:p>
      <w:pPr>
        <w:pStyle w:val="Intitule2"/>
        <w:rPr>
          <w:lang w:val="fr-FR"/>
        </w:rPr>
      </w:pPr>
      <w:r>
        <w:rPr>
          <w:lang w:val="fr-FR"/>
        </w:rPr>
        <w:t>Prestations de service en vue de la sensibilisation et de la prévention des conduites à risques chez les jeunes  (2 lots)</w:t>
      </w:r>
    </w:p>
    <w:p>
      <w:pPr>
        <w:pStyle w:val="Intitule2"/>
        <w:rPr>
          <w:lang w:val="fr-FR"/>
        </w:rPr>
      </w:pPr>
      <w:r>
        <w:rPr>
          <w:lang w:val="fr-FR"/>
        </w:rPr>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Textbody"/>
        <w:rPr>
          <w:lang w:val="fr-FR"/>
        </w:rPr>
      </w:pPr>
      <w:r>
        <w:rPr>
          <w:lang w:val="fr-FR"/>
        </w:rPr>
      </w:r>
    </w:p>
    <w:p>
      <w:pPr>
        <w:pStyle w:val="NumeroConsultation"/>
        <w:rPr>
          <w:lang w:val="fr-FR"/>
        </w:rPr>
      </w:pPr>
      <w:r>
        <w:rPr>
          <w:lang w:val="fr-FR"/>
        </w:rPr>
        <w:t>Numéro de la consultation</w:t>
        <w:tab/>
        <w:t>:</w:t>
        <w:tab/>
        <w:t>23_3231</w:t>
      </w:r>
    </w:p>
    <w:p>
      <w:pPr>
        <w:pStyle w:val="Standard"/>
        <w:rPr>
          <w:shd w:fill="FFFFFF" w:val="clear"/>
          <w:lang w:val="fr-FR"/>
        </w:rPr>
      </w:pPr>
      <w:r>
        <w:rPr>
          <w:shd w:fill="FFFFFF" w:val="clear"/>
          <w:lang w:val="fr-FR"/>
        </w:rPr>
      </w:r>
    </w:p>
    <w:p>
      <w:pPr>
        <w:pStyle w:val="Standard"/>
        <w:rPr>
          <w:lang w:val="fr-FR"/>
        </w:rPr>
      </w:pPr>
      <w:r>
        <w:rPr>
          <w:lang w:val="fr-FR"/>
        </w:rPr>
      </w:r>
    </w:p>
    <w:p>
      <w:pPr>
        <w:pStyle w:val="Procedure"/>
        <w:rPr>
          <w:lang w:val="fr-FR"/>
        </w:rPr>
      </w:pPr>
      <w:r>
        <w:rPr>
          <w:lang w:val="fr-FR"/>
        </w:rPr>
        <w:t>Procédure de passation :</w:t>
        <w:tab/>
      </w:r>
      <w:r>
        <w:rPr>
          <w:shd w:fill="FFFFFF" w:val="clear"/>
          <w:lang w:val="fr-FR"/>
        </w:rPr>
        <w:t>Marché à Procédure Adaptée</w:t>
      </w:r>
    </w:p>
    <w:p>
      <w:pPr>
        <w:pStyle w:val="Standard"/>
        <w:rPr>
          <w:shd w:fill="FFFFFF" w:val="clear"/>
          <w:lang w:val="fr-FR"/>
        </w:rPr>
      </w:pPr>
      <w:r>
        <w:rPr>
          <w:shd w:fill="FFFFFF" w:val="clear"/>
          <w:lang w:val="fr-FR"/>
        </w:rPr>
      </w:r>
    </w:p>
    <w:p>
      <w:pPr>
        <w:pStyle w:val="DateLimite"/>
        <w:rPr>
          <w:lang w:val="fr-FR"/>
        </w:rPr>
      </w:pPr>
      <w:r>
        <w:rPr>
          <w:lang w:val="fr-FR"/>
        </w:rPr>
      </w:r>
    </w:p>
    <w:p>
      <w:pPr>
        <w:pStyle w:val="DateLimite"/>
        <w:rPr>
          <w:lang w:val="fr-FR"/>
        </w:rPr>
      </w:pPr>
      <w:r>
        <w:rPr>
          <w:lang w:val="fr-FR"/>
        </w:rPr>
        <w:t>Date de notification :</w:t>
        <w:tab/>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DateLimite"/>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shd w:fill="FFFFFF" w:val="clear"/>
          <w:lang w:val="fr-FR"/>
        </w:rPr>
      </w:pPr>
      <w:r>
        <w:rPr>
          <w:shd w:fill="FFFFFF" w:val="clear"/>
          <w:lang w:val="fr-FR"/>
        </w:rPr>
      </w:r>
    </w:p>
    <w:sdt>
      <w:sdtPr>
        <w:docPartObj>
          <w:docPartGallery w:val="Table of Contents"/>
          <w:docPartUnique w:val="true"/>
        </w:docPartObj>
      </w:sdtPr>
      <w:sdtContent>
        <w:p>
          <w:pPr>
            <w:pStyle w:val="Titredetabledesmatires"/>
            <w:ind w:hanging="0"/>
            <w:rPr>
              <w:lang w:val="fr-FR"/>
            </w:rPr>
          </w:pPr>
          <w:r>
            <w:rPr>
              <w:lang w:val="fr-FR"/>
            </w:rPr>
            <w:t>Table des matières</w:t>
          </w:r>
        </w:p>
        <w:p>
          <w:pPr>
            <w:pStyle w:val="Tabledesmatiresniveau1"/>
            <w:tabs>
              <w:tab w:val="clear" w:pos="408"/>
              <w:tab w:val="left" w:pos="1320" w:leader="none"/>
              <w:tab w:val="right" w:pos="8290" w:leader="dot"/>
            </w:tabs>
            <w:rPr/>
          </w:pPr>
          <w:r>
            <w:fldChar w:fldCharType="begin"/>
          </w:r>
          <w:r>
            <w:rPr>
              <w:webHidden/>
              <w:rStyle w:val="Sautdindex"/>
              <w:vanish w:val="false"/>
              <w:lang w:val="fr-FR"/>
            </w:rPr>
            <w:instrText> TOC \z \o "1-3" \u \h</w:instrText>
          </w:r>
          <w:r>
            <w:rPr>
              <w:webHidden/>
              <w:rStyle w:val="Sautdindex"/>
              <w:vanish w:val="false"/>
              <w:lang w:val="fr-FR"/>
            </w:rPr>
            <w:fldChar w:fldCharType="separate"/>
          </w:r>
          <w:hyperlink w:anchor="_Toc142644612">
            <w:r>
              <w:rPr>
                <w:webHidden/>
                <w:rStyle w:val="Sautdindex"/>
                <w:vanish w:val="false"/>
                <w:lang w:val="fr-FR"/>
              </w:rPr>
              <w:t>Article 1 -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OBJET ET DUREE DU MARCHE</w:t>
            </w:r>
            <w:r>
              <w:rPr>
                <w:webHidden/>
              </w:rPr>
              <w:fldChar w:fldCharType="begin"/>
            </w:r>
            <w:r>
              <w:rPr>
                <w:webHidden/>
              </w:rPr>
              <w:instrText>PAGEREF _Toc142644612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13">
            <w:r>
              <w:rPr>
                <w:webHidden/>
                <w:rStyle w:val="Sautdindex"/>
                <w:vanish w:val="false"/>
                <w:lang w:val="fr-FR"/>
              </w:rPr>
              <w:t>1.1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Intitulé et Objet des prestations</w:t>
            </w:r>
            <w:r>
              <w:rPr>
                <w:webHidden/>
              </w:rPr>
              <w:fldChar w:fldCharType="begin"/>
            </w:r>
            <w:r>
              <w:rPr>
                <w:webHidden/>
              </w:rPr>
              <w:instrText>PAGEREF _Toc142644613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14">
            <w:r>
              <w:rPr>
                <w:webHidden/>
                <w:rStyle w:val="Sautdindex"/>
                <w:vanish w:val="false"/>
                <w:lang w:val="fr-FR"/>
              </w:rPr>
              <w:t>1.2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Procédure</w:t>
            </w:r>
            <w:r>
              <w:rPr>
                <w:webHidden/>
              </w:rPr>
              <w:fldChar w:fldCharType="begin"/>
            </w:r>
            <w:r>
              <w:rPr>
                <w:webHidden/>
              </w:rPr>
              <w:instrText>PAGEREF _Toc142644614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15">
            <w:r>
              <w:rPr>
                <w:webHidden/>
                <w:rStyle w:val="Sautdindex"/>
                <w:vanish w:val="false"/>
                <w:lang w:val="fr-FR"/>
              </w:rPr>
              <w:t>1.3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Décomposition en Lots, Tranches et postes</w:t>
            </w:r>
            <w:r>
              <w:rPr>
                <w:webHidden/>
              </w:rPr>
              <w:fldChar w:fldCharType="begin"/>
            </w:r>
            <w:r>
              <w:rPr>
                <w:webHidden/>
              </w:rPr>
              <w:instrText>PAGEREF _Toc142644615 \h</w:instrText>
            </w:r>
            <w:r>
              <w:rPr>
                <w:webHidden/>
              </w:rPr>
              <w:fldChar w:fldCharType="separate"/>
            </w:r>
            <w:r>
              <w:rPr>
                <w:rStyle w:val="Sautdindex"/>
                <w:vanish w:val="false"/>
                <w:lang w:val="fr-FR"/>
              </w:rPr>
              <w:tab/>
              <w:t>3</w:t>
            </w:r>
            <w:r>
              <w:rPr>
                <w:webHidden/>
              </w:rPr>
              <w:fldChar w:fldCharType="end"/>
            </w:r>
          </w:hyperlink>
        </w:p>
        <w:p>
          <w:pPr>
            <w:pStyle w:val="Tabledesmatiresniveau3"/>
            <w:tabs>
              <w:tab w:val="clear" w:pos="408"/>
              <w:tab w:val="left" w:pos="1320" w:leader="none"/>
              <w:tab w:val="right" w:pos="8290" w:leader="dot"/>
            </w:tabs>
            <w:rPr/>
          </w:pPr>
          <w:hyperlink w:anchor="_Toc142644616">
            <w:r>
              <w:rPr>
                <w:webHidden/>
                <w:rStyle w:val="Sautdindex"/>
                <w:vanish w:val="false"/>
                <w:lang w:val="fr-FR"/>
              </w:rPr>
              <w:t>1.3.1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Décomposition en lots</w:t>
            </w:r>
            <w:r>
              <w:rPr>
                <w:webHidden/>
              </w:rPr>
              <w:fldChar w:fldCharType="begin"/>
            </w:r>
            <w:r>
              <w:rPr>
                <w:webHidden/>
              </w:rPr>
              <w:instrText>PAGEREF _Toc142644616 \h</w:instrText>
            </w:r>
            <w:r>
              <w:rPr>
                <w:webHidden/>
              </w:rPr>
              <w:fldChar w:fldCharType="separate"/>
            </w:r>
            <w:r>
              <w:rPr>
                <w:rStyle w:val="Sautdindex"/>
                <w:vanish w:val="false"/>
                <w:lang w:val="fr-FR"/>
              </w:rPr>
              <w:tab/>
              <w:t>3</w:t>
            </w:r>
            <w:r>
              <w:rPr>
                <w:webHidden/>
              </w:rPr>
              <w:fldChar w:fldCharType="end"/>
            </w:r>
          </w:hyperlink>
        </w:p>
        <w:p>
          <w:pPr>
            <w:pStyle w:val="Tabledesmatiresniveau3"/>
            <w:tabs>
              <w:tab w:val="clear" w:pos="408"/>
              <w:tab w:val="left" w:pos="1320" w:leader="none"/>
              <w:tab w:val="right" w:pos="8290" w:leader="dot"/>
            </w:tabs>
            <w:rPr/>
          </w:pPr>
          <w:hyperlink w:anchor="_Toc142644617">
            <w:r>
              <w:rPr>
                <w:webHidden/>
                <w:rStyle w:val="Sautdindex"/>
                <w:vanish w:val="false"/>
                <w:lang w:val="fr-FR"/>
              </w:rPr>
              <w:t>1.3.2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Décomposition en tranches</w:t>
            </w:r>
            <w:r>
              <w:rPr>
                <w:webHidden/>
              </w:rPr>
              <w:fldChar w:fldCharType="begin"/>
            </w:r>
            <w:r>
              <w:rPr>
                <w:webHidden/>
              </w:rPr>
              <w:instrText>PAGEREF _Toc142644617 \h</w:instrText>
            </w:r>
            <w:r>
              <w:rPr>
                <w:webHidden/>
              </w:rPr>
              <w:fldChar w:fldCharType="separate"/>
            </w:r>
            <w:r>
              <w:rPr>
                <w:rStyle w:val="Sautdindex"/>
                <w:vanish w:val="false"/>
                <w:lang w:val="fr-FR"/>
              </w:rPr>
              <w:tab/>
              <w:t>3</w:t>
            </w:r>
            <w:r>
              <w:rPr>
                <w:webHidden/>
              </w:rPr>
              <w:fldChar w:fldCharType="end"/>
            </w:r>
          </w:hyperlink>
        </w:p>
        <w:p>
          <w:pPr>
            <w:pStyle w:val="Tabledesmatiresniveau3"/>
            <w:tabs>
              <w:tab w:val="clear" w:pos="408"/>
              <w:tab w:val="left" w:pos="1320" w:leader="none"/>
              <w:tab w:val="right" w:pos="8290" w:leader="dot"/>
            </w:tabs>
            <w:rPr/>
          </w:pPr>
          <w:hyperlink w:anchor="_Toc142644618">
            <w:r>
              <w:rPr>
                <w:webHidden/>
                <w:rStyle w:val="Sautdindex"/>
                <w:vanish w:val="false"/>
                <w:lang w:val="fr-FR"/>
              </w:rPr>
              <w:t>1.3.3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Décomposition en postes</w:t>
            </w:r>
            <w:r>
              <w:rPr>
                <w:webHidden/>
              </w:rPr>
              <w:fldChar w:fldCharType="begin"/>
            </w:r>
            <w:r>
              <w:rPr>
                <w:webHidden/>
              </w:rPr>
              <w:instrText>PAGEREF _Toc142644618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19">
            <w:r>
              <w:rPr>
                <w:webHidden/>
                <w:rStyle w:val="Sautdindex"/>
                <w:vanish w:val="false"/>
                <w:lang w:val="fr-FR"/>
              </w:rPr>
              <w:t>1.4</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Modalités d'exécution des tranches optionnelles</w:t>
            </w:r>
            <w:r>
              <w:rPr>
                <w:webHidden/>
              </w:rPr>
              <w:fldChar w:fldCharType="begin"/>
            </w:r>
            <w:r>
              <w:rPr>
                <w:webHidden/>
              </w:rPr>
              <w:instrText>PAGEREF _Toc142644619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20">
            <w:r>
              <w:rPr>
                <w:webHidden/>
                <w:rStyle w:val="Sautdindex"/>
                <w:vanish w:val="false"/>
                <w:lang w:val="fr-FR"/>
              </w:rPr>
              <w:t>1.5</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Accord-cadre à bons de commande</w:t>
            </w:r>
            <w:r>
              <w:rPr>
                <w:webHidden/>
              </w:rPr>
              <w:fldChar w:fldCharType="begin"/>
            </w:r>
            <w:r>
              <w:rPr>
                <w:webHidden/>
              </w:rPr>
              <w:instrText>PAGEREF _Toc142644620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21">
            <w:r>
              <w:rPr>
                <w:webHidden/>
                <w:rStyle w:val="Sautdindex"/>
                <w:vanish w:val="false"/>
                <w:lang w:val="fr-FR"/>
              </w:rPr>
              <w:t>1.6</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Date d'effet du marché</w:t>
            </w:r>
            <w:r>
              <w:rPr>
                <w:webHidden/>
              </w:rPr>
              <w:fldChar w:fldCharType="begin"/>
            </w:r>
            <w:r>
              <w:rPr>
                <w:webHidden/>
              </w:rPr>
              <w:instrText>PAGEREF _Toc142644621 \h</w:instrText>
            </w:r>
            <w:r>
              <w:rPr>
                <w:webHidden/>
              </w:rPr>
              <w:fldChar w:fldCharType="separate"/>
            </w:r>
            <w:r>
              <w:rPr>
                <w:rStyle w:val="Sautdindex"/>
                <w:vanish w:val="false"/>
                <w:lang w:val="fr-FR"/>
              </w:rPr>
              <w:tab/>
              <w:t>3</w:t>
            </w:r>
            <w:r>
              <w:rPr>
                <w:webHidden/>
              </w:rPr>
              <w:fldChar w:fldCharType="end"/>
            </w:r>
          </w:hyperlink>
        </w:p>
        <w:p>
          <w:pPr>
            <w:pStyle w:val="Tabledesmatiresniveau2"/>
            <w:tabs>
              <w:tab w:val="clear" w:pos="408"/>
              <w:tab w:val="left" w:pos="880" w:leader="none"/>
              <w:tab w:val="right" w:pos="8290" w:leader="dot"/>
            </w:tabs>
            <w:rPr/>
          </w:pPr>
          <w:hyperlink w:anchor="_Toc142644622">
            <w:r>
              <w:rPr>
                <w:webHidden/>
                <w:rStyle w:val="Sautdindex"/>
                <w:vanish w:val="false"/>
                <w:lang w:val="fr-FR"/>
              </w:rPr>
              <w:t>1.7</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Durée du marché - Période de validité</w:t>
            </w:r>
            <w:r>
              <w:rPr>
                <w:webHidden/>
              </w:rPr>
              <w:fldChar w:fldCharType="begin"/>
            </w:r>
            <w:r>
              <w:rPr>
                <w:webHidden/>
              </w:rPr>
              <w:instrText>PAGEREF _Toc142644622 \h</w:instrText>
            </w:r>
            <w:r>
              <w:rPr>
                <w:webHidden/>
              </w:rPr>
              <w:fldChar w:fldCharType="separate"/>
            </w:r>
            <w:r>
              <w:rPr>
                <w:rStyle w:val="Sautdindex"/>
                <w:vanish w:val="false"/>
                <w:lang w:val="fr-FR"/>
              </w:rPr>
              <w:tab/>
              <w:t>4</w:t>
            </w:r>
            <w:r>
              <w:rPr>
                <w:webHidden/>
              </w:rPr>
              <w:fldChar w:fldCharType="end"/>
            </w:r>
          </w:hyperlink>
        </w:p>
        <w:p>
          <w:pPr>
            <w:pStyle w:val="Tabledesmatiresniveau2"/>
            <w:tabs>
              <w:tab w:val="clear" w:pos="408"/>
              <w:tab w:val="left" w:pos="880" w:leader="none"/>
              <w:tab w:val="right" w:pos="8290" w:leader="dot"/>
            </w:tabs>
            <w:rPr/>
          </w:pPr>
          <w:hyperlink w:anchor="_Toc142644623">
            <w:r>
              <w:rPr>
                <w:webHidden/>
                <w:rStyle w:val="Sautdindex"/>
                <w:vanish w:val="false"/>
                <w:lang w:val="fr-FR"/>
              </w:rPr>
              <w:t>1.8</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Clause obligatoire d'insertion par l'activité économique</w:t>
            </w:r>
            <w:r>
              <w:rPr>
                <w:webHidden/>
              </w:rPr>
              <w:fldChar w:fldCharType="begin"/>
            </w:r>
            <w:r>
              <w:rPr>
                <w:webHidden/>
              </w:rPr>
              <w:instrText>PAGEREF _Toc142644623 \h</w:instrText>
            </w:r>
            <w:r>
              <w:rPr>
                <w:webHidden/>
              </w:rPr>
              <w:fldChar w:fldCharType="separate"/>
            </w:r>
            <w:r>
              <w:rPr>
                <w:rStyle w:val="Sautdindex"/>
                <w:vanish w:val="false"/>
                <w:lang w:val="fr-FR"/>
              </w:rPr>
              <w:tab/>
              <w:t>4</w:t>
            </w:r>
            <w:r>
              <w:rPr>
                <w:webHidden/>
              </w:rPr>
              <w:fldChar w:fldCharType="end"/>
            </w:r>
          </w:hyperlink>
        </w:p>
        <w:p>
          <w:pPr>
            <w:pStyle w:val="Tabledesmatiresniveau1"/>
            <w:tabs>
              <w:tab w:val="clear" w:pos="408"/>
              <w:tab w:val="left" w:pos="1320" w:leader="none"/>
              <w:tab w:val="right" w:pos="8290" w:leader="dot"/>
            </w:tabs>
            <w:rPr/>
          </w:pPr>
          <w:hyperlink w:anchor="_Toc142644624">
            <w:r>
              <w:rPr>
                <w:webHidden/>
                <w:rStyle w:val="Sautdindex"/>
                <w:vanish w:val="false"/>
                <w:lang w:val="fr-FR"/>
              </w:rPr>
              <w:t>Article 2 -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DOCUMENTS CONTRACTUELS</w:t>
            </w:r>
            <w:r>
              <w:rPr>
                <w:webHidden/>
              </w:rPr>
              <w:fldChar w:fldCharType="begin"/>
            </w:r>
            <w:r>
              <w:rPr>
                <w:webHidden/>
              </w:rPr>
              <w:instrText>PAGEREF _Toc142644624 \h</w:instrText>
            </w:r>
            <w:r>
              <w:rPr>
                <w:webHidden/>
              </w:rPr>
              <w:fldChar w:fldCharType="separate"/>
            </w:r>
            <w:r>
              <w:rPr>
                <w:rStyle w:val="Sautdindex"/>
                <w:vanish w:val="false"/>
                <w:lang w:val="fr-FR"/>
              </w:rPr>
              <w:tab/>
              <w:t>4</w:t>
            </w:r>
            <w:r>
              <w:rPr>
                <w:webHidden/>
              </w:rPr>
              <w:fldChar w:fldCharType="end"/>
            </w:r>
          </w:hyperlink>
        </w:p>
        <w:p>
          <w:pPr>
            <w:pStyle w:val="Tabledesmatiresniveau1"/>
            <w:tabs>
              <w:tab w:val="clear" w:pos="408"/>
              <w:tab w:val="left" w:pos="1320" w:leader="none"/>
              <w:tab w:val="right" w:pos="8290" w:leader="dot"/>
            </w:tabs>
            <w:rPr/>
          </w:pPr>
          <w:hyperlink w:anchor="_Toc142644625">
            <w:r>
              <w:rPr>
                <w:webHidden/>
                <w:rStyle w:val="Sautdindex"/>
                <w:vanish w:val="false"/>
                <w:lang w:val="fr-FR"/>
              </w:rPr>
              <w:t>Article 3 -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DELAIS DE LIVRAISON ET/OU D'EXECUTION</w:t>
            </w:r>
            <w:r>
              <w:rPr>
                <w:webHidden/>
              </w:rPr>
              <w:fldChar w:fldCharType="begin"/>
            </w:r>
            <w:r>
              <w:rPr>
                <w:webHidden/>
              </w:rPr>
              <w:instrText>PAGEREF _Toc142644625 \h</w:instrText>
            </w:r>
            <w:r>
              <w:rPr>
                <w:webHidden/>
              </w:rPr>
              <w:fldChar w:fldCharType="separate"/>
            </w:r>
            <w:r>
              <w:rPr>
                <w:rStyle w:val="Sautdindex"/>
                <w:vanish w:val="false"/>
                <w:lang w:val="fr-FR"/>
              </w:rPr>
              <w:tab/>
              <w:t>4</w:t>
            </w:r>
            <w:r>
              <w:rPr>
                <w:webHidden/>
              </w:rPr>
              <w:fldChar w:fldCharType="end"/>
            </w:r>
          </w:hyperlink>
        </w:p>
        <w:p>
          <w:pPr>
            <w:pStyle w:val="Tabledesmatiresniveau2"/>
            <w:tabs>
              <w:tab w:val="clear" w:pos="408"/>
              <w:tab w:val="left" w:pos="880" w:leader="none"/>
              <w:tab w:val="right" w:pos="8290" w:leader="dot"/>
            </w:tabs>
            <w:rPr/>
          </w:pPr>
          <w:hyperlink w:anchor="_Toc142644626">
            <w:r>
              <w:rPr>
                <w:webHidden/>
                <w:rStyle w:val="Sautdindex"/>
                <w:vanish w:val="false"/>
                <w:lang w:val="fr-FR"/>
              </w:rPr>
              <w:t>3.1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Délais</w:t>
            </w:r>
            <w:r>
              <w:rPr>
                <w:webHidden/>
              </w:rPr>
              <w:fldChar w:fldCharType="begin"/>
            </w:r>
            <w:r>
              <w:rPr>
                <w:webHidden/>
              </w:rPr>
              <w:instrText>PAGEREF _Toc142644626 \h</w:instrText>
            </w:r>
            <w:r>
              <w:rPr>
                <w:webHidden/>
              </w:rPr>
              <w:fldChar w:fldCharType="separate"/>
            </w:r>
            <w:r>
              <w:rPr>
                <w:rStyle w:val="Sautdindex"/>
                <w:vanish w:val="false"/>
                <w:lang w:val="fr-FR"/>
              </w:rPr>
              <w:tab/>
              <w:t>4</w:t>
            </w:r>
            <w:r>
              <w:rPr>
                <w:webHidden/>
              </w:rPr>
              <w:fldChar w:fldCharType="end"/>
            </w:r>
          </w:hyperlink>
        </w:p>
        <w:p>
          <w:pPr>
            <w:pStyle w:val="Tabledesmatiresniveau2"/>
            <w:tabs>
              <w:tab w:val="clear" w:pos="408"/>
              <w:tab w:val="left" w:pos="880" w:leader="none"/>
              <w:tab w:val="right" w:pos="8290" w:leader="dot"/>
            </w:tabs>
            <w:rPr/>
          </w:pPr>
          <w:hyperlink w:anchor="_Toc142644627">
            <w:r>
              <w:rPr>
                <w:webHidden/>
                <w:rStyle w:val="Sautdindex"/>
                <w:vanish w:val="false"/>
                <w:lang w:val="fr-FR"/>
              </w:rPr>
              <w:t>3.2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Emission des bons de commande</w:t>
            </w:r>
            <w:r>
              <w:rPr>
                <w:webHidden/>
              </w:rPr>
              <w:fldChar w:fldCharType="begin"/>
            </w:r>
            <w:r>
              <w:rPr>
                <w:webHidden/>
              </w:rPr>
              <w:instrText>PAGEREF _Toc142644627 \h</w:instrText>
            </w:r>
            <w:r>
              <w:rPr>
                <w:webHidden/>
              </w:rPr>
              <w:fldChar w:fldCharType="separate"/>
            </w:r>
            <w:r>
              <w:rPr>
                <w:rStyle w:val="Sautdindex"/>
                <w:vanish w:val="false"/>
                <w:lang w:val="fr-FR"/>
              </w:rPr>
              <w:tab/>
              <w:t>4</w:t>
            </w:r>
            <w:r>
              <w:rPr>
                <w:webHidden/>
              </w:rPr>
              <w:fldChar w:fldCharType="end"/>
            </w:r>
          </w:hyperlink>
        </w:p>
        <w:p>
          <w:pPr>
            <w:pStyle w:val="Tabledesmatiresniveau1"/>
            <w:tabs>
              <w:tab w:val="clear" w:pos="408"/>
              <w:tab w:val="left" w:pos="1320" w:leader="none"/>
              <w:tab w:val="right" w:pos="8290" w:leader="dot"/>
            </w:tabs>
            <w:rPr/>
          </w:pPr>
          <w:hyperlink w:anchor="_Toc142644628">
            <w:r>
              <w:rPr>
                <w:webHidden/>
                <w:rStyle w:val="Sautdindex"/>
                <w:vanish w:val="false"/>
                <w:lang w:val="fr-FR"/>
              </w:rPr>
              <w:t>Article 4 -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ENTREPRISES GROUPEES</w:t>
            </w:r>
            <w:r>
              <w:rPr>
                <w:webHidden/>
              </w:rPr>
              <w:fldChar w:fldCharType="begin"/>
            </w:r>
            <w:r>
              <w:rPr>
                <w:webHidden/>
              </w:rPr>
              <w:instrText>PAGEREF _Toc142644628 \h</w:instrText>
            </w:r>
            <w:r>
              <w:rPr>
                <w:webHidden/>
              </w:rPr>
              <w:fldChar w:fldCharType="separate"/>
            </w:r>
            <w:r>
              <w:rPr>
                <w:rStyle w:val="Sautdindex"/>
                <w:vanish w:val="false"/>
                <w:lang w:val="fr-FR"/>
              </w:rPr>
              <w:tab/>
              <w:t>4</w:t>
            </w:r>
            <w:r>
              <w:rPr>
                <w:webHidden/>
              </w:rPr>
              <w:fldChar w:fldCharType="end"/>
            </w:r>
          </w:hyperlink>
        </w:p>
        <w:p>
          <w:pPr>
            <w:pStyle w:val="Tabledesmatiresniveau1"/>
            <w:tabs>
              <w:tab w:val="clear" w:pos="408"/>
              <w:tab w:val="left" w:pos="1320" w:leader="none"/>
              <w:tab w:val="right" w:pos="8290" w:leader="dot"/>
            </w:tabs>
            <w:rPr/>
          </w:pPr>
          <w:hyperlink w:anchor="_Toc142644629">
            <w:r>
              <w:rPr>
                <w:webHidden/>
                <w:rStyle w:val="Sautdindex"/>
                <w:vanish w:val="false"/>
                <w:lang w:val="fr-FR"/>
              </w:rPr>
              <w:t>Article 5 -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CONDITIONS DE LIVRAISON ET D'EXECUTION</w:t>
            </w:r>
            <w:r>
              <w:rPr>
                <w:webHidden/>
              </w:rPr>
              <w:fldChar w:fldCharType="begin"/>
            </w:r>
            <w:r>
              <w:rPr>
                <w:webHidden/>
              </w:rPr>
              <w:instrText>PAGEREF _Toc142644629 \h</w:instrText>
            </w:r>
            <w:r>
              <w:rPr>
                <w:webHidden/>
              </w:rPr>
              <w:fldChar w:fldCharType="separate"/>
            </w:r>
            <w:r>
              <w:rPr>
                <w:rStyle w:val="Sautdindex"/>
                <w:vanish w:val="false"/>
                <w:lang w:val="fr-FR"/>
              </w:rPr>
              <w:tab/>
              <w:t>5</w:t>
            </w:r>
            <w:r>
              <w:rPr>
                <w:webHidden/>
              </w:rPr>
              <w:fldChar w:fldCharType="end"/>
            </w:r>
          </w:hyperlink>
        </w:p>
        <w:p>
          <w:pPr>
            <w:pStyle w:val="Tabledesmatiresniveau2"/>
            <w:tabs>
              <w:tab w:val="clear" w:pos="408"/>
              <w:tab w:val="left" w:pos="880" w:leader="none"/>
              <w:tab w:val="right" w:pos="8290" w:leader="dot"/>
            </w:tabs>
            <w:rPr/>
          </w:pPr>
          <w:hyperlink w:anchor="_Toc142644630">
            <w:r>
              <w:rPr>
                <w:webHidden/>
                <w:rStyle w:val="Sautdindex"/>
                <w:vanish w:val="false"/>
                <w:lang w:val="fr-FR"/>
              </w:rPr>
              <w:t>5.1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Transport  et Emballages</w:t>
            </w:r>
            <w:r>
              <w:rPr>
                <w:webHidden/>
              </w:rPr>
              <w:fldChar w:fldCharType="begin"/>
            </w:r>
            <w:r>
              <w:rPr>
                <w:webHidden/>
              </w:rPr>
              <w:instrText>PAGEREF _Toc142644630 \h</w:instrText>
            </w:r>
            <w:r>
              <w:rPr>
                <w:webHidden/>
              </w:rPr>
              <w:fldChar w:fldCharType="separate"/>
            </w:r>
            <w:r>
              <w:rPr>
                <w:rStyle w:val="Sautdindex"/>
                <w:vanish w:val="false"/>
                <w:lang w:val="fr-FR"/>
              </w:rPr>
              <w:tab/>
              <w:t>5</w:t>
            </w:r>
            <w:r>
              <w:rPr>
                <w:webHidden/>
              </w:rPr>
              <w:fldChar w:fldCharType="end"/>
            </w:r>
          </w:hyperlink>
        </w:p>
        <w:p>
          <w:pPr>
            <w:pStyle w:val="Tabledesmatiresniveau2"/>
            <w:tabs>
              <w:tab w:val="clear" w:pos="408"/>
              <w:tab w:val="left" w:pos="880" w:leader="none"/>
              <w:tab w:val="right" w:pos="8290" w:leader="dot"/>
            </w:tabs>
            <w:rPr/>
          </w:pPr>
          <w:hyperlink w:anchor="_Toc142644631">
            <w:r>
              <w:rPr>
                <w:webHidden/>
                <w:rStyle w:val="Sautdindex"/>
                <w:vanish w:val="false"/>
                <w:lang w:val="fr-FR"/>
              </w:rPr>
              <w:t>5.2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Lieux d'exécution ou de livraison</w:t>
            </w:r>
            <w:r>
              <w:rPr>
                <w:webHidden/>
              </w:rPr>
              <w:fldChar w:fldCharType="begin"/>
            </w:r>
            <w:r>
              <w:rPr>
                <w:webHidden/>
              </w:rPr>
              <w:instrText>PAGEREF _Toc142644631 \h</w:instrText>
            </w:r>
            <w:r>
              <w:rPr>
                <w:webHidden/>
              </w:rPr>
              <w:fldChar w:fldCharType="separate"/>
            </w:r>
            <w:r>
              <w:rPr>
                <w:rStyle w:val="Sautdindex"/>
                <w:vanish w:val="false"/>
                <w:lang w:val="fr-FR"/>
              </w:rPr>
              <w:tab/>
              <w:t>5</w:t>
            </w:r>
            <w:r>
              <w:rPr>
                <w:webHidden/>
              </w:rPr>
              <w:fldChar w:fldCharType="end"/>
            </w:r>
          </w:hyperlink>
        </w:p>
        <w:p>
          <w:pPr>
            <w:pStyle w:val="Tabledesmatiresniveau1"/>
            <w:tabs>
              <w:tab w:val="clear" w:pos="408"/>
              <w:tab w:val="left" w:pos="1320" w:leader="none"/>
              <w:tab w:val="right" w:pos="8290" w:leader="dot"/>
            </w:tabs>
            <w:rPr/>
          </w:pPr>
          <w:hyperlink w:anchor="_Toc142644632">
            <w:r>
              <w:rPr>
                <w:webHidden/>
                <w:rStyle w:val="Sautdindex"/>
                <w:vanish w:val="false"/>
                <w:lang w:val="fr-FR"/>
              </w:rPr>
              <w:t>Article 6 -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CONDITIONS PARTICULIERES D'EXECUTION</w:t>
            </w:r>
            <w:r>
              <w:rPr>
                <w:webHidden/>
              </w:rPr>
              <w:fldChar w:fldCharType="begin"/>
            </w:r>
            <w:r>
              <w:rPr>
                <w:webHidden/>
              </w:rPr>
              <w:instrText>PAGEREF _Toc142644632 \h</w:instrText>
            </w:r>
            <w:r>
              <w:rPr>
                <w:webHidden/>
              </w:rPr>
              <w:fldChar w:fldCharType="separate"/>
            </w:r>
            <w:r>
              <w:rPr>
                <w:rStyle w:val="Sautdindex"/>
                <w:vanish w:val="false"/>
                <w:lang w:val="fr-FR"/>
              </w:rPr>
              <w:tab/>
              <w:t>5</w:t>
            </w:r>
            <w:r>
              <w:rPr>
                <w:webHidden/>
              </w:rPr>
              <w:fldChar w:fldCharType="end"/>
            </w:r>
          </w:hyperlink>
        </w:p>
        <w:p>
          <w:pPr>
            <w:pStyle w:val="Tabledesmatiresniveau1"/>
            <w:tabs>
              <w:tab w:val="clear" w:pos="408"/>
              <w:tab w:val="left" w:pos="1320" w:leader="none"/>
              <w:tab w:val="right" w:pos="8290" w:leader="dot"/>
            </w:tabs>
            <w:rPr/>
          </w:pPr>
          <w:hyperlink w:anchor="_Toc142644633">
            <w:r>
              <w:rPr>
                <w:webHidden/>
                <w:rStyle w:val="Sautdindex"/>
                <w:vanish w:val="false"/>
                <w:lang w:val="fr-FR"/>
              </w:rPr>
              <w:t>Article 7 -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OPERATIONS DE VERIFICATIONS – ADMISSION</w:t>
            </w:r>
            <w:r>
              <w:rPr>
                <w:webHidden/>
              </w:rPr>
              <w:fldChar w:fldCharType="begin"/>
            </w:r>
            <w:r>
              <w:rPr>
                <w:webHidden/>
              </w:rPr>
              <w:instrText>PAGEREF _Toc142644633 \h</w:instrText>
            </w:r>
            <w:r>
              <w:rPr>
                <w:webHidden/>
              </w:rPr>
              <w:fldChar w:fldCharType="separate"/>
            </w:r>
            <w:r>
              <w:rPr>
                <w:rStyle w:val="Sautdindex"/>
                <w:vanish w:val="false"/>
                <w:lang w:val="fr-FR"/>
              </w:rPr>
              <w:tab/>
              <w:t>5</w:t>
            </w:r>
            <w:r>
              <w:rPr>
                <w:webHidden/>
              </w:rPr>
              <w:fldChar w:fldCharType="end"/>
            </w:r>
          </w:hyperlink>
        </w:p>
        <w:p>
          <w:pPr>
            <w:pStyle w:val="Tabledesmatiresniveau2"/>
            <w:tabs>
              <w:tab w:val="clear" w:pos="408"/>
              <w:tab w:val="left" w:pos="880" w:leader="none"/>
              <w:tab w:val="right" w:pos="8290" w:leader="dot"/>
            </w:tabs>
            <w:rPr/>
          </w:pPr>
          <w:hyperlink w:anchor="_Toc142644634">
            <w:r>
              <w:rPr>
                <w:webHidden/>
                <w:rStyle w:val="Sautdindex"/>
                <w:vanish w:val="false"/>
                <w:lang w:val="fr-FR"/>
              </w:rPr>
              <w:t>7.1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Vérifications</w:t>
            </w:r>
            <w:r>
              <w:rPr>
                <w:webHidden/>
              </w:rPr>
              <w:fldChar w:fldCharType="begin"/>
            </w:r>
            <w:r>
              <w:rPr>
                <w:webHidden/>
              </w:rPr>
              <w:instrText>PAGEREF _Toc142644634 \h</w:instrText>
            </w:r>
            <w:r>
              <w:rPr>
                <w:webHidden/>
              </w:rPr>
              <w:fldChar w:fldCharType="separate"/>
            </w:r>
            <w:r>
              <w:rPr>
                <w:rStyle w:val="Sautdindex"/>
                <w:vanish w:val="false"/>
                <w:lang w:val="fr-FR"/>
              </w:rPr>
              <w:tab/>
              <w:t>5</w:t>
            </w:r>
            <w:r>
              <w:rPr>
                <w:webHidden/>
              </w:rPr>
              <w:fldChar w:fldCharType="end"/>
            </w:r>
          </w:hyperlink>
        </w:p>
        <w:p>
          <w:pPr>
            <w:pStyle w:val="Tabledesmatiresniveau2"/>
            <w:tabs>
              <w:tab w:val="clear" w:pos="408"/>
              <w:tab w:val="left" w:pos="880" w:leader="none"/>
              <w:tab w:val="right" w:pos="8290" w:leader="dot"/>
            </w:tabs>
            <w:rPr/>
          </w:pPr>
          <w:hyperlink w:anchor="_Toc142644635">
            <w:r>
              <w:rPr>
                <w:webHidden/>
                <w:rStyle w:val="Sautdindex"/>
                <w:vanish w:val="false"/>
                <w:lang w:val="fr-FR"/>
              </w:rPr>
              <w:t>7.2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Admission</w:t>
            </w:r>
            <w:r>
              <w:rPr>
                <w:webHidden/>
              </w:rPr>
              <w:fldChar w:fldCharType="begin"/>
            </w:r>
            <w:r>
              <w:rPr>
                <w:webHidden/>
              </w:rPr>
              <w:instrText>PAGEREF _Toc142644635 \h</w:instrText>
            </w:r>
            <w:r>
              <w:rPr>
                <w:webHidden/>
              </w:rPr>
              <w:fldChar w:fldCharType="separate"/>
            </w:r>
            <w:r>
              <w:rPr>
                <w:rStyle w:val="Sautdindex"/>
                <w:vanish w:val="false"/>
                <w:lang w:val="fr-FR"/>
              </w:rPr>
              <w:tab/>
              <w:t>5</w:t>
            </w:r>
            <w:r>
              <w:rPr>
                <w:webHidden/>
              </w:rPr>
              <w:fldChar w:fldCharType="end"/>
            </w:r>
          </w:hyperlink>
        </w:p>
        <w:p>
          <w:pPr>
            <w:pStyle w:val="Tabledesmatiresniveau1"/>
            <w:tabs>
              <w:tab w:val="clear" w:pos="408"/>
              <w:tab w:val="left" w:pos="1320" w:leader="none"/>
              <w:tab w:val="right" w:pos="8290" w:leader="dot"/>
            </w:tabs>
            <w:rPr/>
          </w:pPr>
          <w:hyperlink w:anchor="_Toc142644636">
            <w:r>
              <w:rPr>
                <w:webHidden/>
                <w:rStyle w:val="Sautdindex"/>
                <w:vanish w:val="false"/>
                <w:lang w:val="fr-FR"/>
              </w:rPr>
              <w:t>Article 8 -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GARANTIE CONTRACTUELLE</w:t>
            </w:r>
            <w:r>
              <w:rPr>
                <w:webHidden/>
              </w:rPr>
              <w:fldChar w:fldCharType="begin"/>
            </w:r>
            <w:r>
              <w:rPr>
                <w:webHidden/>
              </w:rPr>
              <w:instrText>PAGEREF _Toc142644636 \h</w:instrText>
            </w:r>
            <w:r>
              <w:rPr>
                <w:webHidden/>
              </w:rPr>
              <w:fldChar w:fldCharType="separate"/>
            </w:r>
            <w:r>
              <w:rPr>
                <w:rStyle w:val="Sautdindex"/>
                <w:vanish w:val="false"/>
                <w:lang w:val="fr-FR"/>
              </w:rPr>
              <w:tab/>
              <w:t>5</w:t>
            </w:r>
            <w:r>
              <w:rPr>
                <w:webHidden/>
              </w:rPr>
              <w:fldChar w:fldCharType="end"/>
            </w:r>
          </w:hyperlink>
        </w:p>
        <w:p>
          <w:pPr>
            <w:pStyle w:val="Tabledesmatiresniveau2"/>
            <w:tabs>
              <w:tab w:val="clear" w:pos="408"/>
              <w:tab w:val="left" w:pos="880" w:leader="none"/>
              <w:tab w:val="right" w:pos="8290" w:leader="dot"/>
            </w:tabs>
            <w:rPr/>
          </w:pPr>
          <w:hyperlink w:anchor="_Toc142644637">
            <w:r>
              <w:rPr>
                <w:webHidden/>
                <w:rStyle w:val="Sautdindex"/>
                <w:vanish w:val="false"/>
                <w:lang w:val="fr-FR"/>
              </w:rPr>
              <w:t>8.1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Durée de garantie</w:t>
            </w:r>
            <w:r>
              <w:rPr>
                <w:webHidden/>
              </w:rPr>
              <w:fldChar w:fldCharType="begin"/>
            </w:r>
            <w:r>
              <w:rPr>
                <w:webHidden/>
              </w:rPr>
              <w:instrText>PAGEREF _Toc142644637 \h</w:instrText>
            </w:r>
            <w:r>
              <w:rPr>
                <w:webHidden/>
              </w:rPr>
              <w:fldChar w:fldCharType="separate"/>
            </w:r>
            <w:r>
              <w:rPr>
                <w:rStyle w:val="Sautdindex"/>
                <w:vanish w:val="false"/>
                <w:lang w:val="fr-FR"/>
              </w:rPr>
              <w:tab/>
              <w:t>5</w:t>
            </w:r>
            <w:r>
              <w:rPr>
                <w:webHidden/>
              </w:rPr>
              <w:fldChar w:fldCharType="end"/>
            </w:r>
          </w:hyperlink>
        </w:p>
        <w:p>
          <w:pPr>
            <w:pStyle w:val="Tabledesmatiresniveau2"/>
            <w:tabs>
              <w:tab w:val="clear" w:pos="408"/>
              <w:tab w:val="left" w:pos="880" w:leader="none"/>
              <w:tab w:val="right" w:pos="8290" w:leader="dot"/>
            </w:tabs>
            <w:rPr/>
          </w:pPr>
          <w:hyperlink w:anchor="_Toc142644638">
            <w:r>
              <w:rPr>
                <w:webHidden/>
                <w:rStyle w:val="Sautdindex"/>
                <w:vanish w:val="false"/>
                <w:lang w:val="fr-FR"/>
              </w:rPr>
              <w:t>8.2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Point de départ de la garantie</w:t>
            </w:r>
            <w:r>
              <w:rPr>
                <w:webHidden/>
              </w:rPr>
              <w:fldChar w:fldCharType="begin"/>
            </w:r>
            <w:r>
              <w:rPr>
                <w:webHidden/>
              </w:rPr>
              <w:instrText>PAGEREF _Toc142644638 \h</w:instrText>
            </w:r>
            <w:r>
              <w:rPr>
                <w:webHidden/>
              </w:rPr>
              <w:fldChar w:fldCharType="separate"/>
            </w:r>
            <w:r>
              <w:rPr>
                <w:rStyle w:val="Sautdindex"/>
                <w:vanish w:val="false"/>
                <w:lang w:val="fr-FR"/>
              </w:rPr>
              <w:tab/>
              <w:t>5</w:t>
            </w:r>
            <w:r>
              <w:rPr>
                <w:webHidden/>
              </w:rPr>
              <w:fldChar w:fldCharType="end"/>
            </w:r>
          </w:hyperlink>
        </w:p>
        <w:p>
          <w:pPr>
            <w:pStyle w:val="Tabledesmatiresniveau1"/>
            <w:tabs>
              <w:tab w:val="clear" w:pos="408"/>
              <w:tab w:val="left" w:pos="1320" w:leader="none"/>
              <w:tab w:val="right" w:pos="8290" w:leader="dot"/>
            </w:tabs>
            <w:rPr/>
          </w:pPr>
          <w:hyperlink w:anchor="_Toc142644639">
            <w:r>
              <w:rPr>
                <w:webHidden/>
                <w:rStyle w:val="Sautdindex"/>
                <w:vanish w:val="false"/>
                <w:lang w:val="fr-FR"/>
              </w:rPr>
              <w:t>Article 9 -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PROPRIETE INTELLECTUELLE ET UTILISATION DES RESULTATS</w:t>
            </w:r>
            <w:r>
              <w:rPr>
                <w:webHidden/>
              </w:rPr>
              <w:fldChar w:fldCharType="begin"/>
            </w:r>
            <w:r>
              <w:rPr>
                <w:webHidden/>
              </w:rPr>
              <w:instrText>PAGEREF _Toc142644639 \h</w:instrText>
            </w:r>
            <w:r>
              <w:rPr>
                <w:webHidden/>
              </w:rPr>
              <w:fldChar w:fldCharType="separate"/>
            </w:r>
            <w:r>
              <w:rPr>
                <w:rStyle w:val="Sautdindex"/>
                <w:vanish w:val="false"/>
                <w:lang w:val="fr-FR"/>
              </w:rPr>
              <w:tab/>
              <w:t>6</w:t>
            </w:r>
            <w:r>
              <w:rPr>
                <w:webHidden/>
              </w:rPr>
              <w:fldChar w:fldCharType="end"/>
            </w:r>
          </w:hyperlink>
        </w:p>
        <w:p>
          <w:pPr>
            <w:pStyle w:val="Tabledesmatiresniveau1"/>
            <w:tabs>
              <w:tab w:val="clear" w:pos="408"/>
              <w:tab w:val="left" w:pos="1540" w:leader="none"/>
              <w:tab w:val="right" w:pos="8290" w:leader="dot"/>
            </w:tabs>
            <w:rPr/>
          </w:pPr>
          <w:hyperlink w:anchor="_Toc142644640">
            <w:r>
              <w:rPr>
                <w:webHidden/>
                <w:rStyle w:val="Sautdindex"/>
                <w:vanish w:val="false"/>
                <w:lang w:val="fr-FR"/>
              </w:rPr>
              <w:t>Article 10 -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CONFIDENTIALITE – MESURES DE SECURITE</w:t>
            </w:r>
            <w:r>
              <w:rPr>
                <w:webHidden/>
              </w:rPr>
              <w:fldChar w:fldCharType="begin"/>
            </w:r>
            <w:r>
              <w:rPr>
                <w:webHidden/>
              </w:rPr>
              <w:instrText>PAGEREF _Toc142644640 \h</w:instrText>
            </w:r>
            <w:r>
              <w:rPr>
                <w:webHidden/>
              </w:rPr>
              <w:fldChar w:fldCharType="separate"/>
            </w:r>
            <w:r>
              <w:rPr>
                <w:rStyle w:val="Sautdindex"/>
                <w:vanish w:val="false"/>
                <w:lang w:val="fr-FR"/>
              </w:rPr>
              <w:tab/>
              <w:t>6</w:t>
            </w:r>
            <w:r>
              <w:rPr>
                <w:webHidden/>
              </w:rPr>
              <w:fldChar w:fldCharType="end"/>
            </w:r>
          </w:hyperlink>
        </w:p>
        <w:p>
          <w:pPr>
            <w:pStyle w:val="Tabledesmatiresniveau1"/>
            <w:tabs>
              <w:tab w:val="clear" w:pos="408"/>
              <w:tab w:val="left" w:pos="1320" w:leader="none"/>
              <w:tab w:val="right" w:pos="8290" w:leader="dot"/>
            </w:tabs>
            <w:rPr/>
          </w:pPr>
          <w:hyperlink w:anchor="_Toc142644641">
            <w:r>
              <w:rPr>
                <w:webHidden/>
                <w:rStyle w:val="Sautdindex"/>
                <w:vanish w:val="false"/>
                <w:lang w:val="fr-FR"/>
              </w:rPr>
              <w:t>Article 11 -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MODALITES DE DETERMINATION DES PRIX</w:t>
            </w:r>
            <w:r>
              <w:rPr>
                <w:webHidden/>
              </w:rPr>
              <w:fldChar w:fldCharType="begin"/>
            </w:r>
            <w:r>
              <w:rPr>
                <w:webHidden/>
              </w:rPr>
              <w:instrText>PAGEREF _Toc142644641 \h</w:instrText>
            </w:r>
            <w:r>
              <w:rPr>
                <w:webHidden/>
              </w:rPr>
              <w:fldChar w:fldCharType="separate"/>
            </w:r>
            <w:r>
              <w:rPr>
                <w:rStyle w:val="Sautdindex"/>
                <w:vanish w:val="false"/>
                <w:lang w:val="fr-FR"/>
              </w:rPr>
              <w:tab/>
              <w:t>8</w:t>
            </w:r>
            <w:r>
              <w:rPr>
                <w:webHidden/>
              </w:rPr>
              <w:fldChar w:fldCharType="end"/>
            </w:r>
          </w:hyperlink>
        </w:p>
        <w:p>
          <w:pPr>
            <w:pStyle w:val="Tabledesmatiresniveau2"/>
            <w:tabs>
              <w:tab w:val="clear" w:pos="408"/>
              <w:tab w:val="left" w:pos="880" w:leader="none"/>
              <w:tab w:val="right" w:pos="8290" w:leader="dot"/>
            </w:tabs>
            <w:rPr/>
          </w:pPr>
          <w:hyperlink w:anchor="_Toc142644642">
            <w:r>
              <w:rPr>
                <w:webHidden/>
                <w:rStyle w:val="Sautdindex"/>
                <w:vanish w:val="false"/>
                <w:lang w:val="fr-FR"/>
              </w:rPr>
              <w:t>11.1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Nature du prix</w:t>
            </w:r>
            <w:r>
              <w:rPr>
                <w:webHidden/>
              </w:rPr>
              <w:fldChar w:fldCharType="begin"/>
            </w:r>
            <w:r>
              <w:rPr>
                <w:webHidden/>
              </w:rPr>
              <w:instrText>PAGEREF _Toc142644642 \h</w:instrText>
            </w:r>
            <w:r>
              <w:rPr>
                <w:webHidden/>
              </w:rPr>
              <w:fldChar w:fldCharType="separate"/>
            </w:r>
            <w:r>
              <w:rPr>
                <w:rStyle w:val="Sautdindex"/>
                <w:vanish w:val="false"/>
                <w:lang w:val="fr-FR"/>
              </w:rPr>
              <w:tab/>
              <w:t>8</w:t>
            </w:r>
            <w:r>
              <w:rPr>
                <w:webHidden/>
              </w:rPr>
              <w:fldChar w:fldCharType="end"/>
            </w:r>
          </w:hyperlink>
        </w:p>
        <w:p>
          <w:pPr>
            <w:pStyle w:val="Tabledesmatiresniveau2"/>
            <w:tabs>
              <w:tab w:val="clear" w:pos="408"/>
              <w:tab w:val="left" w:pos="880" w:leader="none"/>
              <w:tab w:val="right" w:pos="8290" w:leader="dot"/>
            </w:tabs>
            <w:rPr/>
          </w:pPr>
          <w:hyperlink w:anchor="_Toc142644643">
            <w:r>
              <w:rPr>
                <w:webHidden/>
                <w:rStyle w:val="Sautdindex"/>
                <w:vanish w:val="false"/>
                <w:lang w:val="fr-FR"/>
              </w:rPr>
              <w:t>11.2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Variations de prix</w:t>
            </w:r>
            <w:r>
              <w:rPr>
                <w:webHidden/>
              </w:rPr>
              <w:fldChar w:fldCharType="begin"/>
            </w:r>
            <w:r>
              <w:rPr>
                <w:webHidden/>
              </w:rPr>
              <w:instrText>PAGEREF _Toc142644643 \h</w:instrText>
            </w:r>
            <w:r>
              <w:rPr>
                <w:webHidden/>
              </w:rPr>
              <w:fldChar w:fldCharType="separate"/>
            </w:r>
            <w:r>
              <w:rPr>
                <w:rStyle w:val="Sautdindex"/>
                <w:vanish w:val="false"/>
                <w:lang w:val="fr-FR"/>
              </w:rPr>
              <w:tab/>
              <w:t>9</w:t>
            </w:r>
            <w:r>
              <w:rPr>
                <w:webHidden/>
              </w:rPr>
              <w:fldChar w:fldCharType="end"/>
            </w:r>
          </w:hyperlink>
        </w:p>
        <w:p>
          <w:pPr>
            <w:pStyle w:val="Tabledesmatiresniveau2"/>
            <w:tabs>
              <w:tab w:val="clear" w:pos="408"/>
              <w:tab w:val="left" w:pos="880" w:leader="none"/>
              <w:tab w:val="right" w:pos="8290" w:leader="dot"/>
            </w:tabs>
            <w:rPr/>
          </w:pPr>
          <w:hyperlink w:anchor="_Toc142644644">
            <w:r>
              <w:rPr>
                <w:webHidden/>
                <w:rStyle w:val="Sautdindex"/>
                <w:vanish w:val="false"/>
                <w:lang w:val="fr-FR"/>
              </w:rPr>
              <w:t>11.3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Disparition d'indice</w:t>
            </w:r>
            <w:r>
              <w:rPr>
                <w:webHidden/>
              </w:rPr>
              <w:fldChar w:fldCharType="begin"/>
            </w:r>
            <w:r>
              <w:rPr>
                <w:webHidden/>
              </w:rPr>
              <w:instrText>PAGEREF _Toc142644644 \h</w:instrText>
            </w:r>
            <w:r>
              <w:rPr>
                <w:webHidden/>
              </w:rPr>
              <w:fldChar w:fldCharType="separate"/>
            </w:r>
            <w:r>
              <w:rPr>
                <w:rStyle w:val="Sautdindex"/>
                <w:vanish w:val="false"/>
                <w:lang w:val="fr-FR"/>
              </w:rPr>
              <w:tab/>
              <w:t>10</w:t>
            </w:r>
            <w:r>
              <w:rPr>
                <w:webHidden/>
              </w:rPr>
              <w:fldChar w:fldCharType="end"/>
            </w:r>
          </w:hyperlink>
        </w:p>
        <w:p>
          <w:pPr>
            <w:pStyle w:val="Tabledesmatiresniveau1"/>
            <w:tabs>
              <w:tab w:val="clear" w:pos="408"/>
              <w:tab w:val="left" w:pos="1540" w:leader="none"/>
              <w:tab w:val="right" w:pos="8290" w:leader="dot"/>
            </w:tabs>
            <w:rPr/>
          </w:pPr>
          <w:hyperlink w:anchor="_Toc142644645">
            <w:r>
              <w:rPr>
                <w:webHidden/>
                <w:rStyle w:val="Sautdindex"/>
                <w:vanish w:val="false"/>
                <w:lang w:val="fr-FR"/>
              </w:rPr>
              <w:t>Article 12 -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AVANCE</w:t>
            </w:r>
            <w:r>
              <w:rPr>
                <w:webHidden/>
              </w:rPr>
              <w:fldChar w:fldCharType="begin"/>
            </w:r>
            <w:r>
              <w:rPr>
                <w:webHidden/>
              </w:rPr>
              <w:instrText>PAGEREF _Toc142644645 \h</w:instrText>
            </w:r>
            <w:r>
              <w:rPr>
                <w:webHidden/>
              </w:rPr>
              <w:fldChar w:fldCharType="separate"/>
            </w:r>
            <w:r>
              <w:rPr>
                <w:rStyle w:val="Sautdindex"/>
                <w:vanish w:val="false"/>
                <w:lang w:val="fr-FR"/>
              </w:rPr>
              <w:tab/>
              <w:t>10</w:t>
            </w:r>
            <w:r>
              <w:rPr>
                <w:webHidden/>
              </w:rPr>
              <w:fldChar w:fldCharType="end"/>
            </w:r>
          </w:hyperlink>
        </w:p>
        <w:p>
          <w:pPr>
            <w:pStyle w:val="Tabledesmatiresniveau2"/>
            <w:tabs>
              <w:tab w:val="clear" w:pos="408"/>
              <w:tab w:val="left" w:pos="1100" w:leader="none"/>
              <w:tab w:val="right" w:pos="8290" w:leader="dot"/>
            </w:tabs>
            <w:rPr/>
          </w:pPr>
          <w:hyperlink w:anchor="_Toc142644646">
            <w:r>
              <w:rPr>
                <w:webHidden/>
                <w:rStyle w:val="Sautdindex"/>
                <w:vanish w:val="false"/>
                <w:lang w:val="fr-FR"/>
              </w:rPr>
              <w:t>12.1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Régime de l'avance</w:t>
            </w:r>
            <w:r>
              <w:rPr>
                <w:webHidden/>
              </w:rPr>
              <w:fldChar w:fldCharType="begin"/>
            </w:r>
            <w:r>
              <w:rPr>
                <w:webHidden/>
              </w:rPr>
              <w:instrText>PAGEREF _Toc142644646 \h</w:instrText>
            </w:r>
            <w:r>
              <w:rPr>
                <w:webHidden/>
              </w:rPr>
              <w:fldChar w:fldCharType="separate"/>
            </w:r>
            <w:r>
              <w:rPr>
                <w:rStyle w:val="Sautdindex"/>
                <w:vanish w:val="false"/>
                <w:lang w:val="fr-FR"/>
              </w:rPr>
              <w:tab/>
              <w:t>10</w:t>
            </w:r>
            <w:r>
              <w:rPr>
                <w:webHidden/>
              </w:rPr>
              <w:fldChar w:fldCharType="end"/>
            </w:r>
          </w:hyperlink>
        </w:p>
        <w:p>
          <w:pPr>
            <w:pStyle w:val="Tabledesmatiresniveau2"/>
            <w:tabs>
              <w:tab w:val="clear" w:pos="408"/>
              <w:tab w:val="left" w:pos="1100" w:leader="none"/>
              <w:tab w:val="right" w:pos="8290" w:leader="dot"/>
            </w:tabs>
            <w:rPr/>
          </w:pPr>
          <w:hyperlink w:anchor="_Toc142644647">
            <w:r>
              <w:rPr>
                <w:webHidden/>
                <w:rStyle w:val="Sautdindex"/>
                <w:vanish w:val="false"/>
                <w:lang w:val="fr-FR"/>
              </w:rPr>
              <w:t>12.2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Dispositions complémentaires</w:t>
            </w:r>
            <w:r>
              <w:rPr>
                <w:webHidden/>
              </w:rPr>
              <w:fldChar w:fldCharType="begin"/>
            </w:r>
            <w:r>
              <w:rPr>
                <w:webHidden/>
              </w:rPr>
              <w:instrText>PAGEREF _Toc142644647 \h</w:instrText>
            </w:r>
            <w:r>
              <w:rPr>
                <w:webHidden/>
              </w:rPr>
              <w:fldChar w:fldCharType="separate"/>
            </w:r>
            <w:r>
              <w:rPr>
                <w:rStyle w:val="Sautdindex"/>
                <w:vanish w:val="false"/>
                <w:lang w:val="fr-FR"/>
              </w:rPr>
              <w:tab/>
              <w:t>10</w:t>
            </w:r>
            <w:r>
              <w:rPr>
                <w:webHidden/>
              </w:rPr>
              <w:fldChar w:fldCharType="end"/>
            </w:r>
          </w:hyperlink>
        </w:p>
        <w:p>
          <w:pPr>
            <w:pStyle w:val="Tabledesmatiresniveau1"/>
            <w:tabs>
              <w:tab w:val="clear" w:pos="408"/>
              <w:tab w:val="left" w:pos="1540" w:leader="none"/>
              <w:tab w:val="right" w:pos="8290" w:leader="dot"/>
            </w:tabs>
            <w:rPr/>
          </w:pPr>
          <w:hyperlink w:anchor="_Toc142644648">
            <w:r>
              <w:rPr>
                <w:webHidden/>
                <w:rStyle w:val="Sautdindex"/>
                <w:vanish w:val="false"/>
                <w:lang w:val="fr-FR"/>
              </w:rPr>
              <w:t>Article 13 -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MODALITÉS DE REGLEMENT</w:t>
            </w:r>
            <w:r>
              <w:rPr>
                <w:webHidden/>
              </w:rPr>
              <w:fldChar w:fldCharType="begin"/>
            </w:r>
            <w:r>
              <w:rPr>
                <w:webHidden/>
              </w:rPr>
              <w:instrText>PAGEREF _Toc142644648 \h</w:instrText>
            </w:r>
            <w:r>
              <w:rPr>
                <w:webHidden/>
              </w:rPr>
              <w:fldChar w:fldCharType="separate"/>
            </w:r>
            <w:r>
              <w:rPr>
                <w:rStyle w:val="Sautdindex"/>
                <w:vanish w:val="false"/>
                <w:lang w:val="fr-FR"/>
              </w:rPr>
              <w:tab/>
              <w:t>10</w:t>
            </w:r>
            <w:r>
              <w:rPr>
                <w:webHidden/>
              </w:rPr>
              <w:fldChar w:fldCharType="end"/>
            </w:r>
          </w:hyperlink>
        </w:p>
        <w:p>
          <w:pPr>
            <w:pStyle w:val="Tabledesmatiresniveau1"/>
            <w:tabs>
              <w:tab w:val="clear" w:pos="408"/>
              <w:tab w:val="left" w:pos="1540" w:leader="none"/>
              <w:tab w:val="right" w:pos="8290" w:leader="dot"/>
            </w:tabs>
            <w:rPr/>
          </w:pPr>
          <w:hyperlink w:anchor="_Toc142644649">
            <w:r>
              <w:rPr>
                <w:webHidden/>
                <w:rStyle w:val="Sautdindex"/>
                <w:vanish w:val="false"/>
                <w:lang w:val="fr-FR"/>
              </w:rPr>
              <w:t>Article 14 -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PAIEMENT – ETABLISSEMENT DE LA FACTURE</w:t>
            </w:r>
            <w:r>
              <w:rPr>
                <w:webHidden/>
              </w:rPr>
              <w:fldChar w:fldCharType="begin"/>
            </w:r>
            <w:r>
              <w:rPr>
                <w:webHidden/>
              </w:rPr>
              <w:instrText>PAGEREF _Toc142644649 \h</w:instrText>
            </w:r>
            <w:r>
              <w:rPr>
                <w:webHidden/>
              </w:rPr>
              <w:fldChar w:fldCharType="separate"/>
            </w:r>
            <w:r>
              <w:rPr>
                <w:rStyle w:val="Sautdindex"/>
                <w:vanish w:val="false"/>
                <w:lang w:val="fr-FR"/>
              </w:rPr>
              <w:tab/>
              <w:t>10</w:t>
            </w:r>
            <w:r>
              <w:rPr>
                <w:webHidden/>
              </w:rPr>
              <w:fldChar w:fldCharType="end"/>
            </w:r>
          </w:hyperlink>
        </w:p>
        <w:p>
          <w:pPr>
            <w:pStyle w:val="Tabledesmatiresniveau2"/>
            <w:tabs>
              <w:tab w:val="clear" w:pos="408"/>
              <w:tab w:val="left" w:pos="1100" w:leader="none"/>
              <w:tab w:val="right" w:pos="8290" w:leader="dot"/>
            </w:tabs>
            <w:rPr/>
          </w:pPr>
          <w:hyperlink w:anchor="_Toc142644650">
            <w:r>
              <w:rPr>
                <w:webHidden/>
                <w:rStyle w:val="Sautdindex"/>
                <w:vanish w:val="false"/>
                <w:lang w:val="fr-FR"/>
              </w:rPr>
              <w:t>14.1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Délais de paiements</w:t>
            </w:r>
            <w:r>
              <w:rPr>
                <w:webHidden/>
              </w:rPr>
              <w:fldChar w:fldCharType="begin"/>
            </w:r>
            <w:r>
              <w:rPr>
                <w:webHidden/>
              </w:rPr>
              <w:instrText>PAGEREF _Toc142644650 \h</w:instrText>
            </w:r>
            <w:r>
              <w:rPr>
                <w:webHidden/>
              </w:rPr>
              <w:fldChar w:fldCharType="separate"/>
            </w:r>
            <w:r>
              <w:rPr>
                <w:rStyle w:val="Sautdindex"/>
                <w:vanish w:val="false"/>
                <w:lang w:val="fr-FR"/>
              </w:rPr>
              <w:tab/>
              <w:t>10</w:t>
            </w:r>
            <w:r>
              <w:rPr>
                <w:webHidden/>
              </w:rPr>
              <w:fldChar w:fldCharType="end"/>
            </w:r>
          </w:hyperlink>
        </w:p>
        <w:p>
          <w:pPr>
            <w:pStyle w:val="Tabledesmatiresniveau2"/>
            <w:tabs>
              <w:tab w:val="clear" w:pos="408"/>
              <w:tab w:val="left" w:pos="1100" w:leader="none"/>
              <w:tab w:val="right" w:pos="8290" w:leader="dot"/>
            </w:tabs>
            <w:rPr/>
          </w:pPr>
          <w:hyperlink w:anchor="_Toc142644651">
            <w:r>
              <w:rPr>
                <w:webHidden/>
                <w:rStyle w:val="Sautdindex"/>
                <w:vanish w:val="false"/>
                <w:lang w:val="fr-FR"/>
              </w:rPr>
              <w:t>14.2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Intérêts moratoires</w:t>
            </w:r>
            <w:r>
              <w:rPr>
                <w:webHidden/>
              </w:rPr>
              <w:fldChar w:fldCharType="begin"/>
            </w:r>
            <w:r>
              <w:rPr>
                <w:webHidden/>
              </w:rPr>
              <w:instrText>PAGEREF _Toc142644651 \h</w:instrText>
            </w:r>
            <w:r>
              <w:rPr>
                <w:webHidden/>
              </w:rPr>
              <w:fldChar w:fldCharType="separate"/>
            </w:r>
            <w:r>
              <w:rPr>
                <w:rStyle w:val="Sautdindex"/>
                <w:vanish w:val="false"/>
                <w:lang w:val="fr-FR"/>
              </w:rPr>
              <w:tab/>
              <w:t>11</w:t>
            </w:r>
            <w:r>
              <w:rPr>
                <w:webHidden/>
              </w:rPr>
              <w:fldChar w:fldCharType="end"/>
            </w:r>
          </w:hyperlink>
        </w:p>
        <w:p>
          <w:pPr>
            <w:pStyle w:val="Tabledesmatiresniveau2"/>
            <w:tabs>
              <w:tab w:val="clear" w:pos="408"/>
              <w:tab w:val="left" w:pos="1100" w:leader="none"/>
              <w:tab w:val="right" w:pos="8290" w:leader="dot"/>
            </w:tabs>
            <w:rPr/>
          </w:pPr>
          <w:hyperlink w:anchor="_Toc142644652">
            <w:r>
              <w:rPr>
                <w:webHidden/>
                <w:rStyle w:val="Sautdindex"/>
                <w:vanish w:val="false"/>
                <w:lang w:val="fr-FR"/>
              </w:rPr>
              <w:t>14.3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Modalités de paiement direct des sous-traitants</w:t>
            </w:r>
            <w:r>
              <w:rPr>
                <w:webHidden/>
              </w:rPr>
              <w:fldChar w:fldCharType="begin"/>
            </w:r>
            <w:r>
              <w:rPr>
                <w:webHidden/>
              </w:rPr>
              <w:instrText>PAGEREF _Toc142644652 \h</w:instrText>
            </w:r>
            <w:r>
              <w:rPr>
                <w:webHidden/>
              </w:rPr>
              <w:fldChar w:fldCharType="separate"/>
            </w:r>
            <w:r>
              <w:rPr>
                <w:rStyle w:val="Sautdindex"/>
                <w:vanish w:val="false"/>
                <w:lang w:val="fr-FR"/>
              </w:rPr>
              <w:tab/>
              <w:t>11</w:t>
            </w:r>
            <w:r>
              <w:rPr>
                <w:webHidden/>
              </w:rPr>
              <w:fldChar w:fldCharType="end"/>
            </w:r>
          </w:hyperlink>
        </w:p>
        <w:p>
          <w:pPr>
            <w:pStyle w:val="Tabledesmatiresniveau2"/>
            <w:tabs>
              <w:tab w:val="clear" w:pos="408"/>
              <w:tab w:val="left" w:pos="1100" w:leader="none"/>
              <w:tab w:val="right" w:pos="8290" w:leader="dot"/>
            </w:tabs>
            <w:rPr/>
          </w:pPr>
          <w:hyperlink w:anchor="_Toc142644653">
            <w:r>
              <w:rPr>
                <w:webHidden/>
                <w:rStyle w:val="Sautdindex"/>
                <w:vanish w:val="false"/>
                <w:lang w:val="fr-FR"/>
              </w:rPr>
              <w:t>14.4</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Présentation des demandes de paiement</w:t>
            </w:r>
            <w:r>
              <w:rPr>
                <w:webHidden/>
              </w:rPr>
              <w:fldChar w:fldCharType="begin"/>
            </w:r>
            <w:r>
              <w:rPr>
                <w:webHidden/>
              </w:rPr>
              <w:instrText>PAGEREF _Toc142644653 \h</w:instrText>
            </w:r>
            <w:r>
              <w:rPr>
                <w:webHidden/>
              </w:rPr>
              <w:fldChar w:fldCharType="separate"/>
            </w:r>
            <w:r>
              <w:rPr>
                <w:rStyle w:val="Sautdindex"/>
                <w:vanish w:val="false"/>
                <w:lang w:val="fr-FR"/>
              </w:rPr>
              <w:tab/>
              <w:t>11</w:t>
            </w:r>
            <w:r>
              <w:rPr>
                <w:webHidden/>
              </w:rPr>
              <w:fldChar w:fldCharType="end"/>
            </w:r>
          </w:hyperlink>
        </w:p>
        <w:p>
          <w:pPr>
            <w:pStyle w:val="Tabledesmatiresniveau2"/>
            <w:tabs>
              <w:tab w:val="clear" w:pos="408"/>
              <w:tab w:val="left" w:pos="1100" w:leader="none"/>
              <w:tab w:val="right" w:pos="8290" w:leader="dot"/>
            </w:tabs>
            <w:rPr/>
          </w:pPr>
          <w:hyperlink w:anchor="_Toc142644654">
            <w:r>
              <w:rPr>
                <w:webHidden/>
                <w:rStyle w:val="Sautdindex"/>
                <w:vanish w:val="false"/>
                <w:lang w:val="fr-FR"/>
              </w:rPr>
              <w:t>14.5</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Dématérialisation des factures</w:t>
            </w:r>
            <w:r>
              <w:rPr>
                <w:webHidden/>
              </w:rPr>
              <w:fldChar w:fldCharType="begin"/>
            </w:r>
            <w:r>
              <w:rPr>
                <w:webHidden/>
              </w:rPr>
              <w:instrText>PAGEREF _Toc142644654 \h</w:instrText>
            </w:r>
            <w:r>
              <w:rPr>
                <w:webHidden/>
              </w:rPr>
              <w:fldChar w:fldCharType="separate"/>
            </w:r>
            <w:r>
              <w:rPr>
                <w:rStyle w:val="Sautdindex"/>
                <w:vanish w:val="false"/>
                <w:lang w:val="fr-FR"/>
              </w:rPr>
              <w:tab/>
              <w:t>12</w:t>
            </w:r>
            <w:r>
              <w:rPr>
                <w:webHidden/>
              </w:rPr>
              <w:fldChar w:fldCharType="end"/>
            </w:r>
          </w:hyperlink>
        </w:p>
        <w:p>
          <w:pPr>
            <w:pStyle w:val="Tabledesmatiresniveau1"/>
            <w:tabs>
              <w:tab w:val="clear" w:pos="408"/>
              <w:tab w:val="left" w:pos="1540" w:leader="none"/>
              <w:tab w:val="right" w:pos="8290" w:leader="dot"/>
            </w:tabs>
            <w:rPr/>
          </w:pPr>
          <w:hyperlink w:anchor="_Toc142644655">
            <w:r>
              <w:rPr>
                <w:webHidden/>
                <w:rStyle w:val="Sautdindex"/>
                <w:vanish w:val="false"/>
                <w:lang w:val="fr-FR"/>
              </w:rPr>
              <w:t>Article 15 -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PENALITES</w:t>
            </w:r>
            <w:r>
              <w:rPr>
                <w:webHidden/>
              </w:rPr>
              <w:fldChar w:fldCharType="begin"/>
            </w:r>
            <w:r>
              <w:rPr>
                <w:webHidden/>
              </w:rPr>
              <w:instrText>PAGEREF _Toc142644655 \h</w:instrText>
            </w:r>
            <w:r>
              <w:rPr>
                <w:webHidden/>
              </w:rPr>
              <w:fldChar w:fldCharType="separate"/>
            </w:r>
            <w:r>
              <w:rPr>
                <w:rStyle w:val="Sautdindex"/>
                <w:vanish w:val="false"/>
                <w:lang w:val="fr-FR"/>
              </w:rPr>
              <w:tab/>
              <w:t>12</w:t>
            </w:r>
            <w:r>
              <w:rPr>
                <w:webHidden/>
              </w:rPr>
              <w:fldChar w:fldCharType="end"/>
            </w:r>
          </w:hyperlink>
        </w:p>
        <w:p>
          <w:pPr>
            <w:pStyle w:val="Tabledesmatiresniveau2"/>
            <w:tabs>
              <w:tab w:val="clear" w:pos="408"/>
              <w:tab w:val="left" w:pos="1100" w:leader="none"/>
              <w:tab w:val="right" w:pos="8290" w:leader="dot"/>
            </w:tabs>
            <w:rPr/>
          </w:pPr>
          <w:hyperlink w:anchor="_Toc142644656">
            <w:r>
              <w:rPr>
                <w:webHidden/>
                <w:rStyle w:val="Sautdindex"/>
                <w:vanish w:val="false"/>
                <w:lang w:val="fr-FR"/>
              </w:rPr>
              <w:t>15.1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Pénalités pour défaut de prestation</w:t>
            </w:r>
            <w:r>
              <w:rPr>
                <w:webHidden/>
              </w:rPr>
              <w:fldChar w:fldCharType="begin"/>
            </w:r>
            <w:r>
              <w:rPr>
                <w:webHidden/>
              </w:rPr>
              <w:instrText>PAGEREF _Toc142644656 \h</w:instrText>
            </w:r>
            <w:r>
              <w:rPr>
                <w:webHidden/>
              </w:rPr>
              <w:fldChar w:fldCharType="separate"/>
            </w:r>
            <w:r>
              <w:rPr>
                <w:rStyle w:val="Sautdindex"/>
                <w:vanish w:val="false"/>
                <w:lang w:val="fr-FR"/>
              </w:rPr>
              <w:tab/>
              <w:t>12</w:t>
            </w:r>
            <w:r>
              <w:rPr>
                <w:webHidden/>
              </w:rPr>
              <w:fldChar w:fldCharType="end"/>
            </w:r>
          </w:hyperlink>
        </w:p>
        <w:p>
          <w:pPr>
            <w:pStyle w:val="Tabledesmatiresniveau2"/>
            <w:tabs>
              <w:tab w:val="clear" w:pos="408"/>
              <w:tab w:val="left" w:pos="1100" w:leader="none"/>
              <w:tab w:val="right" w:pos="8290" w:leader="dot"/>
            </w:tabs>
            <w:rPr/>
          </w:pPr>
          <w:hyperlink w:anchor="_Toc142644657">
            <w:r>
              <w:rPr>
                <w:webHidden/>
                <w:rStyle w:val="Sautdindex"/>
                <w:vanish w:val="false"/>
                <w:lang w:val="fr-FR"/>
              </w:rPr>
              <w:t>15.2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Pénalités pour non respect des dispositions du Code du Travail</w:t>
            </w:r>
            <w:r>
              <w:rPr>
                <w:webHidden/>
              </w:rPr>
              <w:fldChar w:fldCharType="begin"/>
            </w:r>
            <w:r>
              <w:rPr>
                <w:webHidden/>
              </w:rPr>
              <w:instrText>PAGEREF _Toc142644657 \h</w:instrText>
            </w:r>
            <w:r>
              <w:rPr>
                <w:webHidden/>
              </w:rPr>
              <w:fldChar w:fldCharType="separate"/>
            </w:r>
            <w:r>
              <w:rPr>
                <w:rStyle w:val="Sautdindex"/>
                <w:vanish w:val="false"/>
                <w:lang w:val="fr-FR"/>
              </w:rPr>
              <w:tab/>
              <w:t>13</w:t>
            </w:r>
            <w:r>
              <w:rPr>
                <w:webHidden/>
              </w:rPr>
              <w:fldChar w:fldCharType="end"/>
            </w:r>
          </w:hyperlink>
        </w:p>
        <w:p>
          <w:pPr>
            <w:pStyle w:val="Tabledesmatiresniveau2"/>
            <w:tabs>
              <w:tab w:val="clear" w:pos="408"/>
              <w:tab w:val="left" w:pos="1100" w:leader="none"/>
              <w:tab w:val="right" w:pos="8290" w:leader="dot"/>
            </w:tabs>
            <w:rPr/>
          </w:pPr>
          <w:hyperlink w:anchor="_Toc142644658">
            <w:r>
              <w:rPr>
                <w:webHidden/>
                <w:rStyle w:val="Sautdindex"/>
                <w:vanish w:val="false"/>
                <w:lang w:val="fr-FR"/>
              </w:rPr>
              <w:t>15.3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Autres pénalités</w:t>
            </w:r>
            <w:r>
              <w:rPr>
                <w:webHidden/>
              </w:rPr>
              <w:fldChar w:fldCharType="begin"/>
            </w:r>
            <w:r>
              <w:rPr>
                <w:webHidden/>
              </w:rPr>
              <w:instrText>PAGEREF _Toc142644658 \h</w:instrText>
            </w:r>
            <w:r>
              <w:rPr>
                <w:webHidden/>
              </w:rPr>
              <w:fldChar w:fldCharType="separate"/>
            </w:r>
            <w:r>
              <w:rPr>
                <w:rStyle w:val="Sautdindex"/>
                <w:vanish w:val="false"/>
                <w:lang w:val="fr-FR"/>
              </w:rPr>
              <w:tab/>
              <w:t>13</w:t>
            </w:r>
            <w:r>
              <w:rPr>
                <w:webHidden/>
              </w:rPr>
              <w:fldChar w:fldCharType="end"/>
            </w:r>
          </w:hyperlink>
        </w:p>
        <w:p>
          <w:pPr>
            <w:pStyle w:val="Tabledesmatiresniveau1"/>
            <w:tabs>
              <w:tab w:val="clear" w:pos="408"/>
              <w:tab w:val="left" w:pos="1540" w:leader="none"/>
              <w:tab w:val="right" w:pos="8290" w:leader="dot"/>
            </w:tabs>
            <w:rPr/>
          </w:pPr>
          <w:hyperlink w:anchor="_Toc142644659">
            <w:r>
              <w:rPr>
                <w:webHidden/>
                <w:rStyle w:val="Sautdindex"/>
                <w:vanish w:val="false"/>
                <w:lang w:val="fr-FR"/>
              </w:rPr>
              <w:t>Article 16 -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RESILIATION – EXECUTION DES PRESTATIONS AUX FRAIS ET RISQUES DU TITULAIRE</w:t>
            </w:r>
            <w:r>
              <w:rPr>
                <w:webHidden/>
              </w:rPr>
              <w:fldChar w:fldCharType="begin"/>
            </w:r>
            <w:r>
              <w:rPr>
                <w:webHidden/>
              </w:rPr>
              <w:instrText>PAGEREF _Toc142644659 \h</w:instrText>
            </w:r>
            <w:r>
              <w:rPr>
                <w:webHidden/>
              </w:rPr>
              <w:fldChar w:fldCharType="separate"/>
            </w:r>
            <w:r>
              <w:rPr>
                <w:rStyle w:val="Sautdindex"/>
                <w:vanish w:val="false"/>
                <w:lang w:val="fr-FR"/>
              </w:rPr>
              <w:tab/>
              <w:t>13</w:t>
            </w:r>
            <w:r>
              <w:rPr>
                <w:webHidden/>
              </w:rPr>
              <w:fldChar w:fldCharType="end"/>
            </w:r>
          </w:hyperlink>
        </w:p>
        <w:p>
          <w:pPr>
            <w:pStyle w:val="Tabledesmatiresniveau1"/>
            <w:tabs>
              <w:tab w:val="clear" w:pos="408"/>
              <w:tab w:val="left" w:pos="1540" w:leader="none"/>
              <w:tab w:val="right" w:pos="8290" w:leader="dot"/>
            </w:tabs>
            <w:rPr/>
          </w:pPr>
          <w:hyperlink w:anchor="_Toc142644660">
            <w:r>
              <w:rPr>
                <w:webHidden/>
                <w:rStyle w:val="Sautdindex"/>
                <w:vanish w:val="false"/>
                <w:lang w:val="fr-FR"/>
              </w:rPr>
              <w:t>Article 17 -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CLAUSES DE GESTION DES DONNEES</w:t>
            </w:r>
            <w:r>
              <w:rPr>
                <w:webHidden/>
              </w:rPr>
              <w:fldChar w:fldCharType="begin"/>
            </w:r>
            <w:r>
              <w:rPr>
                <w:webHidden/>
              </w:rPr>
              <w:instrText>PAGEREF _Toc142644660 \h</w:instrText>
            </w:r>
            <w:r>
              <w:rPr>
                <w:webHidden/>
              </w:rPr>
              <w:fldChar w:fldCharType="separate"/>
            </w:r>
            <w:r>
              <w:rPr>
                <w:rStyle w:val="Sautdindex"/>
                <w:vanish w:val="false"/>
                <w:lang w:val="fr-FR"/>
              </w:rPr>
              <w:tab/>
              <w:t>14</w:t>
            </w:r>
            <w:r>
              <w:rPr>
                <w:webHidden/>
              </w:rPr>
              <w:fldChar w:fldCharType="end"/>
            </w:r>
          </w:hyperlink>
        </w:p>
        <w:p>
          <w:pPr>
            <w:pStyle w:val="Tabledesmatiresniveau2"/>
            <w:tabs>
              <w:tab w:val="clear" w:pos="408"/>
              <w:tab w:val="left" w:pos="1100" w:leader="none"/>
              <w:tab w:val="right" w:pos="8290" w:leader="dot"/>
            </w:tabs>
            <w:rPr/>
          </w:pPr>
          <w:hyperlink w:anchor="_Toc142644661">
            <w:r>
              <w:rPr>
                <w:webHidden/>
                <w:rStyle w:val="Sautdindex"/>
                <w:vanish w:val="false"/>
                <w:lang w:val="fr-FR"/>
              </w:rPr>
              <w:t>17.1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Les contraintes réglementaires</w:t>
            </w:r>
            <w:r>
              <w:rPr>
                <w:webHidden/>
              </w:rPr>
              <w:fldChar w:fldCharType="begin"/>
            </w:r>
            <w:r>
              <w:rPr>
                <w:webHidden/>
              </w:rPr>
              <w:instrText>PAGEREF _Toc142644661 \h</w:instrText>
            </w:r>
            <w:r>
              <w:rPr>
                <w:webHidden/>
              </w:rPr>
              <w:fldChar w:fldCharType="separate"/>
            </w:r>
            <w:r>
              <w:rPr>
                <w:rStyle w:val="Sautdindex"/>
                <w:vanish w:val="false"/>
                <w:lang w:val="fr-FR"/>
              </w:rPr>
              <w:tab/>
              <w:t>14</w:t>
            </w:r>
            <w:r>
              <w:rPr>
                <w:webHidden/>
              </w:rPr>
              <w:fldChar w:fldCharType="end"/>
            </w:r>
          </w:hyperlink>
        </w:p>
        <w:p>
          <w:pPr>
            <w:pStyle w:val="Tabledesmatiresniveau3"/>
            <w:tabs>
              <w:tab w:val="clear" w:pos="408"/>
              <w:tab w:val="left" w:pos="1320" w:leader="none"/>
              <w:tab w:val="right" w:pos="8290" w:leader="dot"/>
            </w:tabs>
            <w:rPr/>
          </w:pPr>
          <w:hyperlink w:anchor="_Toc142644662">
            <w:r>
              <w:rPr>
                <w:webHidden/>
                <w:rStyle w:val="Sautdindex"/>
                <w:vanish w:val="false"/>
                <w:lang w:val="fr-FR"/>
              </w:rPr>
              <w:t>17.1.1</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Le RGS</w:t>
            </w:r>
            <w:r>
              <w:rPr>
                <w:webHidden/>
              </w:rPr>
              <w:fldChar w:fldCharType="begin"/>
            </w:r>
            <w:r>
              <w:rPr>
                <w:webHidden/>
              </w:rPr>
              <w:instrText>PAGEREF _Toc142644662 \h</w:instrText>
            </w:r>
            <w:r>
              <w:rPr>
                <w:webHidden/>
              </w:rPr>
              <w:fldChar w:fldCharType="separate"/>
            </w:r>
            <w:r>
              <w:rPr>
                <w:rStyle w:val="Sautdindex"/>
                <w:vanish w:val="false"/>
                <w:lang w:val="fr-FR"/>
              </w:rPr>
              <w:tab/>
              <w:t>14</w:t>
            </w:r>
            <w:r>
              <w:rPr>
                <w:webHidden/>
              </w:rPr>
              <w:fldChar w:fldCharType="end"/>
            </w:r>
          </w:hyperlink>
        </w:p>
        <w:p>
          <w:pPr>
            <w:pStyle w:val="Tabledesmatiresniveau3"/>
            <w:tabs>
              <w:tab w:val="clear" w:pos="408"/>
              <w:tab w:val="left" w:pos="1320" w:leader="none"/>
              <w:tab w:val="right" w:pos="8290" w:leader="dot"/>
            </w:tabs>
            <w:rPr/>
          </w:pPr>
          <w:hyperlink w:anchor="_Toc142644663">
            <w:r>
              <w:rPr>
                <w:webHidden/>
                <w:rStyle w:val="Sautdindex"/>
                <w:vanish w:val="false"/>
                <w:lang w:val="fr-FR"/>
              </w:rPr>
              <w:t>17.1.2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Le Règlement Général sur la Protection des Données (RGPD)</w:t>
            </w:r>
            <w:r>
              <w:rPr>
                <w:webHidden/>
              </w:rPr>
              <w:fldChar w:fldCharType="begin"/>
            </w:r>
            <w:r>
              <w:rPr>
                <w:webHidden/>
              </w:rPr>
              <w:instrText>PAGEREF _Toc142644663 \h</w:instrText>
            </w:r>
            <w:r>
              <w:rPr>
                <w:webHidden/>
              </w:rPr>
              <w:fldChar w:fldCharType="separate"/>
            </w:r>
            <w:r>
              <w:rPr>
                <w:rStyle w:val="Sautdindex"/>
                <w:vanish w:val="false"/>
                <w:lang w:val="fr-FR"/>
              </w:rPr>
              <w:tab/>
              <w:t>14</w:t>
            </w:r>
            <w:r>
              <w:rPr>
                <w:webHidden/>
              </w:rPr>
              <w:fldChar w:fldCharType="end"/>
            </w:r>
          </w:hyperlink>
        </w:p>
        <w:p>
          <w:pPr>
            <w:pStyle w:val="Tabledesmatiresniveau3"/>
            <w:tabs>
              <w:tab w:val="clear" w:pos="408"/>
              <w:tab w:val="left" w:pos="1320" w:leader="none"/>
              <w:tab w:val="right" w:pos="8290" w:leader="dot"/>
            </w:tabs>
            <w:rPr/>
          </w:pPr>
          <w:hyperlink w:anchor="_Toc142644664">
            <w:r>
              <w:rPr>
                <w:webHidden/>
                <w:rStyle w:val="Sautdindex"/>
                <w:vanish w:val="false"/>
                <w:lang w:val="fr-FR"/>
              </w:rPr>
              <w:t>17.1.3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Le Code du Patrimoine</w:t>
            </w:r>
            <w:r>
              <w:rPr>
                <w:webHidden/>
              </w:rPr>
              <w:fldChar w:fldCharType="begin"/>
            </w:r>
            <w:r>
              <w:rPr>
                <w:webHidden/>
              </w:rPr>
              <w:instrText>PAGEREF _Toc142644664 \h</w:instrText>
            </w:r>
            <w:r>
              <w:rPr>
                <w:webHidden/>
              </w:rPr>
              <w:fldChar w:fldCharType="separate"/>
            </w:r>
            <w:r>
              <w:rPr>
                <w:rStyle w:val="Sautdindex"/>
                <w:vanish w:val="false"/>
                <w:lang w:val="fr-FR"/>
              </w:rPr>
              <w:tab/>
              <w:t>14</w:t>
            </w:r>
            <w:r>
              <w:rPr>
                <w:webHidden/>
              </w:rPr>
              <w:fldChar w:fldCharType="end"/>
            </w:r>
          </w:hyperlink>
        </w:p>
        <w:p>
          <w:pPr>
            <w:pStyle w:val="Tabledesmatiresniveau2"/>
            <w:tabs>
              <w:tab w:val="clear" w:pos="408"/>
              <w:tab w:val="left" w:pos="1100" w:leader="none"/>
              <w:tab w:val="right" w:pos="8290" w:leader="dot"/>
            </w:tabs>
            <w:rPr/>
          </w:pPr>
          <w:hyperlink w:anchor="_Toc142644665">
            <w:r>
              <w:rPr>
                <w:webHidden/>
                <w:rStyle w:val="Sautdindex"/>
                <w:vanish w:val="false"/>
                <w:lang w:val="fr-FR"/>
              </w:rPr>
              <w:t>17.2</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Les clauses générales de confidentialité</w:t>
            </w:r>
            <w:r>
              <w:rPr>
                <w:webHidden/>
              </w:rPr>
              <w:fldChar w:fldCharType="begin"/>
            </w:r>
            <w:r>
              <w:rPr>
                <w:webHidden/>
              </w:rPr>
              <w:instrText>PAGEREF _Toc142644665 \h</w:instrText>
            </w:r>
            <w:r>
              <w:rPr>
                <w:webHidden/>
              </w:rPr>
              <w:fldChar w:fldCharType="separate"/>
            </w:r>
            <w:r>
              <w:rPr>
                <w:rStyle w:val="Sautdindex"/>
                <w:vanish w:val="false"/>
                <w:lang w:val="fr-FR"/>
              </w:rPr>
              <w:tab/>
              <w:t>14</w:t>
            </w:r>
            <w:r>
              <w:rPr>
                <w:webHidden/>
              </w:rPr>
              <w:fldChar w:fldCharType="end"/>
            </w:r>
          </w:hyperlink>
        </w:p>
        <w:p>
          <w:pPr>
            <w:pStyle w:val="Tabledesmatiresniveau2"/>
            <w:tabs>
              <w:tab w:val="clear" w:pos="408"/>
              <w:tab w:val="left" w:pos="1100" w:leader="none"/>
              <w:tab w:val="right" w:pos="8290" w:leader="dot"/>
            </w:tabs>
            <w:rPr/>
          </w:pPr>
          <w:hyperlink w:anchor="_Toc142644666">
            <w:r>
              <w:rPr>
                <w:webHidden/>
                <w:rStyle w:val="Sautdindex"/>
                <w:vanish w:val="false"/>
                <w:lang w:val="fr-FR"/>
              </w:rPr>
              <w:t>17.3</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Les contrôles</w:t>
            </w:r>
            <w:r>
              <w:rPr>
                <w:webHidden/>
              </w:rPr>
              <w:fldChar w:fldCharType="begin"/>
            </w:r>
            <w:r>
              <w:rPr>
                <w:webHidden/>
              </w:rPr>
              <w:instrText>PAGEREF _Toc142644666 \h</w:instrText>
            </w:r>
            <w:r>
              <w:rPr>
                <w:webHidden/>
              </w:rPr>
              <w:fldChar w:fldCharType="separate"/>
            </w:r>
            <w:r>
              <w:rPr>
                <w:rStyle w:val="Sautdindex"/>
                <w:vanish w:val="false"/>
                <w:lang w:val="fr-FR"/>
              </w:rPr>
              <w:tab/>
              <w:t>16</w:t>
            </w:r>
            <w:r>
              <w:rPr>
                <w:webHidden/>
              </w:rPr>
              <w:fldChar w:fldCharType="end"/>
            </w:r>
          </w:hyperlink>
        </w:p>
        <w:p>
          <w:pPr>
            <w:pStyle w:val="Tabledesmatiresniveau2"/>
            <w:tabs>
              <w:tab w:val="clear" w:pos="408"/>
              <w:tab w:val="left" w:pos="1100" w:leader="none"/>
              <w:tab w:val="right" w:pos="8290" w:leader="dot"/>
            </w:tabs>
            <w:rPr/>
          </w:pPr>
          <w:hyperlink w:anchor="_Toc142644667">
            <w:r>
              <w:rPr>
                <w:webHidden/>
                <w:rStyle w:val="Sautdindex"/>
                <w:vanish w:val="false"/>
                <w:lang w:val="fr-FR"/>
              </w:rPr>
              <w:t>17.4</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Phase de réversibilité</w:t>
            </w:r>
            <w:r>
              <w:rPr>
                <w:webHidden/>
              </w:rPr>
              <w:fldChar w:fldCharType="begin"/>
            </w:r>
            <w:r>
              <w:rPr>
                <w:webHidden/>
              </w:rPr>
              <w:instrText>PAGEREF _Toc142644667 \h</w:instrText>
            </w:r>
            <w:r>
              <w:rPr>
                <w:webHidden/>
              </w:rPr>
              <w:fldChar w:fldCharType="separate"/>
            </w:r>
            <w:r>
              <w:rPr>
                <w:rStyle w:val="Sautdindex"/>
                <w:vanish w:val="false"/>
                <w:lang w:val="fr-FR"/>
              </w:rPr>
              <w:tab/>
              <w:t>16</w:t>
            </w:r>
            <w:r>
              <w:rPr>
                <w:webHidden/>
              </w:rPr>
              <w:fldChar w:fldCharType="end"/>
            </w:r>
          </w:hyperlink>
        </w:p>
        <w:p>
          <w:pPr>
            <w:pStyle w:val="Tabledesmatiresniveau1"/>
            <w:tabs>
              <w:tab w:val="clear" w:pos="408"/>
              <w:tab w:val="left" w:pos="1540" w:leader="none"/>
              <w:tab w:val="right" w:pos="8290" w:leader="dot"/>
            </w:tabs>
            <w:rPr/>
          </w:pPr>
          <w:hyperlink w:anchor="_Toc142644668">
            <w:r>
              <w:rPr>
                <w:webHidden/>
                <w:rStyle w:val="Sautdindex"/>
                <w:vanish w:val="false"/>
                <w:lang w:val="fr-FR"/>
              </w:rPr>
              <w:t>Article 18 -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LOGICIEL E-ATTESTATIONS</w:t>
            </w:r>
            <w:r>
              <w:rPr>
                <w:webHidden/>
              </w:rPr>
              <w:fldChar w:fldCharType="begin"/>
            </w:r>
            <w:r>
              <w:rPr>
                <w:webHidden/>
              </w:rPr>
              <w:instrText>PAGEREF _Toc142644668 \h</w:instrText>
            </w:r>
            <w:r>
              <w:rPr>
                <w:webHidden/>
              </w:rPr>
              <w:fldChar w:fldCharType="separate"/>
            </w:r>
            <w:r>
              <w:rPr>
                <w:rStyle w:val="Sautdindex"/>
                <w:vanish w:val="false"/>
                <w:lang w:val="fr-FR"/>
              </w:rPr>
              <w:tab/>
              <w:t>16</w:t>
            </w:r>
            <w:r>
              <w:rPr>
                <w:webHidden/>
              </w:rPr>
              <w:fldChar w:fldCharType="end"/>
            </w:r>
          </w:hyperlink>
        </w:p>
        <w:p>
          <w:pPr>
            <w:pStyle w:val="Tabledesmatiresniveau1"/>
            <w:tabs>
              <w:tab w:val="clear" w:pos="408"/>
              <w:tab w:val="left" w:pos="1540" w:leader="none"/>
              <w:tab w:val="right" w:pos="8290" w:leader="dot"/>
            </w:tabs>
            <w:rPr/>
          </w:pPr>
          <w:hyperlink w:anchor="_Toc142644669">
            <w:r>
              <w:rPr>
                <w:webHidden/>
                <w:rStyle w:val="Sautdindex"/>
                <w:vanish w:val="false"/>
                <w:lang w:val="fr-FR"/>
              </w:rPr>
              <w:t>Article 19 -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LOI APPLICABLE</w:t>
            </w:r>
            <w:r>
              <w:rPr>
                <w:webHidden/>
              </w:rPr>
              <w:fldChar w:fldCharType="begin"/>
            </w:r>
            <w:r>
              <w:rPr>
                <w:webHidden/>
              </w:rPr>
              <w:instrText>PAGEREF _Toc142644669 \h</w:instrText>
            </w:r>
            <w:r>
              <w:rPr>
                <w:webHidden/>
              </w:rPr>
              <w:fldChar w:fldCharType="separate"/>
            </w:r>
            <w:r>
              <w:rPr>
                <w:rStyle w:val="Sautdindex"/>
                <w:vanish w:val="false"/>
                <w:lang w:val="fr-FR"/>
              </w:rPr>
              <w:tab/>
              <w:t>16</w:t>
            </w:r>
            <w:r>
              <w:rPr>
                <w:webHidden/>
              </w:rPr>
              <w:fldChar w:fldCharType="end"/>
            </w:r>
          </w:hyperlink>
        </w:p>
        <w:p>
          <w:pPr>
            <w:pStyle w:val="Tabledesmatiresniveau1"/>
            <w:tabs>
              <w:tab w:val="clear" w:pos="408"/>
              <w:tab w:val="left" w:pos="1540" w:leader="none"/>
              <w:tab w:val="right" w:pos="8290" w:leader="dot"/>
            </w:tabs>
            <w:rPr/>
          </w:pPr>
          <w:hyperlink w:anchor="_Toc142644670">
            <w:r>
              <w:rPr>
                <w:webHidden/>
                <w:rStyle w:val="Sautdindex"/>
                <w:vanish w:val="false"/>
                <w:lang w:val="fr-FR"/>
              </w:rPr>
              <w:t>Article 20 -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CONFORMITE AUX NORMES</w:t>
            </w:r>
            <w:r>
              <w:rPr>
                <w:webHidden/>
              </w:rPr>
              <w:fldChar w:fldCharType="begin"/>
            </w:r>
            <w:r>
              <w:rPr>
                <w:webHidden/>
              </w:rPr>
              <w:instrText>PAGEREF _Toc142644670 \h</w:instrText>
            </w:r>
            <w:r>
              <w:rPr>
                <w:webHidden/>
              </w:rPr>
              <w:fldChar w:fldCharType="separate"/>
            </w:r>
            <w:r>
              <w:rPr>
                <w:rStyle w:val="Sautdindex"/>
                <w:vanish w:val="false"/>
                <w:lang w:val="fr-FR"/>
              </w:rPr>
              <w:tab/>
              <w:t>16</w:t>
            </w:r>
            <w:r>
              <w:rPr>
                <w:webHidden/>
              </w:rPr>
              <w:fldChar w:fldCharType="end"/>
            </w:r>
          </w:hyperlink>
        </w:p>
        <w:p>
          <w:pPr>
            <w:pStyle w:val="Tabledesmatiresniveau1"/>
            <w:tabs>
              <w:tab w:val="clear" w:pos="408"/>
              <w:tab w:val="left" w:pos="1540" w:leader="none"/>
              <w:tab w:val="right" w:pos="8290" w:leader="dot"/>
            </w:tabs>
            <w:rPr/>
          </w:pPr>
          <w:hyperlink w:anchor="_Toc142644671">
            <w:r>
              <w:rPr>
                <w:webHidden/>
                <w:rStyle w:val="Sautdindex"/>
                <w:vanish w:val="false"/>
                <w:lang w:val="fr-FR"/>
              </w:rPr>
              <w:t>Article 21 -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ASSURANCES</w:t>
            </w:r>
            <w:r>
              <w:rPr>
                <w:webHidden/>
              </w:rPr>
              <w:fldChar w:fldCharType="begin"/>
            </w:r>
            <w:r>
              <w:rPr>
                <w:webHidden/>
              </w:rPr>
              <w:instrText>PAGEREF _Toc142644671 \h</w:instrText>
            </w:r>
            <w:r>
              <w:rPr>
                <w:webHidden/>
              </w:rPr>
              <w:fldChar w:fldCharType="separate"/>
            </w:r>
            <w:r>
              <w:rPr>
                <w:rStyle w:val="Sautdindex"/>
                <w:vanish w:val="false"/>
                <w:lang w:val="fr-FR"/>
              </w:rPr>
              <w:tab/>
              <w:t>17</w:t>
            </w:r>
            <w:r>
              <w:rPr>
                <w:webHidden/>
              </w:rPr>
              <w:fldChar w:fldCharType="end"/>
            </w:r>
          </w:hyperlink>
        </w:p>
        <w:p>
          <w:pPr>
            <w:pStyle w:val="Tabledesmatiresniveau1"/>
            <w:tabs>
              <w:tab w:val="clear" w:pos="408"/>
              <w:tab w:val="left" w:pos="1540" w:leader="none"/>
              <w:tab w:val="right" w:pos="8290" w:leader="dot"/>
            </w:tabs>
            <w:rPr/>
          </w:pPr>
          <w:hyperlink w:anchor="_Toc142644672">
            <w:r>
              <w:rPr>
                <w:webHidden/>
                <w:rStyle w:val="Sautdindex"/>
                <w:vanish w:val="false"/>
                <w:lang w:val="fr-FR"/>
              </w:rPr>
              <w:t>Article 22 -</w:t>
            </w:r>
            <w:r>
              <w:rPr>
                <w:rStyle w:val="Sautdindex"/>
                <w:rFonts w:eastAsia="" w:cs="" w:ascii="Calibri" w:hAnsi="Calibri" w:asciiTheme="minorHAnsi" w:cstheme="minorBidi" w:eastAsiaTheme="minorEastAsia" w:hAnsiTheme="minorHAnsi"/>
                <w:kern w:val="0"/>
                <w:sz w:val="22"/>
                <w:szCs w:val="22"/>
                <w:lang w:val="fr-FR" w:eastAsia="fr-FR" w:bidi="ar-SA"/>
              </w:rPr>
              <w:tab/>
            </w:r>
            <w:r>
              <w:rPr>
                <w:rStyle w:val="Sautdindex"/>
                <w:lang w:val="fr-FR"/>
              </w:rPr>
              <w:t>DEROGATIONS AUX DOCUMENTS GENERAUX</w:t>
            </w:r>
            <w:r>
              <w:rPr>
                <w:webHidden/>
              </w:rPr>
              <w:fldChar w:fldCharType="begin"/>
            </w:r>
            <w:r>
              <w:rPr>
                <w:webHidden/>
              </w:rPr>
              <w:instrText>PAGEREF _Toc142644672 \h</w:instrText>
            </w:r>
            <w:r>
              <w:rPr>
                <w:webHidden/>
              </w:rPr>
              <w:fldChar w:fldCharType="separate"/>
            </w:r>
            <w:r>
              <w:rPr>
                <w:rStyle w:val="Sautdindex"/>
                <w:vanish w:val="false"/>
                <w:lang w:val="fr-FR"/>
              </w:rPr>
              <w:tab/>
              <w:t>17</w:t>
            </w:r>
            <w:r>
              <w:rPr>
                <w:webHidden/>
              </w:rPr>
              <w:fldChar w:fldCharType="end"/>
            </w:r>
          </w:hyperlink>
        </w:p>
        <w:p>
          <w:pPr>
            <w:pStyle w:val="Normal"/>
            <w:rPr>
              <w:lang w:val="fr-FR"/>
            </w:rPr>
          </w:pPr>
          <w:r>
            <w:rPr>
              <w:lang w:val="fr-FR"/>
            </w:rPr>
          </w:r>
          <w:r>
            <w:rPr>
              <w:lang w:val="fr-FR"/>
            </w:rPr>
            <w:fldChar w:fldCharType="end"/>
          </w:r>
        </w:p>
      </w:sdtContent>
    </w:sdt>
    <w:p>
      <w:pPr>
        <w:pStyle w:val="Titre1"/>
        <w:rPr>
          <w:lang w:val="fr-FR"/>
        </w:rPr>
      </w:pPr>
      <w:bookmarkStart w:id="0" w:name="_Toc142644612"/>
      <w:bookmarkStart w:id="1" w:name="_Toc142644551"/>
      <w:r>
        <w:rPr>
          <w:lang w:val="fr-FR"/>
        </w:rPr>
        <w:t>OBJET ET DUREE DU MARCHE</w:t>
      </w:r>
      <w:bookmarkEnd w:id="0"/>
      <w:bookmarkEnd w:id="1"/>
    </w:p>
    <w:p>
      <w:pPr>
        <w:pStyle w:val="Titre2"/>
        <w:rPr>
          <w:lang w:val="fr-FR"/>
        </w:rPr>
      </w:pPr>
      <w:bookmarkStart w:id="2" w:name="_Toc142644552"/>
      <w:bookmarkStart w:id="3" w:name="_Toc142644613"/>
      <w:r>
        <w:rPr>
          <w:lang w:val="fr-FR"/>
        </w:rPr>
        <w:t>Intitulé et Objet des prestations</w:t>
      </w:r>
      <w:bookmarkEnd w:id="2"/>
      <w:bookmarkEnd w:id="3"/>
    </w:p>
    <w:p>
      <w:pPr>
        <w:pStyle w:val="Standard"/>
        <w:rPr>
          <w:lang w:val="fr-FR"/>
        </w:rPr>
      </w:pPr>
      <w:r>
        <w:rPr>
          <w:lang w:val="fr-FR"/>
        </w:rPr>
        <w:t>La présente consultation a pour objet : Prestations de service en vue de la sensibilisation et la prévention des conduites à risques chez les jeunes  (2 lots)</w:t>
      </w:r>
    </w:p>
    <w:p>
      <w:pPr>
        <w:pStyle w:val="Titre2"/>
        <w:rPr>
          <w:lang w:val="fr-FR"/>
        </w:rPr>
      </w:pPr>
      <w:bookmarkStart w:id="4" w:name="_Toc142644553"/>
      <w:bookmarkStart w:id="5" w:name="_Toc142644614"/>
      <w:r>
        <w:rPr>
          <w:lang w:val="fr-FR"/>
        </w:rPr>
        <w:t>Procédure</w:t>
      </w:r>
      <w:bookmarkEnd w:id="4"/>
      <w:bookmarkEnd w:id="5"/>
    </w:p>
    <w:p>
      <w:pPr>
        <w:pStyle w:val="Standard"/>
        <w:rPr>
          <w:lang w:val="fr-FR"/>
        </w:rPr>
      </w:pPr>
      <w:r>
        <w:rPr>
          <w:lang w:val="fr-FR"/>
        </w:rPr>
        <w:t>La procédure de passation est la suivante :</w:t>
      </w:r>
    </w:p>
    <w:p>
      <w:pPr>
        <w:pStyle w:val="Standard"/>
        <w:rPr>
          <w:lang w:val="fr-FR"/>
        </w:rPr>
      </w:pPr>
      <w:r>
        <w:rPr>
          <w:lang w:val="fr-FR"/>
        </w:rPr>
        <w:t>MAPA OUVERT AVEC BOAMP - selon les articles suivants : articles L2123-1, R2123-1-1°, R2123-4 et 5 du Code de la commande publique.</w:t>
      </w:r>
    </w:p>
    <w:p>
      <w:pPr>
        <w:pStyle w:val="Titre2"/>
        <w:rPr>
          <w:lang w:val="fr-FR"/>
        </w:rPr>
      </w:pPr>
      <w:bookmarkStart w:id="6" w:name="_Toc142644554"/>
      <w:bookmarkStart w:id="7" w:name="_Toc142644615"/>
      <w:r>
        <w:rPr>
          <w:lang w:val="fr-FR"/>
        </w:rPr>
        <w:t>Décomposition en Lots, Tranches et postes</w:t>
      </w:r>
      <w:bookmarkEnd w:id="6"/>
      <w:bookmarkEnd w:id="7"/>
    </w:p>
    <w:p>
      <w:pPr>
        <w:pStyle w:val="Titre3"/>
        <w:rPr>
          <w:lang w:val="fr-FR"/>
        </w:rPr>
      </w:pPr>
      <w:bookmarkStart w:id="8" w:name="_Toc142644555"/>
      <w:bookmarkStart w:id="9" w:name="_Toc142644616"/>
      <w:r>
        <w:rPr>
          <w:lang w:val="fr-FR"/>
        </w:rPr>
        <w:t>Décomposition en lots</w:t>
      </w:r>
      <w:bookmarkEnd w:id="8"/>
      <w:bookmarkEnd w:id="9"/>
    </w:p>
    <w:p>
      <w:pPr>
        <w:pStyle w:val="Standard"/>
        <w:rPr>
          <w:lang w:val="fr-FR"/>
        </w:rPr>
      </w:pPr>
      <w:r>
        <w:rPr>
          <w:lang w:val="fr-FR"/>
        </w:rPr>
        <w:t>L'ensemble des prestations est réparti en plusieurs lots traités par marchés séparés et définis comme suit :</w:t>
      </w:r>
    </w:p>
    <w:p>
      <w:pPr>
        <w:pStyle w:val="Standard"/>
        <w:rPr>
          <w:lang w:val="fr-FR"/>
        </w:rPr>
      </w:pPr>
      <w:r>
        <w:rPr>
          <w:lang w:val="fr-FR"/>
        </w:rPr>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30"/>
        <w:gridCol w:w="7469"/>
      </w:tblGrid>
      <w:tr>
        <w:trPr/>
        <w:tc>
          <w:tcPr>
            <w:tcW w:w="83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rPr>
                <w:lang w:val="fr-FR"/>
              </w:rPr>
            </w:pPr>
            <w:r>
              <w:rPr>
                <w:lang w:val="fr-FR"/>
              </w:rPr>
              <w:t>N°</w:t>
            </w:r>
          </w:p>
        </w:tc>
        <w:tc>
          <w:tcPr>
            <w:tcW w:w="7469" w:type="dxa"/>
            <w:tcBorders>
              <w:top w:val="single" w:sz="2" w:space="0" w:color="000000"/>
              <w:left w:val="single" w:sz="2" w:space="0" w:color="000000"/>
              <w:bottom w:val="single" w:sz="2" w:space="0" w:color="000000"/>
              <w:right w:val="single" w:sz="2" w:space="0" w:color="000000"/>
            </w:tcBorders>
            <w:shd w:color="auto" w:fill="C0C0C0" w:val="clear"/>
          </w:tcPr>
          <w:p>
            <w:pPr>
              <w:pStyle w:val="Tableau"/>
              <w:widowControl w:val="false"/>
              <w:spacing w:before="120" w:after="120"/>
              <w:rPr>
                <w:lang w:val="fr-FR"/>
              </w:rPr>
            </w:pPr>
            <w:r>
              <w:rPr>
                <w:lang w:val="fr-FR"/>
              </w:rPr>
              <w:t>Intitulés lots séparés</w:t>
            </w:r>
          </w:p>
        </w:tc>
      </w:tr>
      <w:tr>
        <w:trPr/>
        <w:tc>
          <w:tcPr>
            <w:tcW w:w="830" w:type="dxa"/>
            <w:tcBorders>
              <w:left w:val="single" w:sz="2" w:space="0" w:color="000000"/>
              <w:bottom w:val="single" w:sz="2" w:space="0" w:color="000000"/>
            </w:tcBorders>
          </w:tcPr>
          <w:p>
            <w:pPr>
              <w:pStyle w:val="Tableau"/>
              <w:widowControl w:val="false"/>
              <w:spacing w:before="120" w:after="120"/>
              <w:rPr>
                <w:lang w:val="fr-FR"/>
              </w:rPr>
            </w:pPr>
            <w:r>
              <w:rPr>
                <w:lang w:val="fr-FR"/>
              </w:rPr>
              <w:t>1</w:t>
            </w:r>
          </w:p>
        </w:tc>
        <w:tc>
          <w:tcPr>
            <w:tcW w:w="746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t>Prestations de service en vue de la sensibilisation et de la prévention des comportements prostitutionnels</w:t>
            </w:r>
          </w:p>
        </w:tc>
      </w:tr>
      <w:tr>
        <w:trPr/>
        <w:tc>
          <w:tcPr>
            <w:tcW w:w="830" w:type="dxa"/>
            <w:tcBorders>
              <w:left w:val="single" w:sz="2" w:space="0" w:color="000000"/>
              <w:bottom w:val="single" w:sz="2" w:space="0" w:color="000000"/>
            </w:tcBorders>
          </w:tcPr>
          <w:p>
            <w:pPr>
              <w:pStyle w:val="Tableau"/>
              <w:widowControl w:val="false"/>
              <w:spacing w:before="120" w:after="120"/>
              <w:rPr>
                <w:lang w:val="fr-FR"/>
              </w:rPr>
            </w:pPr>
            <w:r>
              <w:rPr>
                <w:lang w:val="fr-FR"/>
              </w:rPr>
              <w:t>2</w:t>
            </w:r>
          </w:p>
        </w:tc>
        <w:tc>
          <w:tcPr>
            <w:tcW w:w="7469" w:type="dxa"/>
            <w:tcBorders>
              <w:left w:val="single" w:sz="2" w:space="0" w:color="000000"/>
              <w:bottom w:val="single" w:sz="2" w:space="0" w:color="000000"/>
              <w:right w:val="single" w:sz="2" w:space="0" w:color="000000"/>
            </w:tcBorders>
          </w:tcPr>
          <w:p>
            <w:pPr>
              <w:pStyle w:val="Tableau"/>
              <w:widowControl w:val="false"/>
              <w:spacing w:before="120" w:after="120"/>
              <w:rPr>
                <w:lang w:val="fr-FR"/>
              </w:rPr>
            </w:pPr>
            <w:r>
              <w:rPr>
                <w:lang w:val="fr-FR"/>
              </w:rPr>
              <w:t>Prestations de service en vue de la sensibilisation et de la prévention de l’entrée des jeunes dans les trafics</w:t>
            </w:r>
          </w:p>
        </w:tc>
      </w:tr>
    </w:tbl>
    <w:p>
      <w:pPr>
        <w:pStyle w:val="Standard"/>
        <w:rPr>
          <w:lang w:val="fr-FR"/>
        </w:rPr>
      </w:pPr>
      <w:r>
        <w:rPr>
          <w:lang w:val="fr-FR"/>
        </w:rPr>
      </w:r>
    </w:p>
    <w:p>
      <w:pPr>
        <w:pStyle w:val="Titre3"/>
        <w:rPr>
          <w:lang w:val="fr-FR"/>
        </w:rPr>
      </w:pPr>
      <w:bookmarkStart w:id="10" w:name="_Toc142644556"/>
      <w:bookmarkStart w:id="11" w:name="_Toc142644617"/>
      <w:r>
        <w:rPr>
          <w:lang w:val="fr-FR"/>
        </w:rPr>
        <w:t>Décomposition en tranches</w:t>
      </w:r>
      <w:bookmarkEnd w:id="10"/>
      <w:bookmarkEnd w:id="11"/>
    </w:p>
    <w:p>
      <w:pPr>
        <w:pStyle w:val="Standard"/>
        <w:rPr>
          <w:lang w:val="fr-FR"/>
        </w:rPr>
      </w:pPr>
      <w:r>
        <w:rPr>
          <w:lang w:val="fr-FR"/>
        </w:rPr>
        <w:t>L'ensemble des prestations n'est pas subdivisé en tranches.</w:t>
      </w:r>
    </w:p>
    <w:p>
      <w:pPr>
        <w:pStyle w:val="Titre3"/>
        <w:rPr>
          <w:lang w:val="fr-FR"/>
        </w:rPr>
      </w:pPr>
      <w:bookmarkStart w:id="12" w:name="_Toc142644557"/>
      <w:bookmarkStart w:id="13" w:name="_Toc142644618"/>
      <w:r>
        <w:rPr>
          <w:lang w:val="fr-FR"/>
        </w:rPr>
        <w:t>Décomposition en postes</w:t>
      </w:r>
      <w:bookmarkEnd w:id="12"/>
      <w:bookmarkEnd w:id="13"/>
    </w:p>
    <w:p>
      <w:pPr>
        <w:pStyle w:val="Standard"/>
        <w:rPr>
          <w:lang w:val="fr-FR"/>
        </w:rPr>
      </w:pPr>
      <w:r>
        <w:rPr>
          <w:lang w:val="fr-FR"/>
        </w:rPr>
        <w:t>L'ensemble des prestations n'est pas subdivisé en postes.</w:t>
      </w:r>
    </w:p>
    <w:p>
      <w:pPr>
        <w:pStyle w:val="Titre2"/>
        <w:rPr>
          <w:lang w:val="fr-FR"/>
        </w:rPr>
      </w:pPr>
      <w:bookmarkStart w:id="14" w:name="_Toc142644558"/>
      <w:bookmarkStart w:id="15" w:name="_Toc142644619"/>
      <w:r>
        <w:rPr>
          <w:lang w:val="fr-FR"/>
        </w:rPr>
        <w:t>Modalités d'exécution des tranches optionnelles</w:t>
      </w:r>
      <w:bookmarkEnd w:id="14"/>
      <w:bookmarkEnd w:id="15"/>
    </w:p>
    <w:p>
      <w:pPr>
        <w:pStyle w:val="Standard"/>
        <w:rPr>
          <w:lang w:val="fr-FR"/>
        </w:rPr>
      </w:pPr>
      <w:r>
        <w:rPr>
          <w:lang w:val="fr-FR"/>
        </w:rPr>
        <w:t>L'ensemble des prestations n'est pas subdivisé en tranches.</w:t>
      </w:r>
    </w:p>
    <w:p>
      <w:pPr>
        <w:pStyle w:val="Titre2"/>
        <w:rPr>
          <w:lang w:val="fr-FR"/>
        </w:rPr>
      </w:pPr>
      <w:bookmarkStart w:id="16" w:name="_Toc142644559"/>
      <w:bookmarkStart w:id="17" w:name="_Toc142644620"/>
      <w:r>
        <w:rPr>
          <w:lang w:val="fr-FR"/>
        </w:rPr>
        <w:t>Accord-cadre à bons de commande</w:t>
      </w:r>
      <w:bookmarkEnd w:id="16"/>
      <w:bookmarkEnd w:id="17"/>
    </w:p>
    <w:p>
      <w:pPr>
        <w:pStyle w:val="Standard"/>
        <w:rPr>
          <w:lang w:val="fr-FR"/>
        </w:rPr>
      </w:pPr>
      <w:r>
        <w:rPr>
          <w:lang w:val="fr-FR"/>
        </w:rPr>
      </w:r>
    </w:p>
    <w:p>
      <w:pPr>
        <w:pStyle w:val="Standard"/>
        <w:rPr>
          <w:lang w:val="fr-FR"/>
        </w:rPr>
      </w:pPr>
      <w:r>
        <w:rPr>
          <w:lang w:val="fr-FR"/>
        </w:rPr>
        <w:t>Sans objet.</w:t>
      </w:r>
    </w:p>
    <w:p>
      <w:pPr>
        <w:pStyle w:val="Standard"/>
        <w:rPr>
          <w:lang w:val="fr-FR"/>
        </w:rPr>
      </w:pPr>
      <w:r>
        <w:rPr>
          <w:lang w:val="fr-FR"/>
        </w:rPr>
        <w:t xml:space="preserve"> </w:t>
      </w:r>
    </w:p>
    <w:p>
      <w:pPr>
        <w:pStyle w:val="Titre2"/>
        <w:rPr>
          <w:lang w:val="fr-FR"/>
        </w:rPr>
      </w:pPr>
      <w:bookmarkStart w:id="18" w:name="_Toc142644560"/>
      <w:bookmarkStart w:id="19" w:name="_Toc142644621"/>
      <w:r>
        <w:rPr>
          <w:lang w:val="fr-FR"/>
        </w:rPr>
        <w:t>Date d'effet du marché</w:t>
      </w:r>
      <w:bookmarkEnd w:id="18"/>
      <w:bookmarkEnd w:id="19"/>
    </w:p>
    <w:p>
      <w:pPr>
        <w:pStyle w:val="Standard"/>
        <w:rPr>
          <w:lang w:val="fr-FR"/>
        </w:rPr>
      </w:pPr>
      <w:r>
        <w:rPr>
          <w:lang w:val="fr-FR"/>
        </w:rPr>
      </w:r>
    </w:p>
    <w:p>
      <w:pPr>
        <w:pStyle w:val="Standard"/>
        <w:rPr>
          <w:lang w:val="fr-FR"/>
        </w:rPr>
      </w:pPr>
      <w:r>
        <w:rPr>
          <w:lang w:val="fr-FR"/>
        </w:rPr>
        <w:t xml:space="preserve"> </w:t>
      </w:r>
      <w:r>
        <w:rPr>
          <w:lang w:val="fr-FR"/>
        </w:rPr>
        <w:t>La date de début de la période de validité et d'exécution du marché est la date de notification du marché au titulaire.</w:t>
      </w:r>
    </w:p>
    <w:p>
      <w:pPr>
        <w:pStyle w:val="Standard"/>
        <w:rPr>
          <w:lang w:val="fr-FR"/>
        </w:rPr>
      </w:pPr>
      <w:r>
        <w:rPr>
          <w:lang w:val="fr-FR"/>
        </w:rPr>
      </w:r>
    </w:p>
    <w:p>
      <w:pPr>
        <w:pStyle w:val="Titre2"/>
        <w:rPr>
          <w:lang w:val="fr-FR"/>
        </w:rPr>
      </w:pPr>
      <w:bookmarkStart w:id="20" w:name="_Toc142644561"/>
      <w:bookmarkStart w:id="21" w:name="_Toc142644622"/>
      <w:r>
        <w:rPr>
          <w:lang w:val="fr-FR"/>
        </w:rPr>
        <w:t>Durée du marché - Période de validité</w:t>
      </w:r>
      <w:bookmarkEnd w:id="20"/>
      <w:bookmarkEnd w:id="21"/>
    </w:p>
    <w:p>
      <w:pPr>
        <w:pStyle w:val="Standard"/>
        <w:rPr>
          <w:lang w:val="fr-FR"/>
        </w:rPr>
      </w:pPr>
      <w:r>
        <w:rPr>
          <w:lang w:val="fr-FR"/>
        </w:rPr>
      </w:r>
    </w:p>
    <w:p>
      <w:pPr>
        <w:pStyle w:val="Standard"/>
        <w:rPr>
          <w:lang w:val="fr-FR"/>
        </w:rPr>
      </w:pPr>
      <w:r>
        <w:rPr>
          <w:lang w:val="fr-FR"/>
        </w:rPr>
        <w:t>La durée du marché se définit comme suit :  12</w:t>
      </w:r>
      <w:r>
        <w:rPr>
          <w:color w:val="800000"/>
          <w:lang w:val="fr-FR"/>
        </w:rPr>
        <w:t xml:space="preserve"> </w:t>
      </w:r>
      <w:r>
        <w:rPr>
          <w:color w:val="000000"/>
          <w:lang w:val="fr-FR"/>
        </w:rPr>
        <w:t>mois à com</w:t>
      </w:r>
      <w:r>
        <w:rPr>
          <w:lang w:val="fr-FR"/>
        </w:rPr>
        <w:t>pter de la date de notification.</w:t>
      </w:r>
    </w:p>
    <w:p>
      <w:pPr>
        <w:pStyle w:val="Standard"/>
        <w:rPr>
          <w:lang w:val="fr-FR"/>
        </w:rPr>
      </w:pPr>
      <w:r>
        <w:rPr>
          <w:lang w:val="fr-FR"/>
        </w:rPr>
        <w:t xml:space="preserve">Le marché est reconductible par période </w:t>
      </w:r>
      <w:r>
        <w:rPr>
          <w:b/>
          <w:lang w:val="fr-FR"/>
        </w:rPr>
        <w:t xml:space="preserve">12 mois </w:t>
      </w:r>
      <w:r>
        <w:rPr>
          <w:lang w:val="fr-FR"/>
        </w:rPr>
        <w:t xml:space="preserve">dans la limite de </w:t>
      </w:r>
      <w:r>
        <w:rPr>
          <w:b/>
          <w:lang w:val="fr-FR"/>
        </w:rPr>
        <w:t>3</w:t>
      </w:r>
      <w:r>
        <w:rPr>
          <w:lang w:val="fr-FR"/>
        </w:rPr>
        <w:t xml:space="preserve"> reconductions.</w:t>
      </w:r>
    </w:p>
    <w:p>
      <w:pPr>
        <w:pStyle w:val="Standard"/>
        <w:rPr>
          <w:lang w:val="fr-FR"/>
        </w:rPr>
      </w:pPr>
      <w:r>
        <w:rPr>
          <w:lang w:val="fr-FR"/>
        </w:rPr>
      </w:r>
    </w:p>
    <w:p>
      <w:pPr>
        <w:pStyle w:val="Standard"/>
        <w:rPr>
          <w:lang w:val="fr-FR"/>
        </w:rPr>
      </w:pPr>
      <w:r>
        <w:rPr>
          <w:lang w:val="fr-FR"/>
        </w:rPr>
        <w:t xml:space="preserve">La reconduction du marché se fera de manière </w:t>
      </w:r>
      <w:r>
        <w:rPr>
          <w:b/>
          <w:lang w:val="fr-FR"/>
        </w:rPr>
        <w:t>tacite.</w:t>
      </w:r>
    </w:p>
    <w:p>
      <w:pPr>
        <w:pStyle w:val="Standard"/>
        <w:rPr>
          <w:lang w:val="fr-FR"/>
        </w:rPr>
      </w:pPr>
      <w:r>
        <w:rPr>
          <w:lang w:val="fr-FR"/>
        </w:rPr>
      </w:r>
    </w:p>
    <w:p>
      <w:pPr>
        <w:pStyle w:val="Standard"/>
        <w:rPr>
          <w:lang w:val="fr-FR"/>
        </w:rPr>
      </w:pPr>
      <w:r>
        <w:rPr>
          <w:lang w:val="fr-FR"/>
        </w:rPr>
        <w:t>En cas de décision de non-reconduction du marché, le représentant du pouvoir adjudicateur transmet sa décision au titulaire par lettre recommandée avec accusé de réception au plus tard </w:t>
      </w:r>
      <w:r>
        <w:rPr>
          <w:b/>
          <w:lang w:val="fr-FR"/>
        </w:rPr>
        <w:t>1</w:t>
      </w:r>
      <w:r>
        <w:rPr>
          <w:lang w:val="fr-FR"/>
        </w:rPr>
        <w:t xml:space="preserve"> mois avant la fin de la durée de validité du marché.</w:t>
      </w:r>
    </w:p>
    <w:p>
      <w:pPr>
        <w:pStyle w:val="Standard"/>
        <w:rPr>
          <w:lang w:val="fr-FR"/>
        </w:rPr>
      </w:pPr>
      <w:r>
        <w:rPr>
          <w:lang w:val="fr-FR"/>
        </w:rPr>
        <w:t xml:space="preserve"> </w:t>
      </w:r>
    </w:p>
    <w:p>
      <w:pPr>
        <w:pStyle w:val="Titre2"/>
        <w:rPr>
          <w:lang w:val="fr-FR"/>
        </w:rPr>
      </w:pPr>
      <w:bookmarkStart w:id="22" w:name="_Toc142644562"/>
      <w:bookmarkStart w:id="23" w:name="_Toc142644623"/>
      <w:r>
        <w:rPr>
          <w:lang w:val="fr-FR"/>
        </w:rPr>
        <w:t>Clause obligatoire d'insertion par l'activité économique</w:t>
      </w:r>
      <w:bookmarkEnd w:id="22"/>
      <w:bookmarkEnd w:id="23"/>
    </w:p>
    <w:p>
      <w:pPr>
        <w:pStyle w:val="Textbody"/>
        <w:rPr>
          <w:lang w:val="fr-FR"/>
        </w:rPr>
      </w:pPr>
      <w:r>
        <w:rPr>
          <w:lang w:val="fr-FR"/>
        </w:rPr>
        <w:t>Sans objet.</w:t>
      </w:r>
    </w:p>
    <w:p>
      <w:pPr>
        <w:pStyle w:val="Textbody"/>
        <w:rPr>
          <w:lang w:val="fr-FR"/>
        </w:rPr>
      </w:pPr>
      <w:r>
        <w:rPr>
          <w:lang w:val="fr-FR"/>
        </w:rPr>
      </w:r>
    </w:p>
    <w:p>
      <w:pPr>
        <w:pStyle w:val="Titre1"/>
        <w:rPr>
          <w:lang w:val="fr-FR"/>
        </w:rPr>
      </w:pPr>
      <w:bookmarkStart w:id="24" w:name="_Toc142644563"/>
      <w:bookmarkStart w:id="25" w:name="_Toc142644624"/>
      <w:r>
        <w:rPr>
          <w:lang w:val="fr-FR"/>
        </w:rPr>
        <w:t>DOCUMENTS CONTRACTUELS</w:t>
      </w:r>
      <w:bookmarkEnd w:id="24"/>
      <w:bookmarkEnd w:id="25"/>
    </w:p>
    <w:p>
      <w:pPr>
        <w:pStyle w:val="Standard"/>
        <w:rPr>
          <w:lang w:val="fr-FR"/>
        </w:rPr>
      </w:pPr>
      <w:r>
        <w:rPr>
          <w:lang w:val="fr-FR"/>
        </w:rPr>
      </w:r>
    </w:p>
    <w:p>
      <w:pPr>
        <w:pStyle w:val="Standard"/>
        <w:rPr>
          <w:lang w:val="fr-FR"/>
        </w:rPr>
      </w:pPr>
      <w:r>
        <w:rPr>
          <w:lang w:val="fr-FR"/>
        </w:rPr>
        <w:t>Par dérogation à l'article 4.1 du C.C.A.G. FCS, les pièces constitutives du marché sont les suivantes par ordre de priorité décroissante :</w:t>
      </w:r>
    </w:p>
    <w:p>
      <w:pPr>
        <w:pStyle w:val="Standard"/>
        <w:rPr>
          <w:lang w:val="fr-FR"/>
        </w:rPr>
      </w:pPr>
      <w:r>
        <w:rPr>
          <w:lang w:val="fr-FR"/>
        </w:rPr>
      </w:r>
    </w:p>
    <w:p>
      <w:pPr>
        <w:pStyle w:val="Standard"/>
        <w:rPr>
          <w:lang w:val="fr-FR"/>
        </w:rPr>
      </w:pPr>
      <w:r>
        <w:rPr>
          <w:lang w:val="fr-FR"/>
        </w:rPr>
        <w:t>- L'Acte d'Engagement (AE) et son annexe n°1 relative à la protection des données personnelles ;</w:t>
      </w:r>
    </w:p>
    <w:p>
      <w:pPr>
        <w:pStyle w:val="Standard"/>
        <w:rPr>
          <w:lang w:val="fr-FR"/>
        </w:rPr>
      </w:pPr>
      <w:r>
        <w:rPr>
          <w:lang w:val="fr-FR"/>
        </w:rPr>
        <w:t>- Le présent cahier des clauses administratives particulières (C.C.A.P.) ;</w:t>
      </w:r>
    </w:p>
    <w:p>
      <w:pPr>
        <w:pStyle w:val="Standard"/>
        <w:rPr>
          <w:lang w:val="fr-FR"/>
        </w:rPr>
      </w:pPr>
      <w:r>
        <w:rPr>
          <w:lang w:val="fr-FR"/>
        </w:rPr>
        <w:t>- Le document intitulé Cahier des Clauses Techniques Particulières (C.C.T.P.) ;</w:t>
      </w:r>
    </w:p>
    <w:p>
      <w:pPr>
        <w:pStyle w:val="Standard"/>
        <w:rPr>
          <w:lang w:val="fr-FR"/>
        </w:rPr>
      </w:pPr>
      <w:r>
        <w:rPr>
          <w:lang w:val="fr-FR"/>
        </w:rPr>
        <w:t>- Le cahier des clauses administratives générales (C.C.A.G.) applicable aux marchés publics de Fournitures courantes et de services approuvé par l'arrêté du 30 mars 2021 publié au JORF du 1er avril 2021 ;</w:t>
      </w:r>
    </w:p>
    <w:p>
      <w:pPr>
        <w:pStyle w:val="Standard"/>
        <w:rPr>
          <w:lang w:val="fr-FR"/>
        </w:rPr>
      </w:pPr>
      <w:r>
        <w:rPr>
          <w:lang w:val="fr-FR"/>
        </w:rPr>
        <w:t>-  le mémoire technique et développement durable ;</w:t>
      </w:r>
    </w:p>
    <w:p>
      <w:pPr>
        <w:pStyle w:val="Standard"/>
        <w:rPr>
          <w:lang w:val="fr-FR"/>
        </w:rPr>
      </w:pPr>
      <w:r>
        <w:rPr>
          <w:lang w:val="fr-FR"/>
        </w:rPr>
      </w:r>
    </w:p>
    <w:p>
      <w:pPr>
        <w:pStyle w:val="Titre1"/>
        <w:rPr>
          <w:lang w:val="fr-FR"/>
        </w:rPr>
      </w:pPr>
      <w:bookmarkStart w:id="26" w:name="_Toc142644564"/>
      <w:bookmarkStart w:id="27" w:name="_Toc142644625"/>
      <w:r>
        <w:rPr>
          <w:lang w:val="fr-FR"/>
        </w:rPr>
        <w:t>DELAIS DE LIVRAISON ET/OU D'EXECUTION</w:t>
      </w:r>
      <w:bookmarkEnd w:id="26"/>
      <w:bookmarkEnd w:id="27"/>
    </w:p>
    <w:p>
      <w:pPr>
        <w:pStyle w:val="Titre2"/>
        <w:rPr>
          <w:lang w:val="fr-FR"/>
        </w:rPr>
      </w:pPr>
      <w:bookmarkStart w:id="28" w:name="_Toc142644565"/>
      <w:bookmarkStart w:id="29" w:name="_Toc142644626"/>
      <w:r>
        <w:rPr>
          <w:lang w:val="fr-FR"/>
        </w:rPr>
        <w:t>Délais</w:t>
      </w:r>
      <w:bookmarkEnd w:id="28"/>
      <w:bookmarkEnd w:id="29"/>
    </w:p>
    <w:p>
      <w:pPr>
        <w:pStyle w:val="Standard"/>
        <w:rPr>
          <w:lang w:val="fr-FR"/>
        </w:rPr>
      </w:pPr>
      <w:r>
        <w:rPr>
          <w:lang w:val="fr-FR"/>
        </w:rPr>
      </w:r>
    </w:p>
    <w:p>
      <w:pPr>
        <w:pStyle w:val="Standard"/>
        <w:rPr>
          <w:lang w:val="fr-FR"/>
        </w:rPr>
      </w:pPr>
      <w:r>
        <w:rPr>
          <w:lang w:val="fr-FR"/>
        </w:rPr>
        <w:t>Les délais d'exécution et les périodes de réalisation des prestations sont définis dans le CCTP</w:t>
      </w:r>
    </w:p>
    <w:p>
      <w:pPr>
        <w:pStyle w:val="Titre2"/>
        <w:rPr>
          <w:lang w:val="fr-FR"/>
        </w:rPr>
      </w:pPr>
      <w:bookmarkStart w:id="30" w:name="_Toc142644566"/>
      <w:bookmarkStart w:id="31" w:name="_Toc142644627"/>
      <w:r>
        <w:rPr>
          <w:lang w:val="fr-FR"/>
        </w:rPr>
        <w:t>Emission des bons de commande</w:t>
      </w:r>
      <w:bookmarkEnd w:id="30"/>
      <w:bookmarkEnd w:id="31"/>
    </w:p>
    <w:p>
      <w:pPr>
        <w:pStyle w:val="Standard"/>
        <w:rPr>
          <w:lang w:val="fr-FR"/>
        </w:rPr>
      </w:pPr>
      <w:r>
        <w:rPr>
          <w:lang w:val="fr-FR"/>
        </w:rPr>
        <w:t>Sans objet.</w:t>
      </w:r>
    </w:p>
    <w:p>
      <w:pPr>
        <w:pStyle w:val="Standard"/>
        <w:rPr>
          <w:lang w:val="fr-FR"/>
        </w:rPr>
      </w:pPr>
      <w:r>
        <w:rPr>
          <w:lang w:val="fr-FR"/>
        </w:rPr>
      </w:r>
    </w:p>
    <w:p>
      <w:pPr>
        <w:pStyle w:val="Titre1"/>
        <w:rPr>
          <w:lang w:val="fr-FR"/>
        </w:rPr>
      </w:pPr>
      <w:bookmarkStart w:id="32" w:name="_Toc142644567"/>
      <w:bookmarkStart w:id="33" w:name="_Toc142644628"/>
      <w:r>
        <w:rPr>
          <w:lang w:val="fr-FR"/>
        </w:rPr>
        <w:t>ENTREPRISES GROUPEES</w:t>
      </w:r>
      <w:bookmarkEnd w:id="32"/>
      <w:bookmarkEnd w:id="33"/>
    </w:p>
    <w:p>
      <w:pPr>
        <w:pStyle w:val="Standard"/>
        <w:rPr>
          <w:lang w:val="fr-FR"/>
        </w:rPr>
      </w:pPr>
      <w:r>
        <w:rPr>
          <w:lang w:val="fr-FR"/>
        </w:rPr>
      </w:r>
    </w:p>
    <w:p>
      <w:pPr>
        <w:pStyle w:val="Standard"/>
        <w:rPr>
          <w:lang w:val="fr-FR"/>
        </w:rPr>
      </w:pPr>
      <w:r>
        <w:rPr>
          <w:lang w:val="fr-FR"/>
        </w:rPr>
        <w:t>Le mandataire du groupement représente l'ensemble des entrepreneurs, vis-à-vis du représentant du pouvoir adjudicateur pour l'exécution du marché.</w:t>
      </w:r>
    </w:p>
    <w:p>
      <w:pPr>
        <w:pStyle w:val="Standard"/>
        <w:rPr>
          <w:lang w:val="fr-FR"/>
        </w:rPr>
      </w:pPr>
      <w:r>
        <w:rPr>
          <w:lang w:val="fr-FR"/>
        </w:rPr>
        <w:t>Il assure, sous sa responsabilité, la coordination de ces entrepreneurs.</w:t>
      </w:r>
    </w:p>
    <w:p>
      <w:pPr>
        <w:pStyle w:val="Standard"/>
        <w:rPr>
          <w:lang w:val="fr-FR"/>
        </w:rPr>
      </w:pPr>
      <w:r>
        <w:rPr>
          <w:lang w:val="fr-FR"/>
        </w:rPr>
      </w:r>
    </w:p>
    <w:p>
      <w:pPr>
        <w:pStyle w:val="Standard"/>
        <w:rPr>
          <w:lang w:val="fr-FR"/>
        </w:rPr>
      </w:pPr>
      <w:r>
        <w:rPr>
          <w:lang w:val="fr-F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Standard"/>
        <w:rPr>
          <w:lang w:val="fr-FR"/>
        </w:rPr>
      </w:pPr>
      <w:r>
        <w:rPr>
          <w:lang w:val="fr-FR"/>
        </w:rPr>
        <w:t xml:space="preserve"> </w:t>
      </w:r>
    </w:p>
    <w:p>
      <w:pPr>
        <w:pStyle w:val="Standard"/>
        <w:rPr>
          <w:lang w:val="fr-FR"/>
        </w:rPr>
      </w:pPr>
      <w:r>
        <w:rPr>
          <w:lang w:val="fr-FR"/>
        </w:rPr>
        <w:t>Dans le cas d'entrepreneurs groupés solidaires, si le marché ne désigne pas l'entrepreneur mandataire, celui qui est énuméré le premier dans l'acte d'engagement est le mandataire des autres entrepreneurs.</w:t>
      </w:r>
    </w:p>
    <w:p>
      <w:pPr>
        <w:pStyle w:val="Standard"/>
        <w:rPr>
          <w:lang w:val="fr-FR"/>
        </w:rPr>
      </w:pPr>
      <w:r>
        <w:rPr>
          <w:lang w:val="fr-FR"/>
        </w:rPr>
        <w:t xml:space="preserve"> </w:t>
      </w:r>
    </w:p>
    <w:p>
      <w:pPr>
        <w:pStyle w:val="Titre1"/>
        <w:rPr>
          <w:lang w:val="fr-FR"/>
        </w:rPr>
      </w:pPr>
      <w:bookmarkStart w:id="34" w:name="_Toc142644568"/>
      <w:bookmarkStart w:id="35" w:name="_Toc142644629"/>
      <w:r>
        <w:rPr>
          <w:lang w:val="fr-FR"/>
        </w:rPr>
        <w:t>CONDITIONS DE LIVRAISON ET D'EXECUTION</w:t>
      </w:r>
      <w:bookmarkEnd w:id="34"/>
      <w:bookmarkEnd w:id="35"/>
    </w:p>
    <w:p>
      <w:pPr>
        <w:pStyle w:val="Titre2"/>
        <w:rPr>
          <w:lang w:val="fr-FR"/>
        </w:rPr>
      </w:pPr>
      <w:bookmarkStart w:id="36" w:name="_Toc142644569"/>
      <w:bookmarkStart w:id="37" w:name="_Toc142644630"/>
      <w:r>
        <w:rPr>
          <w:lang w:val="fr-FR"/>
        </w:rPr>
        <w:t>Transport  et Emballages</w:t>
      </w:r>
      <w:bookmarkEnd w:id="36"/>
      <w:bookmarkEnd w:id="37"/>
    </w:p>
    <w:p>
      <w:pPr>
        <w:pStyle w:val="Standard"/>
        <w:rPr>
          <w:lang w:val="fr-FR"/>
        </w:rPr>
      </w:pPr>
      <w:r>
        <w:rPr>
          <w:lang w:val="fr-FR"/>
        </w:rPr>
        <w:t xml:space="preserve"> </w:t>
      </w:r>
      <w:r>
        <w:rPr>
          <w:lang w:val="fr-FR"/>
        </w:rPr>
        <w:t>Il n'est pas prévu de dispositions particulières.</w:t>
      </w:r>
    </w:p>
    <w:p>
      <w:pPr>
        <w:pStyle w:val="Titre2"/>
        <w:rPr>
          <w:lang w:val="fr-FR"/>
        </w:rPr>
      </w:pPr>
      <w:bookmarkStart w:id="38" w:name="_Toc142644570"/>
      <w:bookmarkStart w:id="39" w:name="_Toc142644631"/>
      <w:r>
        <w:rPr>
          <w:lang w:val="fr-FR"/>
        </w:rPr>
        <w:t>Lieux d'exécution ou de livraison</w:t>
      </w:r>
      <w:bookmarkEnd w:id="38"/>
      <w:bookmarkEnd w:id="39"/>
    </w:p>
    <w:p>
      <w:pPr>
        <w:pStyle w:val="Standard"/>
        <w:rPr>
          <w:lang w:val="fr-FR"/>
        </w:rPr>
      </w:pPr>
      <w:r>
        <w:rPr>
          <w:lang w:val="fr-FR"/>
        </w:rPr>
        <w:t xml:space="preserve"> </w:t>
      </w:r>
      <w:r>
        <w:rPr>
          <w:lang w:val="fr-FR"/>
        </w:rPr>
        <w:t>Le lieu des prestations à effectuer est précisé dans le CCTP pour chacun des deux lots.</w:t>
      </w:r>
    </w:p>
    <w:p>
      <w:pPr>
        <w:pStyle w:val="Standard"/>
        <w:rPr>
          <w:lang w:val="fr-FR"/>
        </w:rPr>
      </w:pPr>
      <w:r>
        <w:rPr>
          <w:lang w:val="fr-FR"/>
        </w:rPr>
      </w:r>
    </w:p>
    <w:p>
      <w:pPr>
        <w:pStyle w:val="Titre1"/>
        <w:rPr>
          <w:lang w:val="fr-FR"/>
        </w:rPr>
      </w:pPr>
      <w:bookmarkStart w:id="40" w:name="_Toc142644571"/>
      <w:bookmarkStart w:id="41" w:name="_Toc142644632"/>
      <w:r>
        <w:rPr>
          <w:lang w:val="fr-FR"/>
        </w:rPr>
        <w:t>CONDITIONS PARTICULIERES D'EXECUTION</w:t>
      </w:r>
      <w:bookmarkEnd w:id="40"/>
      <w:bookmarkEnd w:id="41"/>
    </w:p>
    <w:p>
      <w:pPr>
        <w:pStyle w:val="Standard"/>
        <w:rPr>
          <w:lang w:val="fr-FR"/>
        </w:rPr>
      </w:pPr>
      <w:r>
        <w:rPr>
          <w:lang w:val="fr-FR"/>
        </w:rPr>
      </w:r>
    </w:p>
    <w:p>
      <w:pPr>
        <w:pStyle w:val="Standard"/>
        <w:rPr>
          <w:lang w:val="fr-FR"/>
        </w:rPr>
      </w:pPr>
      <w:r>
        <w:rPr>
          <w:lang w:val="fr-FR"/>
        </w:rPr>
        <w:t xml:space="preserve"> </w:t>
      </w:r>
      <w:r>
        <w:rPr>
          <w:lang w:val="fr-FR"/>
        </w:rPr>
        <w:t>Le C.C.T.P. du marché fixe les conditions particulières d'exécution.</w:t>
      </w:r>
    </w:p>
    <w:p>
      <w:pPr>
        <w:pStyle w:val="Standard"/>
        <w:rPr>
          <w:lang w:val="fr-FR"/>
        </w:rPr>
      </w:pPr>
      <w:r>
        <w:rPr>
          <w:lang w:val="fr-FR"/>
        </w:rPr>
      </w:r>
    </w:p>
    <w:p>
      <w:pPr>
        <w:pStyle w:val="Titre1"/>
        <w:rPr>
          <w:lang w:val="fr-FR"/>
        </w:rPr>
      </w:pPr>
      <w:bookmarkStart w:id="42" w:name="_Toc142644572"/>
      <w:bookmarkStart w:id="43" w:name="_Toc142644633"/>
      <w:r>
        <w:rPr>
          <w:lang w:val="fr-FR"/>
        </w:rPr>
        <w:t>OPERATIONS DE VERIFICATIONS – ADMISSION</w:t>
      </w:r>
      <w:bookmarkEnd w:id="42"/>
      <w:bookmarkEnd w:id="43"/>
    </w:p>
    <w:p>
      <w:pPr>
        <w:pStyle w:val="Titre2"/>
        <w:rPr>
          <w:lang w:val="fr-FR"/>
        </w:rPr>
      </w:pPr>
      <w:bookmarkStart w:id="44" w:name="_Toc142644573"/>
      <w:bookmarkStart w:id="45" w:name="_Toc142644634"/>
      <w:r>
        <w:rPr>
          <w:lang w:val="fr-FR"/>
        </w:rPr>
        <w:t>Vérifications</w:t>
      </w:r>
      <w:bookmarkEnd w:id="44"/>
      <w:bookmarkEnd w:id="45"/>
    </w:p>
    <w:p>
      <w:pPr>
        <w:pStyle w:val="Standard"/>
        <w:rPr>
          <w:lang w:val="fr-FR"/>
        </w:rPr>
      </w:pPr>
      <w:r>
        <w:rPr>
          <w:lang w:val="fr-FR"/>
        </w:rPr>
        <w:t xml:space="preserve"> </w:t>
      </w:r>
      <w:r>
        <w:rPr>
          <w:lang w:val="fr-FR"/>
        </w:rPr>
        <w:t>Par dérogation aux articles 27 à 29 du CCAG/FCS, les modalités de vérification sont les suivantes : Le service gestionnaire du marché fera procéder à des contrôles inopinés sur les lieux d'intervention des titulaires.</w:t>
      </w:r>
    </w:p>
    <w:p>
      <w:pPr>
        <w:pStyle w:val="Standard"/>
        <w:rPr>
          <w:lang w:val="fr-FR"/>
        </w:rPr>
      </w:pPr>
      <w:r>
        <w:rPr>
          <w:lang w:val="fr-FR"/>
        </w:rPr>
        <w:t xml:space="preserve"> </w:t>
      </w:r>
    </w:p>
    <w:p>
      <w:pPr>
        <w:pStyle w:val="Titre2"/>
        <w:rPr>
          <w:lang w:val="fr-FR"/>
        </w:rPr>
      </w:pPr>
      <w:bookmarkStart w:id="46" w:name="_Toc142644574"/>
      <w:bookmarkStart w:id="47" w:name="_Toc142644635"/>
      <w:r>
        <w:rPr>
          <w:lang w:val="fr-FR"/>
        </w:rPr>
        <w:t>Admission</w:t>
      </w:r>
      <w:bookmarkEnd w:id="46"/>
      <w:bookmarkEnd w:id="47"/>
    </w:p>
    <w:p>
      <w:pPr>
        <w:pStyle w:val="Standard"/>
        <w:rPr>
          <w:lang w:val="fr-FR"/>
        </w:rPr>
      </w:pPr>
      <w:r>
        <w:rPr>
          <w:lang w:val="fr-FR"/>
        </w:rPr>
        <w:t>Suite aux vérifications, les décisions d'admission, de réfaction, d'ajournement ou de rejet des prestations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prestations / fournitures est réputée acquise.</w:t>
      </w:r>
    </w:p>
    <w:p>
      <w:pPr>
        <w:pStyle w:val="Standard"/>
        <w:rPr>
          <w:lang w:val="fr-FR"/>
        </w:rPr>
      </w:pPr>
      <w:r>
        <w:rPr>
          <w:lang w:val="fr-FR"/>
        </w:rPr>
      </w:r>
    </w:p>
    <w:p>
      <w:pPr>
        <w:pStyle w:val="Titre1"/>
        <w:rPr>
          <w:lang w:val="fr-FR"/>
        </w:rPr>
      </w:pPr>
      <w:bookmarkStart w:id="48" w:name="_Toc142644575"/>
      <w:bookmarkStart w:id="49" w:name="_Toc142644636"/>
      <w:r>
        <w:rPr>
          <w:lang w:val="fr-FR"/>
        </w:rPr>
        <w:t>GARANTIE CONTRACTUELLE</w:t>
      </w:r>
      <w:bookmarkEnd w:id="48"/>
      <w:bookmarkEnd w:id="49"/>
    </w:p>
    <w:p>
      <w:pPr>
        <w:pStyle w:val="Titre2"/>
        <w:rPr>
          <w:lang w:val="fr-FR"/>
        </w:rPr>
      </w:pPr>
      <w:bookmarkStart w:id="50" w:name="_Toc142644576"/>
      <w:bookmarkStart w:id="51" w:name="_Toc142644637"/>
      <w:r>
        <w:rPr>
          <w:lang w:val="fr-FR"/>
        </w:rPr>
        <w:t>Durée de garantie</w:t>
      </w:r>
      <w:bookmarkEnd w:id="50"/>
      <w:bookmarkEnd w:id="51"/>
    </w:p>
    <w:p>
      <w:pPr>
        <w:pStyle w:val="Standard"/>
        <w:rPr>
          <w:lang w:val="fr-FR"/>
        </w:rPr>
      </w:pPr>
      <w:r>
        <w:rPr>
          <w:lang w:val="fr-FR"/>
        </w:rPr>
        <w:t xml:space="preserve"> </w:t>
      </w:r>
      <w:r>
        <w:rPr>
          <w:lang w:val="fr-FR"/>
        </w:rPr>
        <w:t>Sans objet.</w:t>
      </w:r>
    </w:p>
    <w:p>
      <w:pPr>
        <w:pStyle w:val="Titre2"/>
        <w:rPr>
          <w:lang w:val="fr-FR"/>
        </w:rPr>
      </w:pPr>
      <w:bookmarkStart w:id="52" w:name="_Toc142644577"/>
      <w:bookmarkStart w:id="53" w:name="_Toc142644638"/>
      <w:r>
        <w:rPr>
          <w:lang w:val="fr-FR"/>
        </w:rPr>
        <w:t>Point de départ de la garantie</w:t>
      </w:r>
      <w:bookmarkEnd w:id="52"/>
      <w:bookmarkEnd w:id="53"/>
    </w:p>
    <w:p>
      <w:pPr>
        <w:pStyle w:val="Standard"/>
        <w:rPr>
          <w:lang w:val="fr-FR"/>
        </w:rPr>
      </w:pPr>
      <w:r>
        <w:rPr>
          <w:lang w:val="fr-FR"/>
        </w:rPr>
        <w:t xml:space="preserve"> </w:t>
      </w:r>
      <w:r>
        <w:rPr>
          <w:lang w:val="fr-FR"/>
        </w:rPr>
        <w:t>Sans objet.</w:t>
      </w:r>
    </w:p>
    <w:p>
      <w:pPr>
        <w:pStyle w:val="Standard"/>
        <w:rPr>
          <w:lang w:val="fr-FR"/>
        </w:rPr>
      </w:pPr>
      <w:r>
        <w:rPr>
          <w:lang w:val="fr-FR"/>
        </w:rPr>
      </w:r>
    </w:p>
    <w:p>
      <w:pPr>
        <w:pStyle w:val="Titre1"/>
        <w:rPr>
          <w:lang w:val="fr-FR"/>
        </w:rPr>
      </w:pPr>
      <w:bookmarkStart w:id="54" w:name="_Toc142644578"/>
      <w:bookmarkStart w:id="55" w:name="_Toc142644639"/>
      <w:r>
        <w:rPr>
          <w:lang w:val="fr-FR"/>
        </w:rPr>
        <w:t>PROPRIETE INTELLECTUELLE ET UTILISATION DES RESULTATS</w:t>
      </w:r>
      <w:bookmarkEnd w:id="54"/>
      <w:bookmarkEnd w:id="55"/>
    </w:p>
    <w:p>
      <w:pPr>
        <w:pStyle w:val="Standard"/>
        <w:rPr>
          <w:lang w:val="fr-FR"/>
        </w:rPr>
      </w:pPr>
      <w:r>
        <w:rPr>
          <w:lang w:val="fr-FR"/>
        </w:rPr>
        <w:t xml:space="preserve"> </w:t>
      </w:r>
      <w:r>
        <w:rPr>
          <w:lang w:val="fr-FR"/>
        </w:rPr>
        <w:t>L'utilisation des résultats, et notamment les droits respectifs du pouvoir adjudicateur et du titulaire en la matière, sont définis à l'article 37 du CCAG FCS.</w:t>
      </w:r>
    </w:p>
    <w:p>
      <w:pPr>
        <w:pStyle w:val="Standard"/>
        <w:rPr>
          <w:lang w:val="fr-FR"/>
        </w:rPr>
      </w:pPr>
      <w:r>
        <w:rPr>
          <w:lang w:val="fr-FR"/>
        </w:rPr>
        <w:t>Il n'est pas prévu de disposition particulière.</w:t>
      </w:r>
    </w:p>
    <w:p>
      <w:pPr>
        <w:pStyle w:val="Standard"/>
        <w:rPr>
          <w:lang w:val="fr-FR"/>
        </w:rPr>
      </w:pPr>
      <w:r>
        <w:rPr>
          <w:lang w:val="fr-FR"/>
        </w:rPr>
        <w:t xml:space="preserve"> </w:t>
      </w:r>
    </w:p>
    <w:p>
      <w:pPr>
        <w:pStyle w:val="Titre1"/>
        <w:rPr>
          <w:lang w:val="fr-FR"/>
        </w:rPr>
      </w:pPr>
      <w:bookmarkStart w:id="56" w:name="_Toc142644579"/>
      <w:bookmarkStart w:id="57" w:name="_Toc142644640"/>
      <w:r>
        <w:rPr>
          <w:lang w:val="fr-FR"/>
        </w:rPr>
        <w:t>CONFIDENTIALITE – MESURES DE SECURITE</w:t>
      </w:r>
      <w:bookmarkEnd w:id="56"/>
      <w:bookmarkEnd w:id="57"/>
    </w:p>
    <w:p>
      <w:pPr>
        <w:pStyle w:val="Standard"/>
        <w:rPr>
          <w:lang w:val="fr-FR"/>
        </w:rPr>
      </w:pPr>
      <w:r>
        <w:rPr>
          <w:lang w:val="fr-FR"/>
        </w:rPr>
        <w:t xml:space="preserve"> </w:t>
      </w:r>
      <w:r>
        <w:rPr>
          <w:lang w:val="fr-FR"/>
        </w:rPr>
        <w:t>Confidentialité - Protection des données personnelles - Mesures de sécurité</w:t>
      </w:r>
    </w:p>
    <w:p>
      <w:pPr>
        <w:pStyle w:val="Standard"/>
        <w:rPr>
          <w:lang w:val="fr-FR"/>
        </w:rPr>
      </w:pPr>
      <w:r>
        <w:rPr>
          <w:lang w:val="fr-FR"/>
        </w:rPr>
      </w:r>
    </w:p>
    <w:p>
      <w:pPr>
        <w:pStyle w:val="Standard"/>
        <w:rPr>
          <w:lang w:val="fr-FR"/>
        </w:rPr>
      </w:pPr>
      <w:r>
        <w:rPr>
          <w:lang w:val="fr-FR"/>
        </w:rPr>
        <w:t>1. Obligation de confidentialité</w:t>
      </w:r>
    </w:p>
    <w:p>
      <w:pPr>
        <w:pStyle w:val="Standard"/>
        <w:rPr>
          <w:lang w:val="fr-FR"/>
        </w:rPr>
      </w:pPr>
      <w:r>
        <w:rPr>
          <w:lang w:val="fr-FR"/>
        </w:rPr>
      </w:r>
    </w:p>
    <w:p>
      <w:pPr>
        <w:pStyle w:val="Standard"/>
        <w:rPr>
          <w:lang w:val="fr-FR"/>
        </w:rPr>
      </w:pPr>
      <w:r>
        <w:rPr>
          <w:lang w:val="fr-FR"/>
        </w:rPr>
        <w:t>1.1. Le titulaire et l'acheteur qui, à l'occasion de l'exécution du marché, ont connaissance d'informations ou reçoivent communication de documents ou d'éléments de toute nature, présentant un caractère confidentiel,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pPr>
        <w:pStyle w:val="Standard"/>
        <w:rPr>
          <w:lang w:val="fr-FR"/>
        </w:rPr>
      </w:pPr>
      <w:r>
        <w:rPr>
          <w:lang w:val="fr-FR"/>
        </w:rPr>
      </w:r>
    </w:p>
    <w:p>
      <w:pPr>
        <w:pStyle w:val="Standard"/>
        <w:rPr>
          <w:lang w:val="fr-FR"/>
        </w:rPr>
      </w:pPr>
      <w:r>
        <w:rPr>
          <w:lang w:val="fr-FR"/>
        </w:rPr>
        <w:t>1.2. Une information confidentielle désigne toute information de quelque nature (y inclus la méthodologie, la documentation, les informations ou le savoir-faire), sous quelque forme que ce soit (y inclus sous forme orale, écrite, magnétique ou électronique), sur tout support dont l'acheteur est propriétaire ou titulaire, et qui est communiquée au titulaire, ou obtenue de toute autre façon par ce dernier dans le cadre de ses relations avec l'acheteur. Le titulaire et son personnel, et le cas échéant ses sous-traitants, ne peuvent l'utiliser que pour l'accomplissement des prestations prévues au marché.</w:t>
      </w:r>
    </w:p>
    <w:p>
      <w:pPr>
        <w:pStyle w:val="Standard"/>
        <w:rPr>
          <w:lang w:val="fr-FR"/>
        </w:rPr>
      </w:pPr>
      <w:r>
        <w:rPr>
          <w:lang w:val="fr-FR"/>
        </w:rPr>
      </w:r>
    </w:p>
    <w:p>
      <w:pPr>
        <w:pStyle w:val="Standard"/>
        <w:rPr>
          <w:lang w:val="fr-FR"/>
        </w:rPr>
      </w:pPr>
      <w:r>
        <w:rPr>
          <w:lang w:val="fr-FR"/>
        </w:rPr>
        <w:t>1.3. Le titulaire doit informer ses sous-traitants des obligations de confidentialité et des mesures de sécurité qui s'imposent à lui pour l'exécution du marché. Il doit s'assurer du respect de ces obligations par ses sous-traitants.</w:t>
      </w:r>
    </w:p>
    <w:p>
      <w:pPr>
        <w:pStyle w:val="Standard"/>
        <w:rPr>
          <w:lang w:val="fr-FR"/>
        </w:rPr>
      </w:pPr>
      <w:r>
        <w:rPr>
          <w:lang w:val="fr-FR"/>
        </w:rPr>
      </w:r>
    </w:p>
    <w:p>
      <w:pPr>
        <w:pStyle w:val="Standard"/>
        <w:rPr>
          <w:lang w:val="fr-FR"/>
        </w:rPr>
      </w:pPr>
      <w:r>
        <w:rPr>
          <w:lang w:val="fr-FR"/>
        </w:rPr>
        <w:t>1.4. Ne sont pas couverts par cette obligation de confidentialité les informations, documents ou éléments :</w:t>
      </w:r>
    </w:p>
    <w:p>
      <w:pPr>
        <w:pStyle w:val="Standard"/>
        <w:rPr>
          <w:lang w:val="fr-FR"/>
        </w:rPr>
      </w:pPr>
      <w:r>
        <w:rPr>
          <w:lang w:val="fr-FR"/>
        </w:rPr>
        <w:t>- qui étaient dans le domaine public au moment de leur divulgation ou que l'acheteur aurait lui-même rendus publics pendant l'exécution du marché ;</w:t>
      </w:r>
    </w:p>
    <w:p>
      <w:pPr>
        <w:pStyle w:val="Standard"/>
        <w:rPr>
          <w:lang w:val="fr-FR"/>
        </w:rPr>
      </w:pPr>
      <w:r>
        <w:rPr>
          <w:lang w:val="fr-FR"/>
        </w:rPr>
        <w:t>- signalés comme présentant un caractère non confidentiel et relatifs aux prestations du marché ;</w:t>
      </w:r>
    </w:p>
    <w:p>
      <w:pPr>
        <w:pStyle w:val="Standard"/>
        <w:rPr>
          <w:lang w:val="fr-FR"/>
        </w:rPr>
      </w:pPr>
      <w:r>
        <w:rPr>
          <w:lang w:val="fr-FR"/>
        </w:rPr>
        <w:t>- qui ont été communiqués au titulaire par un tiers ayant légalement le droit de diffuser ces informations, documents ou éléments, comme le prouvent des documents existant antérieurement à leur divulgation.</w:t>
      </w:r>
    </w:p>
    <w:p>
      <w:pPr>
        <w:pStyle w:val="Standard"/>
        <w:rPr>
          <w:lang w:val="fr-FR"/>
        </w:rPr>
      </w:pPr>
      <w:r>
        <w:rPr>
          <w:lang w:val="fr-FR"/>
        </w:rPr>
      </w:r>
    </w:p>
    <w:p>
      <w:pPr>
        <w:pStyle w:val="Standard"/>
        <w:rPr>
          <w:lang w:val="fr-FR"/>
        </w:rPr>
      </w:pPr>
      <w:r>
        <w:rPr>
          <w:lang w:val="fr-FR"/>
        </w:rPr>
        <w:t>2. Protection des données à caractère personnel</w:t>
      </w:r>
    </w:p>
    <w:p>
      <w:pPr>
        <w:pStyle w:val="Standard"/>
        <w:rPr>
          <w:lang w:val="fr-FR"/>
        </w:rPr>
      </w:pPr>
      <w:r>
        <w:rPr>
          <w:lang w:val="fr-FR"/>
        </w:rPr>
      </w:r>
    </w:p>
    <w:p>
      <w:pPr>
        <w:pStyle w:val="Standard"/>
        <w:rPr>
          <w:lang w:val="fr-FR"/>
        </w:rPr>
      </w:pPr>
      <w:r>
        <w:rPr>
          <w:lang w:val="fr-FR"/>
        </w:rPr>
        <w:t>2.1. Chaque partie au marché est tenue au respect des règles, européennes et françaises, applicables au traitement des données à caractère personnel éventuellement mis en oeuvre aux fins de l'exécution du marché. A ce titre, toute transmission de données à des tiers, y compris au bénéfice d'entités établies hors de l'Union européenne, qui ne serait pas strictement conforme à la réglementation en vigueur est formellement prohibée.</w:t>
      </w:r>
    </w:p>
    <w:p>
      <w:pPr>
        <w:pStyle w:val="Standard"/>
        <w:rPr>
          <w:lang w:val="fr-FR"/>
        </w:rPr>
      </w:pPr>
      <w:r>
        <w:rPr>
          <w:lang w:val="fr-FR"/>
        </w:rPr>
      </w:r>
    </w:p>
    <w:p>
      <w:pPr>
        <w:pStyle w:val="Standard"/>
        <w:rPr>
          <w:lang w:val="fr-FR"/>
        </w:rPr>
      </w:pPr>
      <w:r>
        <w:rPr>
          <w:lang w:val="fr-FR"/>
        </w:rPr>
        <w:t>2.2. En cas d'évolution de la réglementation sur la protection des données à caractère personnel en cours d'exécution du marché, les modifications nécessaires pour se conformer aux règles nouvelles, donnent lieu à la signature d'un avenant par les parties au marché ou, en l'absence d'accord entre les parties, à une modification unilatérale par l'acheteur.</w:t>
      </w:r>
    </w:p>
    <w:p>
      <w:pPr>
        <w:pStyle w:val="Standard"/>
        <w:rPr>
          <w:lang w:val="fr-FR"/>
        </w:rPr>
      </w:pPr>
      <w:r>
        <w:rPr>
          <w:lang w:val="fr-FR"/>
        </w:rPr>
      </w:r>
    </w:p>
    <w:p>
      <w:pPr>
        <w:pStyle w:val="Standard"/>
        <w:rPr>
          <w:lang w:val="fr-FR"/>
        </w:rPr>
      </w:pPr>
      <w:r>
        <w:rPr>
          <w:lang w:val="fr-FR"/>
        </w:rPr>
        <w:t>2.3. Lorsque le titulaire met en oeuvre un traitement de données à caractère personnel pour le compte de l'acheteur, pour que ce traitement réponde aux exigences de la réglementation et garantisse en particulier la protection des droits des personnes physiques identifiées ou identifiables qu'il concerne, les documents particuliers du marché précisent notamment :</w:t>
      </w:r>
    </w:p>
    <w:p>
      <w:pPr>
        <w:pStyle w:val="Standard"/>
        <w:rPr>
          <w:lang w:val="fr-FR"/>
        </w:rPr>
      </w:pPr>
      <w:r>
        <w:rPr>
          <w:lang w:val="fr-FR"/>
        </w:rPr>
        <w:t>- la finalité, la description et la durée du traitement dans le strict respect des instructions documentées de l'acheteur ;</w:t>
      </w:r>
    </w:p>
    <w:p>
      <w:pPr>
        <w:pStyle w:val="Standard"/>
        <w:rPr>
          <w:lang w:val="fr-FR"/>
        </w:rPr>
      </w:pPr>
      <w:r>
        <w:rPr>
          <w:lang w:val="fr-FR"/>
        </w:rPr>
        <w:t>- les obligations de l'acheteur et celles du titulaire vis-à-vis de ce dernier, en particulier l'obligation de l'informer de toute difficulté dans l'application de la réglementation, de tout projet de recours à un tiers pour la mise en oeuvre du traitement, ou encore de toute demande de communication de données qui lui serait adressée, ainsi que, lorsque celle-ci serait contraire à la règlementation française et européenne, des mesures adoptées pour s'y opposer ;</w:t>
      </w:r>
    </w:p>
    <w:p>
      <w:pPr>
        <w:pStyle w:val="Standard"/>
        <w:rPr>
          <w:lang w:val="fr-FR"/>
        </w:rPr>
      </w:pPr>
      <w:r>
        <w:rPr>
          <w:lang w:val="fr-FR"/>
        </w:rPr>
        <w:t>- les modalités de prise en compte du droit à l'information et des autres droits des personnes concernées, dont l'exercice doit être garanti ;</w:t>
      </w:r>
    </w:p>
    <w:p>
      <w:pPr>
        <w:pStyle w:val="Standard"/>
        <w:rPr>
          <w:lang w:val="fr-FR"/>
        </w:rPr>
      </w:pPr>
      <w:r>
        <w:rPr>
          <w:lang w:val="fr-FR"/>
        </w:rPr>
        <w:t>- les mesures de sécurité mises en oeuvre pour garantir l'intégrité, la confidentialité et la disponibilité des données, ainsi que les conditions de notification des violations de données à caractère personnel ;</w:t>
      </w:r>
    </w:p>
    <w:p>
      <w:pPr>
        <w:pStyle w:val="Standard"/>
        <w:rPr>
          <w:lang w:val="fr-FR"/>
        </w:rPr>
      </w:pPr>
      <w:r>
        <w:rPr>
          <w:lang w:val="fr-FR"/>
        </w:rPr>
        <w:t>- la durée et les modalités de conservation des données et le sort de celles-ci au terme de l'exécution du marché.</w:t>
      </w:r>
    </w:p>
    <w:p>
      <w:pPr>
        <w:pStyle w:val="Standard"/>
        <w:rPr>
          <w:lang w:val="fr-FR"/>
        </w:rPr>
      </w:pPr>
      <w:r>
        <w:rPr>
          <w:lang w:val="fr-FR"/>
        </w:rPr>
        <w:t>Les documents particuliers du marché précisent également les pénalités applicables au titulaire en cas de méconnaissance de la réglementation.</w:t>
      </w:r>
    </w:p>
    <w:p>
      <w:pPr>
        <w:pStyle w:val="Standard"/>
        <w:rPr>
          <w:lang w:val="fr-FR"/>
        </w:rPr>
      </w:pPr>
      <w:r>
        <w:rPr>
          <w:lang w:val="fr-FR"/>
        </w:rPr>
      </w:r>
    </w:p>
    <w:p>
      <w:pPr>
        <w:pStyle w:val="Standard"/>
        <w:rPr>
          <w:lang w:val="fr-FR"/>
        </w:rPr>
      </w:pPr>
      <w:r>
        <w:rPr>
          <w:lang w:val="fr-FR"/>
        </w:rPr>
        <w:t>En cas de manquement par le titulaire ou son sous-traitant à ses obligations légales et contractuelles relatives à la protection des données personnelles, le marché peut être résilié pour faute en application de l'article 41 du CCAG FCS.</w:t>
      </w:r>
    </w:p>
    <w:p>
      <w:pPr>
        <w:pStyle w:val="Standard"/>
        <w:rPr>
          <w:lang w:val="fr-FR"/>
        </w:rPr>
      </w:pPr>
      <w:r>
        <w:rPr>
          <w:lang w:val="fr-FR"/>
        </w:rPr>
      </w:r>
    </w:p>
    <w:p>
      <w:pPr>
        <w:pStyle w:val="Standard"/>
        <w:rPr>
          <w:lang w:val="fr-FR"/>
        </w:rPr>
      </w:pPr>
      <w:r>
        <w:rPr>
          <w:lang w:val="fr-FR"/>
        </w:rPr>
        <w:t>3. Mesures de sécurité</w:t>
      </w:r>
    </w:p>
    <w:p>
      <w:pPr>
        <w:pStyle w:val="Standard"/>
        <w:rPr>
          <w:lang w:val="fr-FR"/>
        </w:rPr>
      </w:pPr>
      <w:r>
        <w:rPr>
          <w:lang w:val="fr-FR"/>
        </w:rPr>
        <w:t xml:space="preserve"> </w:t>
      </w:r>
    </w:p>
    <w:p>
      <w:pPr>
        <w:pStyle w:val="Standard"/>
        <w:rPr>
          <w:lang w:val="fr-FR"/>
        </w:rPr>
      </w:pPr>
      <w:r>
        <w:rPr>
          <w:lang w:val="fr-FR"/>
        </w:rPr>
        <w:t>3.1 Lorsque les prestations sont à exécuter dans un lieu où des mesures de sécurité s'appliquent, notamment dans les zones protégées en vertu des dispositions législatives ou réglementaires prises pour la protection du secret de la défense nationale, ces dispositions particulières sont indiquées par l'acheteur dans les documents particuliers du marché. Le titulaire est tenu de les respecter.</w:t>
      </w:r>
    </w:p>
    <w:p>
      <w:pPr>
        <w:pStyle w:val="Standard"/>
        <w:rPr>
          <w:lang w:val="fr-FR"/>
        </w:rPr>
      </w:pPr>
      <w:r>
        <w:rPr>
          <w:lang w:val="fr-FR"/>
        </w:rPr>
      </w:r>
    </w:p>
    <w:p>
      <w:pPr>
        <w:pStyle w:val="Standard"/>
        <w:rPr>
          <w:lang w:val="fr-FR"/>
        </w:rPr>
      </w:pPr>
      <w:r>
        <w:rPr>
          <w:lang w:val="fr-FR"/>
        </w:rPr>
        <w:t>Le titulaire ne peut prétendre, de ce fait, ni à prolongation du délai d'exécution, ni à indemnité, ni à supplément de prix, à moins que les deux conditions suivantes soient remplies :</w:t>
      </w:r>
    </w:p>
    <w:p>
      <w:pPr>
        <w:pStyle w:val="Standard"/>
        <w:rPr>
          <w:lang w:val="fr-FR"/>
        </w:rPr>
      </w:pPr>
      <w:r>
        <w:rPr>
          <w:lang w:val="fr-FR"/>
        </w:rPr>
        <w:t>- les informations ne lui ont été communiquées que postérieurement au dépôt de son offre ;</w:t>
      </w:r>
    </w:p>
    <w:p>
      <w:pPr>
        <w:pStyle w:val="Standard"/>
        <w:rPr>
          <w:lang w:val="fr-FR"/>
        </w:rPr>
      </w:pPr>
      <w:r>
        <w:rPr>
          <w:lang w:val="fr-FR"/>
        </w:rPr>
        <w:t>- il peut établir que les obligations qui lui sont ainsi imposées nécessitent un délai supplémentaire pour l'exécution des prestations prévues par le marché ou rendent plus difficile ou plus onéreuse pour lui l'exécution de son contrat.</w:t>
      </w:r>
    </w:p>
    <w:p>
      <w:pPr>
        <w:pStyle w:val="Standard"/>
        <w:rPr>
          <w:lang w:val="fr-FR"/>
        </w:rPr>
      </w:pPr>
      <w:r>
        <w:rPr>
          <w:lang w:val="fr-FR"/>
        </w:rPr>
      </w:r>
    </w:p>
    <w:p>
      <w:pPr>
        <w:pStyle w:val="Standard"/>
        <w:rPr>
          <w:lang w:val="fr-FR"/>
        </w:rPr>
      </w:pPr>
      <w:r>
        <w:rPr>
          <w:lang w:val="fr-FR"/>
        </w:rPr>
        <w:t>3.2 Le titulaire sensibilise son personnel, intervenant dans le cadre des prestations, à la sécurité de l'information, des systèmes d'information et à l'ensemble des mesures de sécurité définies par l'acheteur ou s'imposant à ce dernier.</w:t>
      </w:r>
    </w:p>
    <w:p>
      <w:pPr>
        <w:pStyle w:val="Standard"/>
        <w:rPr>
          <w:lang w:val="fr-FR"/>
        </w:rPr>
      </w:pPr>
      <w:r>
        <w:rPr>
          <w:lang w:val="fr-FR"/>
        </w:rPr>
        <w:t>Le titulaire veille notamment à ce que son personnel intervenant dans le cadre des prestations respecte les stipulations du présent marché concernant la sécurité.</w:t>
      </w:r>
    </w:p>
    <w:p>
      <w:pPr>
        <w:pStyle w:val="Standard"/>
        <w:rPr>
          <w:lang w:val="fr-FR"/>
        </w:rPr>
      </w:pPr>
      <w:r>
        <w:rPr>
          <w:lang w:val="fr-FR"/>
        </w:rPr>
      </w:r>
    </w:p>
    <w:p>
      <w:pPr>
        <w:pStyle w:val="Standard"/>
        <w:rPr>
          <w:lang w:val="fr-FR"/>
        </w:rPr>
      </w:pPr>
      <w:r>
        <w:rPr>
          <w:lang w:val="fr-FR"/>
        </w:rPr>
        <w:t>4. Information sur les vulnérabilités et les incidents de sécurité détectés sur le système d'information du titulaire</w:t>
      </w:r>
    </w:p>
    <w:p>
      <w:pPr>
        <w:pStyle w:val="Standard"/>
        <w:rPr>
          <w:lang w:val="fr-FR"/>
        </w:rPr>
      </w:pPr>
      <w:r>
        <w:rPr>
          <w:lang w:val="fr-FR"/>
        </w:rPr>
      </w:r>
    </w:p>
    <w:p>
      <w:pPr>
        <w:pStyle w:val="Standard"/>
        <w:rPr>
          <w:lang w:val="fr-FR"/>
        </w:rPr>
      </w:pPr>
      <w:r>
        <w:rPr>
          <w:lang w:val="fr-FR"/>
        </w:rPr>
        <w:t>Pour les prestations, produits et services fournis dans le cadre du marché, le titulaire met à disposition un dispositif d'information dédié à la sécurité informatique (notamment flux RSS/ATOM, liste de diffusion par courriel ou autre).</w:t>
      </w:r>
    </w:p>
    <w:p>
      <w:pPr>
        <w:pStyle w:val="Standard"/>
        <w:rPr>
          <w:lang w:val="fr-FR"/>
        </w:rPr>
      </w:pPr>
      <w:r>
        <w:rPr>
          <w:lang w:val="fr-FR"/>
        </w:rPr>
      </w:r>
    </w:p>
    <w:p>
      <w:pPr>
        <w:pStyle w:val="Standard"/>
        <w:rPr>
          <w:lang w:val="fr-FR"/>
        </w:rPr>
      </w:pPr>
      <w:r>
        <w:rPr>
          <w:lang w:val="fr-FR"/>
        </w:rPr>
        <w:t>Ce dispositif vise à tenir l'acheteur informé des événements et changements impactant la sécurité, notamment liés à la connaissance d'une vulnérabilité impactant le système (annonce de correctif, attaque en cours, violation de données à caractère personnel si le traitement de données est sous-traité au titulaire), et des mesures correctives ou conservatoires à appliquer.</w:t>
      </w:r>
    </w:p>
    <w:p>
      <w:pPr>
        <w:pStyle w:val="Standard"/>
        <w:rPr>
          <w:lang w:val="fr-FR"/>
        </w:rPr>
      </w:pPr>
      <w:r>
        <w:rPr>
          <w:lang w:val="fr-FR"/>
        </w:rPr>
      </w:r>
    </w:p>
    <w:p>
      <w:pPr>
        <w:pStyle w:val="Standard"/>
        <w:rPr>
          <w:lang w:val="fr-FR"/>
        </w:rPr>
      </w:pPr>
      <w:r>
        <w:rPr>
          <w:lang w:val="fr-FR"/>
        </w:rPr>
        <w:t>5. Information des sous-traitants</w:t>
      </w:r>
    </w:p>
    <w:p>
      <w:pPr>
        <w:pStyle w:val="Standard"/>
        <w:rPr>
          <w:lang w:val="fr-FR"/>
        </w:rPr>
      </w:pPr>
      <w:r>
        <w:rPr>
          <w:lang w:val="fr-FR"/>
        </w:rPr>
      </w:r>
    </w:p>
    <w:p>
      <w:pPr>
        <w:pStyle w:val="Standard"/>
        <w:rPr>
          <w:lang w:val="fr-FR"/>
        </w:rPr>
      </w:pPr>
      <w:r>
        <w:rPr>
          <w:lang w:val="fr-FR"/>
        </w:rPr>
        <w:t>Le titulaire informe ses sous-traitants de leur soumission aux obligations énoncées au présent article du CCAP. Il reste responsable du respect de celles-ci.</w:t>
      </w:r>
    </w:p>
    <w:p>
      <w:pPr>
        <w:pStyle w:val="Standard"/>
        <w:rPr>
          <w:lang w:val="fr-FR"/>
        </w:rPr>
      </w:pPr>
      <w:r>
        <w:rPr>
          <w:lang w:val="fr-FR"/>
        </w:rPr>
      </w:r>
    </w:p>
    <w:p>
      <w:pPr>
        <w:pStyle w:val="Standard"/>
        <w:rPr>
          <w:lang w:val="fr-FR"/>
        </w:rPr>
      </w:pPr>
      <w:r>
        <w:rPr>
          <w:lang w:val="fr-FR"/>
        </w:rPr>
        <w:t>Pénalités pour violation des obligations de sécurité ou de confidentialité :</w:t>
      </w:r>
    </w:p>
    <w:p>
      <w:pPr>
        <w:pStyle w:val="Standard"/>
        <w:rPr>
          <w:lang w:val="fr-FR"/>
        </w:rPr>
      </w:pPr>
      <w:r>
        <w:rPr>
          <w:lang w:val="fr-FR"/>
        </w:rPr>
      </w:r>
    </w:p>
    <w:p>
      <w:pPr>
        <w:pStyle w:val="Standard"/>
        <w:rPr>
          <w:lang w:val="fr-FR"/>
        </w:rPr>
      </w:pPr>
      <w:r>
        <w:rPr>
          <w:lang w:val="fr-FR"/>
        </w:rPr>
        <w:t xml:space="preserve">■ </w:t>
      </w:r>
      <w:r>
        <w:rPr>
          <w:lang w:val="fr-FR"/>
        </w:rPr>
        <w:t>En cas de violation des mesures de sécurité ou de l'obligation de confidentialité énoncées à l'article 5.1 du CCAG FCS, et par dérogation à l'article 14 du même CCAG, le titulaire s'expose aux pénalités suivantes, appliquées dans les conditions prévues à l'article 14.1.1 du CCAG :</w:t>
      </w:r>
    </w:p>
    <w:p>
      <w:pPr>
        <w:pStyle w:val="Standard"/>
        <w:rPr>
          <w:lang w:val="fr-FR"/>
        </w:rPr>
      </w:pPr>
      <w:r>
        <w:rPr>
          <w:lang w:val="fr-FR"/>
        </w:rPr>
        <w:t>- en cas de non-respect des règles de sécurité et de protection des informations confidentielles impliquant des données à caractère personnel : application d'une pénalité égale à 2 % du montant exécuté du marché public à la date de constatation du fait générateur.</w:t>
      </w:r>
    </w:p>
    <w:p>
      <w:pPr>
        <w:pStyle w:val="Standard"/>
        <w:rPr>
          <w:lang w:val="fr-FR"/>
        </w:rPr>
      </w:pPr>
      <w:r>
        <w:rPr>
          <w:lang w:val="fr-FR"/>
        </w:rPr>
        <w:t>- en cas de constatation de plusieurs faits générateurs, les pénalités ainsi établies sont appliquées de façon cumulative.</w:t>
      </w:r>
    </w:p>
    <w:p>
      <w:pPr>
        <w:pStyle w:val="Standard"/>
        <w:rPr>
          <w:lang w:val="fr-FR"/>
        </w:rPr>
      </w:pPr>
      <w:r>
        <w:rPr>
          <w:lang w:val="fr-FR"/>
        </w:rPr>
        <w:t>De même, ces pénalités sont distinctes et cumulatives de celles sanctionnant le non-respect de la réglementation relative à la protection des données personnelles (article 5.2 du CCAG FCS, et article 19 du présent CCAP).</w:t>
      </w:r>
    </w:p>
    <w:p>
      <w:pPr>
        <w:pStyle w:val="Standard"/>
        <w:rPr>
          <w:lang w:val="fr-FR"/>
        </w:rPr>
      </w:pPr>
      <w:r>
        <w:rPr>
          <w:lang w:val="fr-FR"/>
        </w:rPr>
      </w:r>
    </w:p>
    <w:p>
      <w:pPr>
        <w:pStyle w:val="Standard"/>
        <w:rPr>
          <w:lang w:val="fr-FR"/>
        </w:rPr>
      </w:pPr>
      <w:r>
        <w:rPr>
          <w:lang w:val="fr-FR"/>
        </w:rPr>
        <w:t xml:space="preserve">■ </w:t>
      </w:r>
      <w:r>
        <w:rPr>
          <w:lang w:val="fr-FR"/>
        </w:rPr>
        <w:t>Information sur les vulnérabilités et les incidents de sécurité détectés sur le système d'information du titulaire</w:t>
      </w:r>
    </w:p>
    <w:p>
      <w:pPr>
        <w:pStyle w:val="Standard"/>
        <w:rPr>
          <w:lang w:val="fr-FR"/>
        </w:rPr>
      </w:pPr>
      <w:r>
        <w:rPr>
          <w:lang w:val="fr-FR"/>
        </w:rPr>
      </w:r>
    </w:p>
    <w:p>
      <w:pPr>
        <w:pStyle w:val="Standard"/>
        <w:rPr>
          <w:lang w:val="fr-FR"/>
        </w:rPr>
      </w:pPr>
      <w:r>
        <w:rPr>
          <w:lang w:val="fr-FR"/>
        </w:rPr>
        <w:t>Par dérogation à l'article 5 du CCAG FCS, pour les prestations, produits et services fournis dans le cadre du marché, le titulaire met à disposition un dispositif d'information dédié à la sécurité informatique (notamment flux RSS/ATOM, liste de diffusion par courriel ou autre).</w:t>
      </w:r>
    </w:p>
    <w:p>
      <w:pPr>
        <w:pStyle w:val="Standard"/>
        <w:rPr>
          <w:lang w:val="fr-FR"/>
        </w:rPr>
      </w:pPr>
      <w:r>
        <w:rPr>
          <w:lang w:val="fr-FR"/>
        </w:rPr>
      </w:r>
    </w:p>
    <w:p>
      <w:pPr>
        <w:pStyle w:val="Standard"/>
        <w:rPr>
          <w:lang w:val="fr-FR"/>
        </w:rPr>
      </w:pPr>
      <w:r>
        <w:rPr>
          <w:lang w:val="fr-FR"/>
        </w:rPr>
        <w:t>Ce dispositif vise à tenir l'acheteur informé des événements et changements impactant la sécurité, notamment liés à la connaissance d'une vulnérabilité impactant le système (annonce de correctif, attaque en cours, violation de données à caractère personnel si le traitement de données est sous-traité au titulaire), et des mesures correctives ou conservatoires à appliquer.</w:t>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Standard"/>
        <w:rPr>
          <w:lang w:val="fr-FR"/>
        </w:rPr>
      </w:pPr>
      <w:r>
        <w:rPr>
          <w:lang w:val="fr-FR"/>
        </w:rPr>
      </w:r>
    </w:p>
    <w:p>
      <w:pPr>
        <w:pStyle w:val="Titre1"/>
        <w:rPr>
          <w:lang w:val="fr-FR"/>
        </w:rPr>
      </w:pPr>
      <w:bookmarkStart w:id="58" w:name="_Toc142644580"/>
      <w:bookmarkStart w:id="59" w:name="_Toc142644641"/>
      <w:r>
        <w:rPr>
          <w:lang w:val="fr-FR"/>
        </w:rPr>
        <w:t>MODALITES DE DETERMINATION DES PRIX</w:t>
      </w:r>
      <w:bookmarkEnd w:id="58"/>
      <w:bookmarkEnd w:id="59"/>
    </w:p>
    <w:p>
      <w:pPr>
        <w:pStyle w:val="Titre2"/>
        <w:rPr>
          <w:lang w:val="fr-FR"/>
        </w:rPr>
      </w:pPr>
      <w:bookmarkStart w:id="60" w:name="_Toc142644581"/>
      <w:bookmarkStart w:id="61" w:name="_Toc142644642"/>
      <w:r>
        <w:rPr>
          <w:lang w:val="fr-FR"/>
        </w:rPr>
        <w:t>Nature du prix</w:t>
      </w:r>
      <w:bookmarkEnd w:id="60"/>
      <w:bookmarkEnd w:id="61"/>
    </w:p>
    <w:p>
      <w:pPr>
        <w:pStyle w:val="Standard"/>
        <w:rPr>
          <w:lang w:val="fr-FR"/>
        </w:rPr>
      </w:pPr>
      <w:r>
        <w:rPr>
          <w:lang w:val="fr-FR"/>
        </w:rPr>
        <w:t xml:space="preserve"> </w:t>
      </w:r>
      <w:r>
        <w:rPr>
          <w:lang w:val="fr-FR"/>
        </w:rPr>
        <w:t>Prix global et forfaitaire :</w:t>
      </w:r>
    </w:p>
    <w:p>
      <w:pPr>
        <w:pStyle w:val="Standard"/>
        <w:rPr>
          <w:lang w:val="fr-FR"/>
        </w:rPr>
      </w:pPr>
      <w:r>
        <w:rPr>
          <w:lang w:val="fr-FR"/>
        </w:rPr>
      </w:r>
    </w:p>
    <w:p>
      <w:pPr>
        <w:pStyle w:val="Standard"/>
        <w:rPr>
          <w:lang w:val="fr-FR"/>
        </w:rPr>
      </w:pPr>
      <w:r>
        <w:rPr>
          <w:lang w:val="fr-FR"/>
        </w:rPr>
        <w:t>Le marché est conclu au prix global et forfaitaire figurant dans l'acte d'engagement.</w:t>
      </w:r>
    </w:p>
    <w:p>
      <w:pPr>
        <w:pStyle w:val="Standard"/>
        <w:rPr>
          <w:lang w:val="fr-FR"/>
        </w:rPr>
      </w:pPr>
      <w:r>
        <w:rPr>
          <w:lang w:val="fr-FR"/>
        </w:rPr>
      </w:r>
    </w:p>
    <w:p>
      <w:pPr>
        <w:pStyle w:val="Standard"/>
        <w:rPr>
          <w:lang w:val="fr-FR"/>
        </w:rPr>
      </w:pPr>
      <w:r>
        <w:rPr>
          <w:lang w:val="fr-FR"/>
        </w:rPr>
        <w:t>Le taux de la TVA à prendre en considération est celui en vigueur à la date du fait générateur, conformément à l'article 269 du CGI.</w:t>
      </w:r>
    </w:p>
    <w:p>
      <w:pPr>
        <w:pStyle w:val="Standard"/>
        <w:rPr>
          <w:lang w:val="fr-FR"/>
        </w:rPr>
      </w:pPr>
      <w:r>
        <w:rPr>
          <w:lang w:val="fr-FR"/>
        </w:rPr>
      </w:r>
    </w:p>
    <w:p>
      <w:pPr>
        <w:pStyle w:val="Titre2"/>
        <w:rPr>
          <w:lang w:val="fr-FR"/>
        </w:rPr>
      </w:pPr>
      <w:bookmarkStart w:id="62" w:name="_Toc142644582"/>
      <w:bookmarkStart w:id="63" w:name="_Toc142644643"/>
      <w:r>
        <w:rPr>
          <w:lang w:val="fr-FR"/>
        </w:rPr>
        <w:t>Variations de prix</w:t>
      </w:r>
      <w:bookmarkEnd w:id="62"/>
      <w:bookmarkEnd w:id="63"/>
    </w:p>
    <w:p>
      <w:pPr>
        <w:pStyle w:val="Standard"/>
        <w:rPr>
          <w:lang w:val="fr-FR"/>
        </w:rPr>
      </w:pPr>
      <w:r>
        <w:rPr>
          <w:lang w:val="fr-FR"/>
        </w:rPr>
      </w:r>
    </w:p>
    <w:p>
      <w:pPr>
        <w:pStyle w:val="Standard"/>
        <w:rPr>
          <w:lang w:val="fr-FR"/>
        </w:rPr>
      </w:pPr>
      <w:r>
        <w:rPr>
          <w:lang w:val="fr-FR"/>
        </w:rPr>
        <w:t>Les prix sont révisables selon les modalités fixées ci-après.</w:t>
      </w:r>
    </w:p>
    <w:p>
      <w:pPr>
        <w:pStyle w:val="Standard"/>
        <w:rPr>
          <w:lang w:val="fr-FR"/>
        </w:rPr>
      </w:pPr>
      <w:r>
        <w:rPr>
          <w:lang w:val="fr-FR"/>
        </w:rPr>
      </w:r>
    </w:p>
    <w:p>
      <w:pPr>
        <w:pStyle w:val="Normal"/>
        <w:rPr>
          <w:lang w:val="fr-FR"/>
        </w:rPr>
      </w:pPr>
      <w:r>
        <w:rPr>
          <w:rFonts w:cs="Arial" w:ascii="Arial" w:hAnsi="Arial"/>
          <w:sz w:val="20"/>
          <w:szCs w:val="20"/>
          <w:lang w:val="fr-FR"/>
        </w:rPr>
        <w:t>Par dérogation à l'article 10.2.4 du CCAG, les prix du présent marché sont réputés établis sur la base des conditions économiques du mois de la date limite de remise des offres ; ce mois est appelé "mois zéro".</w:t>
      </w:r>
    </w:p>
    <w:p>
      <w:pPr>
        <w:pStyle w:val="Normal"/>
        <w:rPr>
          <w:rFonts w:ascii="Arial" w:hAnsi="Arial" w:cs="Arial"/>
          <w:sz w:val="20"/>
          <w:szCs w:val="20"/>
          <w:lang w:val="fr-FR"/>
        </w:rPr>
      </w:pPr>
      <w:r>
        <w:rPr>
          <w:rFonts w:cs="Arial" w:ascii="Arial" w:hAnsi="Arial"/>
          <w:sz w:val="20"/>
          <w:szCs w:val="20"/>
          <w:lang w:val="fr-FR"/>
        </w:rPr>
      </w:r>
    </w:p>
    <w:p>
      <w:pPr>
        <w:pStyle w:val="Normal"/>
        <w:rPr>
          <w:lang w:val="fr-FR"/>
        </w:rPr>
      </w:pPr>
      <w:r>
        <w:rPr>
          <w:rFonts w:cs="Arial" w:ascii="Arial" w:hAnsi="Arial"/>
          <w:sz w:val="20"/>
          <w:szCs w:val="20"/>
          <w:lang w:val="fr-FR"/>
        </w:rPr>
        <w:t xml:space="preserve">Les prix du marché évoluent de la manière suivante en fonction de l'évolution des conditions économiques. </w:t>
      </w:r>
      <w:r>
        <w:rPr>
          <w:rFonts w:cs="Arial" w:ascii="Arial" w:hAnsi="Arial"/>
          <w:sz w:val="20"/>
          <w:szCs w:val="20"/>
          <w:u w:val="single"/>
          <w:lang w:val="fr-FR"/>
        </w:rPr>
        <w:t>Les prix sont révisables</w:t>
      </w:r>
    </w:p>
    <w:p>
      <w:pPr>
        <w:pStyle w:val="Standard"/>
        <w:rPr>
          <w:lang w:val="fr-FR"/>
        </w:rPr>
      </w:pPr>
      <w:r>
        <w:rPr>
          <w:lang w:val="fr-FR"/>
        </w:rPr>
      </w:r>
    </w:p>
    <w:p>
      <w:pPr>
        <w:pStyle w:val="Standard"/>
        <w:rPr>
          <w:lang w:val="fr-FR"/>
        </w:rPr>
      </w:pPr>
      <w:r>
        <w:rPr>
          <w:lang w:val="fr-FR"/>
        </w:rPr>
        <w:t>Pour déterminer les prix de règlement, il sera fait application de la formule de révision figurant ci-après.</w:t>
      </w:r>
    </w:p>
    <w:p>
      <w:pPr>
        <w:pStyle w:val="Standard"/>
        <w:rPr>
          <w:lang w:val="fr-FR"/>
        </w:rPr>
      </w:pPr>
      <w:r>
        <w:rPr>
          <w:lang w:val="fr-FR"/>
        </w:rPr>
      </w:r>
    </w:p>
    <w:p>
      <w:pPr>
        <w:pStyle w:val="Standard"/>
        <w:rPr>
          <w:lang w:val="fr-FR"/>
        </w:rPr>
      </w:pPr>
      <w:r>
        <w:rPr>
          <w:lang w:val="fr-FR"/>
        </w:rPr>
        <w:t xml:space="preserve">Les prix sont révisés </w:t>
      </w:r>
      <w:r>
        <w:rPr>
          <w:b/>
          <w:lang w:val="fr-FR"/>
        </w:rPr>
        <w:t xml:space="preserve">annuellement </w:t>
      </w:r>
      <w:r>
        <w:rPr>
          <w:lang w:val="fr-FR"/>
        </w:rPr>
        <w:t>à chaque date anniversaire de la notification du marché, en application de la formule suivante :</w:t>
      </w:r>
    </w:p>
    <w:p>
      <w:pPr>
        <w:pStyle w:val="Standard"/>
        <w:rPr>
          <w:lang w:val="fr-FR"/>
        </w:rPr>
      </w:pPr>
      <w:r>
        <w:rPr>
          <w:lang w:val="fr-FR"/>
        </w:rPr>
      </w:r>
    </w:p>
    <w:p>
      <w:pPr>
        <w:pStyle w:val="Standard"/>
        <w:rPr>
          <w:lang w:val="fr-FR"/>
        </w:rPr>
      </w:pPr>
      <w:r>
        <w:rPr>
          <w:lang w:val="fr-FR"/>
        </w:rPr>
        <w:t>P(n) = P(</w:t>
      </w:r>
      <w:r>
        <w:rPr>
          <w:lang w:val="fr-FR"/>
        </w:rPr>
        <w:t>0</w:t>
      </w:r>
      <w:r>
        <w:rPr>
          <w:lang w:val="fr-FR"/>
        </w:rPr>
        <w:t>)* [0.15+0.85*(I(n)/I(0))]</w:t>
      </w:r>
    </w:p>
    <w:p>
      <w:pPr>
        <w:pStyle w:val="Standard"/>
        <w:rPr>
          <w:lang w:val="fr-FR"/>
        </w:rPr>
      </w:pPr>
      <w:r>
        <w:rPr>
          <w:lang w:val="fr-FR"/>
        </w:rPr>
      </w:r>
    </w:p>
    <w:p>
      <w:pPr>
        <w:pStyle w:val="Standard"/>
        <w:rPr>
          <w:lang w:val="fr-FR"/>
        </w:rPr>
      </w:pPr>
      <w:r>
        <w:rPr>
          <w:lang w:val="fr-FR"/>
        </w:rPr>
        <w:t>Les paramètres figurant dans la formule ont la signification suivante :</w:t>
      </w:r>
    </w:p>
    <w:p>
      <w:pPr>
        <w:pStyle w:val="Standard"/>
        <w:rPr>
          <w:lang w:val="fr-FR"/>
        </w:rPr>
      </w:pPr>
      <w:r>
        <w:rPr>
          <w:lang w:val="fr-FR"/>
        </w:rPr>
        <w:t>P (n) : Prix après révision</w:t>
      </w:r>
    </w:p>
    <w:p>
      <w:pPr>
        <w:pStyle w:val="Standard"/>
        <w:rPr>
          <w:lang w:val="fr-FR"/>
        </w:rPr>
      </w:pPr>
      <w:r>
        <w:rPr>
          <w:lang w:val="fr-FR"/>
        </w:rPr>
        <w:t>P (0) : Prix à la date limite de remise des offres</w:t>
      </w:r>
    </w:p>
    <w:p>
      <w:pPr>
        <w:pStyle w:val="Standard"/>
        <w:rPr/>
      </w:pPr>
      <w:r>
        <w:rPr>
          <w:lang w:val="fr-FR"/>
        </w:rPr>
        <w:t xml:space="preserve">I (n) : Valeur de l'indice des salaires mensuels de base - Hébergement médico-social et social et action sociale sans hébergement (NAF rév. 2, niveau A38 QB) - Base 100 au T2 2017, identifiant n° 010562706 site Internet : </w:t>
      </w:r>
      <w:hyperlink r:id="rId2">
        <w:r>
          <w:rPr>
            <w:rStyle w:val="LienInternet"/>
            <w:b/>
            <w:lang w:val="fr-FR"/>
          </w:rPr>
          <w:t>https://www.insee.fr/fr/statistiques/serie/010562706</w:t>
        </w:r>
      </w:hyperlink>
      <w:r>
        <w:rPr>
          <w:lang w:val="fr-FR"/>
        </w:rPr>
        <w:t xml:space="preserve"> pris à chaque date anniversaire de la notification</w:t>
      </w:r>
    </w:p>
    <w:p>
      <w:pPr>
        <w:pStyle w:val="Standard"/>
        <w:rPr>
          <w:lang w:val="fr-FR"/>
        </w:rPr>
      </w:pPr>
      <w:r>
        <w:rPr>
          <w:lang w:val="fr-FR"/>
        </w:rPr>
        <w:t>I (0) : Même indice pris à la date limite de remise des offres.</w:t>
      </w:r>
    </w:p>
    <w:p>
      <w:pPr>
        <w:pStyle w:val="Normal"/>
        <w:rPr>
          <w:rFonts w:ascii="Arial" w:hAnsi="Arial" w:cs="Arial"/>
          <w:sz w:val="20"/>
          <w:szCs w:val="20"/>
          <w:lang w:val="fr-FR"/>
        </w:rPr>
      </w:pPr>
      <w:r>
        <w:rPr>
          <w:rFonts w:cs="Arial" w:ascii="Arial" w:hAnsi="Arial"/>
          <w:sz w:val="20"/>
          <w:szCs w:val="20"/>
          <w:lang w:val="fr-FR"/>
        </w:rPr>
      </w:r>
    </w:p>
    <w:p>
      <w:pPr>
        <w:pStyle w:val="Titre2"/>
        <w:rPr>
          <w:lang w:val="fr-FR"/>
        </w:rPr>
      </w:pPr>
      <w:bookmarkStart w:id="64" w:name="_Toc142644583"/>
      <w:bookmarkStart w:id="65" w:name="_Toc142644644"/>
      <w:r>
        <w:rPr>
          <w:lang w:val="fr-FR"/>
        </w:rPr>
        <w:t>Disparition d'indice</w:t>
      </w:r>
      <w:bookmarkEnd w:id="64"/>
      <w:bookmarkEnd w:id="65"/>
    </w:p>
    <w:p>
      <w:pPr>
        <w:pStyle w:val="Standard"/>
        <w:rPr>
          <w:lang w:val="fr-FR"/>
        </w:rPr>
      </w:pPr>
      <w:r>
        <w:rPr>
          <w:lang w:val="fr-FR"/>
        </w:rPr>
        <w:t>Dans le cas de disparition d'indice, le nouvel indice de substitution préconisé par l'organisme qui l'établit sera de plein droit applicable dès lors qu'il correspond à la structure de prix de la prestation.</w:t>
      </w:r>
    </w:p>
    <w:p>
      <w:pPr>
        <w:pStyle w:val="Standard"/>
        <w:rPr>
          <w:lang w:val="fr-FR"/>
        </w:rPr>
      </w:pPr>
      <w:r>
        <w:rPr>
          <w:lang w:val="fr-FR"/>
        </w:rPr>
      </w:r>
    </w:p>
    <w:p>
      <w:pPr>
        <w:pStyle w:val="Standard"/>
        <w:rPr>
          <w:lang w:val="fr-FR"/>
        </w:rPr>
      </w:pPr>
      <w:r>
        <w:rPr>
          <w:lang w:val="fr-FR"/>
        </w:rPr>
        <w:t xml:space="preserve">Dans l'hypothèse où aucun indice de substitution ne serait préconisé, les parties conviennent que la substitution d'indice sera effectuée par avenant après accord de chacune d'elles. </w:t>
      </w:r>
    </w:p>
    <w:p>
      <w:pPr>
        <w:pStyle w:val="Standard"/>
        <w:rPr>
          <w:lang w:val="fr-FR"/>
        </w:rPr>
      </w:pPr>
      <w:r>
        <w:rPr>
          <w:lang w:val="fr-FR"/>
        </w:rPr>
      </w:r>
    </w:p>
    <w:p>
      <w:pPr>
        <w:pStyle w:val="Titre1"/>
        <w:rPr>
          <w:lang w:val="fr-FR"/>
        </w:rPr>
      </w:pPr>
      <w:bookmarkStart w:id="66" w:name="_Toc142644584"/>
      <w:bookmarkStart w:id="67" w:name="_Toc142644645"/>
      <w:r>
        <w:rPr>
          <w:lang w:val="fr-FR"/>
        </w:rPr>
        <w:t>AVANCE</w:t>
      </w:r>
      <w:bookmarkEnd w:id="66"/>
      <w:bookmarkEnd w:id="67"/>
    </w:p>
    <w:p>
      <w:pPr>
        <w:pStyle w:val="Titre2"/>
        <w:rPr>
          <w:lang w:val="fr-FR"/>
        </w:rPr>
      </w:pPr>
      <w:bookmarkStart w:id="68" w:name="_Toc142644585"/>
      <w:bookmarkStart w:id="69" w:name="_Toc142644646"/>
      <w:r>
        <w:rPr>
          <w:lang w:val="fr-FR"/>
        </w:rPr>
        <w:t>Régime de l'avance</w:t>
      </w:r>
      <w:bookmarkEnd w:id="68"/>
      <w:bookmarkEnd w:id="69"/>
    </w:p>
    <w:p>
      <w:pPr>
        <w:pStyle w:val="Standard"/>
        <w:rPr>
          <w:lang w:val="fr-FR"/>
        </w:rPr>
      </w:pPr>
      <w:r>
        <w:rPr>
          <w:lang w:val="fr-FR"/>
        </w:rPr>
      </w:r>
    </w:p>
    <w:p>
      <w:pPr>
        <w:pStyle w:val="Standard"/>
        <w:rPr>
          <w:lang w:val="fr-FR"/>
        </w:rPr>
      </w:pPr>
      <w:r>
        <w:rPr>
          <w:lang w:val="fr-FR"/>
        </w:rPr>
        <w:t>Sauf renoncement du titulaire porté à l'acte d'engagement, une avance sera versée au titulaire, dans les cas et selon les modalités prévues aux articles R2191-3 à 19 du Code de la commande publique et à l'acte d'engagement.</w:t>
      </w:r>
    </w:p>
    <w:p>
      <w:pPr>
        <w:pStyle w:val="Standard"/>
        <w:rPr>
          <w:lang w:val="fr-FR"/>
        </w:rPr>
      </w:pPr>
      <w:r>
        <w:rPr>
          <w:lang w:val="fr-FR"/>
        </w:rPr>
      </w:r>
    </w:p>
    <w:p>
      <w:pPr>
        <w:pStyle w:val="Standard"/>
        <w:rPr>
          <w:lang w:val="fr-FR"/>
        </w:rPr>
      </w:pPr>
      <w:r>
        <w:rPr>
          <w:lang w:val="fr-FR"/>
        </w:rPr>
        <w:t>Elle est versée le cas échéant dans le délai de 30 jours à compter de la date de début du délai contractuel d'exécution du marché, du bon de commande ou de la tranche.</w:t>
      </w:r>
    </w:p>
    <w:p>
      <w:pPr>
        <w:pStyle w:val="Standard"/>
        <w:rPr>
          <w:lang w:val="fr-FR"/>
        </w:rPr>
      </w:pPr>
      <w:r>
        <w:rPr>
          <w:lang w:val="fr-FR"/>
        </w:rPr>
      </w:r>
    </w:p>
    <w:p>
      <w:pPr>
        <w:pStyle w:val="Standard"/>
        <w:rPr>
          <w:lang w:val="fr-FR"/>
        </w:rPr>
      </w:pPr>
      <w:r>
        <w:rPr>
          <w:lang w:val="fr-FR"/>
        </w:rPr>
        <w:t>L'avance est remboursée dans les conditions prévues aux articles R2191-11, R2191-12 et R2191-29 du Code de la commande publique.</w:t>
      </w:r>
    </w:p>
    <w:p>
      <w:pPr>
        <w:pStyle w:val="Standard"/>
        <w:rPr>
          <w:lang w:val="fr-FR"/>
        </w:rPr>
      </w:pPr>
      <w:r>
        <w:rPr>
          <w:lang w:val="fr-FR"/>
        </w:rPr>
      </w:r>
    </w:p>
    <w:p>
      <w:pPr>
        <w:pStyle w:val="Standard"/>
        <w:rPr>
          <w:lang w:val="fr-FR"/>
        </w:rPr>
      </w:pPr>
      <w:r>
        <w:rPr>
          <w:lang w:val="fr-F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Standard"/>
        <w:rPr>
          <w:lang w:val="fr-FR"/>
        </w:rPr>
      </w:pPr>
      <w:r>
        <w:rPr>
          <w:lang w:val="fr-FR"/>
        </w:rPr>
      </w:r>
    </w:p>
    <w:p>
      <w:pPr>
        <w:pStyle w:val="Titre2"/>
        <w:rPr>
          <w:lang w:val="fr-FR"/>
        </w:rPr>
      </w:pPr>
      <w:bookmarkStart w:id="70" w:name="_Toc142644586"/>
      <w:bookmarkStart w:id="71" w:name="_Toc142644647"/>
      <w:r>
        <w:rPr>
          <w:lang w:val="fr-FR"/>
        </w:rPr>
        <w:t>Dispositions complémentaires</w:t>
      </w:r>
      <w:bookmarkEnd w:id="70"/>
      <w:bookmarkEnd w:id="71"/>
    </w:p>
    <w:p>
      <w:pPr>
        <w:pStyle w:val="Standard"/>
        <w:rPr>
          <w:lang w:val="fr-FR"/>
        </w:rPr>
      </w:pPr>
      <w:r>
        <w:rPr>
          <w:lang w:val="fr-FR"/>
        </w:rPr>
      </w:r>
    </w:p>
    <w:p>
      <w:pPr>
        <w:pStyle w:val="Standard"/>
        <w:rPr>
          <w:lang w:val="fr-FR"/>
        </w:rPr>
      </w:pPr>
      <w:r>
        <w:rPr>
          <w:lang w:val="fr-FR"/>
        </w:rPr>
        <w:t xml:space="preserve"> </w:t>
      </w:r>
      <w:r>
        <w:rPr>
          <w:lang w:val="fr-FR"/>
        </w:rPr>
        <w:t>Il n'est pas exigé la production d'une garantie à première demande ou d'une caution personnelle et solidaire pour le versement de l'avance.</w:t>
      </w:r>
    </w:p>
    <w:p>
      <w:pPr>
        <w:pStyle w:val="Standard"/>
        <w:rPr>
          <w:lang w:val="fr-FR"/>
        </w:rPr>
      </w:pPr>
      <w:r>
        <w:rPr>
          <w:lang w:val="fr-FR"/>
        </w:rPr>
      </w:r>
    </w:p>
    <w:p>
      <w:pPr>
        <w:pStyle w:val="Titre1"/>
        <w:rPr>
          <w:lang w:val="fr-FR"/>
        </w:rPr>
      </w:pPr>
      <w:bookmarkStart w:id="72" w:name="_Toc142644587"/>
      <w:bookmarkStart w:id="73" w:name="_Toc142644648"/>
      <w:r>
        <w:rPr>
          <w:lang w:val="fr-FR"/>
        </w:rPr>
        <w:t>MODALITÉS DE REGLEMENT</w:t>
      </w:r>
      <w:bookmarkEnd w:id="72"/>
      <w:bookmarkEnd w:id="73"/>
    </w:p>
    <w:p>
      <w:pPr>
        <w:pStyle w:val="Standard"/>
        <w:rPr>
          <w:lang w:val="fr-FR"/>
        </w:rPr>
      </w:pPr>
      <w:r>
        <w:rPr>
          <w:lang w:val="fr-FR"/>
        </w:rPr>
      </w:r>
    </w:p>
    <w:p>
      <w:pPr>
        <w:pStyle w:val="Standard"/>
        <w:rPr>
          <w:lang w:val="fr-FR"/>
        </w:rPr>
      </w:pPr>
      <w:r>
        <w:rPr>
          <w:lang w:val="fr-FR"/>
        </w:rPr>
        <w:t>Les dispositions des articles R2191-20 à 22 du Code de la commande publique relatives aux acomptes sont applicables.</w:t>
      </w:r>
    </w:p>
    <w:p>
      <w:pPr>
        <w:pStyle w:val="Standard"/>
        <w:rPr>
          <w:lang w:val="fr-FR"/>
        </w:rPr>
      </w:pPr>
      <w:r>
        <w:rPr>
          <w:lang w:val="fr-FR"/>
        </w:rPr>
      </w:r>
    </w:p>
    <w:p>
      <w:pPr>
        <w:pStyle w:val="Titre1"/>
        <w:rPr>
          <w:lang w:val="fr-FR"/>
        </w:rPr>
      </w:pPr>
      <w:bookmarkStart w:id="74" w:name="_Toc142644588"/>
      <w:bookmarkStart w:id="75" w:name="_Toc142644649"/>
      <w:r>
        <w:rPr>
          <w:lang w:val="fr-FR"/>
        </w:rPr>
        <w:t>PAIEMENT – ETABLISSEMENT DE LA FACTURE</w:t>
      </w:r>
      <w:bookmarkEnd w:id="74"/>
      <w:bookmarkEnd w:id="75"/>
    </w:p>
    <w:p>
      <w:pPr>
        <w:pStyle w:val="Titre2"/>
        <w:rPr>
          <w:lang w:val="fr-FR"/>
        </w:rPr>
      </w:pPr>
      <w:bookmarkStart w:id="76" w:name="_Toc142644589"/>
      <w:bookmarkStart w:id="77" w:name="_Toc142644650"/>
      <w:r>
        <w:rPr>
          <w:lang w:val="fr-FR"/>
        </w:rPr>
        <w:t>Délais de paiements</w:t>
      </w:r>
      <w:bookmarkEnd w:id="76"/>
      <w:bookmarkEnd w:id="77"/>
    </w:p>
    <w:p>
      <w:pPr>
        <w:pStyle w:val="Standard"/>
        <w:rPr>
          <w:lang w:val="fr-FR"/>
        </w:rPr>
      </w:pPr>
      <w:r>
        <w:rPr>
          <w:lang w:val="fr-F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Standard"/>
        <w:rPr>
          <w:lang w:val="fr-FR"/>
        </w:rPr>
      </w:pPr>
      <w:r>
        <w:rPr>
          <w:lang w:val="fr-FR"/>
        </w:rPr>
      </w:r>
    </w:p>
    <w:p>
      <w:pPr>
        <w:pStyle w:val="Standard"/>
        <w:rPr>
          <w:lang w:val="fr-FR"/>
        </w:rPr>
      </w:pPr>
      <w:r>
        <w:rPr>
          <w:lang w:val="fr-FR"/>
        </w:rPr>
        <w:t>Le délai global de paiement pourra être suspendu dans les conditions prévues par la règlementation en vigueur.</w:t>
      </w:r>
    </w:p>
    <w:p>
      <w:pPr>
        <w:pStyle w:val="Titre2"/>
        <w:rPr>
          <w:lang w:val="fr-FR"/>
        </w:rPr>
      </w:pPr>
      <w:bookmarkStart w:id="78" w:name="_Toc142644590"/>
      <w:bookmarkStart w:id="79" w:name="_Toc142644651"/>
      <w:r>
        <w:rPr>
          <w:lang w:val="fr-FR"/>
        </w:rPr>
        <w:t>Intérêts moratoires</w:t>
      </w:r>
      <w:bookmarkEnd w:id="78"/>
      <w:bookmarkEnd w:id="79"/>
    </w:p>
    <w:p>
      <w:pPr>
        <w:pStyle w:val="Standard"/>
        <w:rPr>
          <w:lang w:val="fr-FR"/>
        </w:rPr>
      </w:pPr>
      <w:r>
        <w:rPr>
          <w:lang w:val="fr-F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Standard"/>
        <w:rPr>
          <w:lang w:val="fr-FR"/>
        </w:rPr>
      </w:pPr>
      <w:r>
        <w:rPr>
          <w:lang w:val="fr-FR"/>
        </w:rPr>
      </w:r>
    </w:p>
    <w:p>
      <w:pPr>
        <w:pStyle w:val="Standard"/>
        <w:rPr>
          <w:lang w:val="fr-FR"/>
        </w:rPr>
      </w:pPr>
      <w:r>
        <w:rPr>
          <w:lang w:val="fr-FR"/>
        </w:rPr>
        <w:t>Le montant de l'indemnité forfaitaire pour frais de recouvrement est fixé à 40 Euros conformément à l'article D2192-35 du Code de la commande publique.</w:t>
      </w:r>
    </w:p>
    <w:p>
      <w:pPr>
        <w:pStyle w:val="Titre2"/>
        <w:rPr>
          <w:lang w:val="fr-FR"/>
        </w:rPr>
      </w:pPr>
      <w:bookmarkStart w:id="80" w:name="_Toc142644591"/>
      <w:bookmarkStart w:id="81" w:name="_Toc142644652"/>
      <w:r>
        <w:rPr>
          <w:lang w:val="fr-FR"/>
        </w:rPr>
        <w:t>Modalités de paiement direct des sous-traitants</w:t>
      </w:r>
      <w:bookmarkEnd w:id="80"/>
      <w:bookmarkEnd w:id="81"/>
    </w:p>
    <w:p>
      <w:pPr>
        <w:pStyle w:val="Standard"/>
        <w:rPr>
          <w:lang w:val="fr-FR"/>
        </w:rPr>
      </w:pPr>
      <w:r>
        <w:rPr>
          <w:lang w:val="fr-F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Standard"/>
        <w:rPr>
          <w:lang w:val="fr-FR"/>
        </w:rPr>
      </w:pPr>
      <w:r>
        <w:rPr>
          <w:lang w:val="fr-FR"/>
        </w:rPr>
      </w:r>
    </w:p>
    <w:p>
      <w:pPr>
        <w:pStyle w:val="Standard"/>
        <w:rPr>
          <w:lang w:val="fr-FR"/>
        </w:rPr>
      </w:pPr>
      <w:r>
        <w:rPr>
          <w:lang w:val="fr-FR"/>
        </w:rPr>
        <w:t>Le paiement direct des sous-traitants régulièrement acceptés est mis en oeuvre selon les modalités prévues par le Code de la commande publique, et notamment, par ses articles R2193-11 à 16.</w:t>
      </w:r>
    </w:p>
    <w:p>
      <w:pPr>
        <w:pStyle w:val="Standard"/>
        <w:rPr>
          <w:lang w:val="fr-FR"/>
        </w:rPr>
      </w:pPr>
      <w:r>
        <w:rPr>
          <w:lang w:val="fr-FR"/>
        </w:rPr>
      </w:r>
    </w:p>
    <w:p>
      <w:pPr>
        <w:pStyle w:val="Standard"/>
        <w:rPr>
          <w:lang w:val="fr-FR"/>
        </w:rPr>
      </w:pPr>
      <w:r>
        <w:rPr>
          <w:lang w:val="fr-FR"/>
        </w:rPr>
        <w:t>Les sous-traitants adressent leur demande de paiement, libellée au nom du pouvoir adjudicateur, au titulaire ainsi qu'à la personne désignée ci-après :</w:t>
      </w:r>
    </w:p>
    <w:p>
      <w:pPr>
        <w:pStyle w:val="Standard"/>
        <w:rPr>
          <w:lang w:val="fr-FR"/>
        </w:rPr>
      </w:pPr>
      <w:r>
        <w:rPr>
          <w:lang w:val="fr-FR"/>
        </w:rPr>
        <w:t>Ville de Marseille</w:t>
      </w:r>
    </w:p>
    <w:p>
      <w:pPr>
        <w:pStyle w:val="Standard"/>
        <w:rPr>
          <w:lang w:val="fr-FR"/>
        </w:rPr>
      </w:pPr>
      <w:r>
        <w:rPr>
          <w:lang w:val="fr-FR"/>
        </w:rPr>
        <w:t>Direction Générale Adjointe ville plus juste, plus sûre et plus proche</w:t>
      </w:r>
    </w:p>
    <w:p>
      <w:pPr>
        <w:pStyle w:val="Standard"/>
        <w:rPr>
          <w:lang w:val="fr-FR"/>
        </w:rPr>
      </w:pPr>
      <w:r>
        <w:rPr>
          <w:lang w:val="fr-FR"/>
        </w:rPr>
        <w:t>Direction des Appuis Fonctionnels - étage 6-</w:t>
      </w:r>
    </w:p>
    <w:p>
      <w:pPr>
        <w:pStyle w:val="Standard"/>
        <w:rPr>
          <w:lang w:val="fr-FR"/>
        </w:rPr>
      </w:pPr>
      <w:r>
        <w:rPr>
          <w:lang w:val="fr-FR"/>
        </w:rPr>
        <w:t>Bât. A 2 place François Mireur</w:t>
      </w:r>
    </w:p>
    <w:p>
      <w:pPr>
        <w:pStyle w:val="Standard"/>
        <w:rPr>
          <w:lang w:val="fr-FR"/>
        </w:rPr>
      </w:pPr>
      <w:r>
        <w:rPr>
          <w:lang w:val="fr-FR"/>
        </w:rPr>
        <w:t>13233 MARSEILLE CEDEX 20</w:t>
      </w:r>
    </w:p>
    <w:p>
      <w:pPr>
        <w:pStyle w:val="Standard"/>
        <w:rPr>
          <w:lang w:val="fr-FR"/>
        </w:rPr>
      </w:pPr>
      <w:r>
        <w:rPr>
          <w:lang w:val="fr-FR"/>
        </w:rPr>
        <w:t>Le délai global de paiement du sous-traitant est de 30 jours. Ce délai est computé dans les conditions prévues aux articles R2192-22 et R2192-23 du Code de la commande publique.</w:t>
      </w:r>
    </w:p>
    <w:p>
      <w:pPr>
        <w:pStyle w:val="Titre2"/>
        <w:rPr>
          <w:lang w:val="fr-FR"/>
        </w:rPr>
      </w:pPr>
      <w:bookmarkStart w:id="82" w:name="_Toc142644592"/>
      <w:bookmarkStart w:id="83" w:name="_Toc142644653"/>
      <w:r>
        <w:rPr>
          <w:lang w:val="fr-FR"/>
        </w:rPr>
        <w:t>Présentation des demandes de paiement</w:t>
      </w:r>
      <w:bookmarkEnd w:id="82"/>
      <w:bookmarkEnd w:id="83"/>
    </w:p>
    <w:p>
      <w:pPr>
        <w:pStyle w:val="Standard"/>
        <w:rPr>
          <w:lang w:val="fr-FR"/>
        </w:rPr>
      </w:pPr>
      <w:r>
        <w:rPr>
          <w:lang w:val="fr-FR"/>
        </w:rPr>
      </w:r>
    </w:p>
    <w:p>
      <w:pPr>
        <w:pStyle w:val="Standard"/>
        <w:rPr>
          <w:lang w:val="fr-FR"/>
        </w:rPr>
      </w:pPr>
      <w:r>
        <w:rPr>
          <w:lang w:val="fr-FR"/>
        </w:rPr>
        <w:t>Les factures afférentes au marché sont établies en portant, outre les mentions légales, les indications suivantes :</w:t>
      </w:r>
    </w:p>
    <w:p>
      <w:pPr>
        <w:pStyle w:val="Standard"/>
        <w:rPr>
          <w:lang w:val="fr-FR"/>
        </w:rPr>
      </w:pPr>
      <w:r>
        <w:rPr>
          <w:lang w:val="fr-FR"/>
        </w:rPr>
        <w:t>- Le nom / la raison sociale et l'adresses du créancier</w:t>
      </w:r>
    </w:p>
    <w:p>
      <w:pPr>
        <w:pStyle w:val="Standard"/>
        <w:rPr>
          <w:lang w:val="fr-FR"/>
        </w:rPr>
      </w:pPr>
      <w:r>
        <w:rPr>
          <w:lang w:val="fr-FR"/>
        </w:rPr>
        <w:t>- le numéro de SIRET</w:t>
      </w:r>
    </w:p>
    <w:p>
      <w:pPr>
        <w:pStyle w:val="Standard"/>
        <w:rPr>
          <w:lang w:val="fr-FR"/>
        </w:rPr>
      </w:pPr>
      <w:r>
        <w:rPr>
          <w:lang w:val="fr-FR"/>
        </w:rPr>
        <w:t>- Le numéro de son compte bancaire ou postal tel qu'il est précisé à l'acte d'engagement</w:t>
      </w:r>
    </w:p>
    <w:p>
      <w:pPr>
        <w:pStyle w:val="Standard"/>
        <w:rPr>
          <w:lang w:val="fr-FR"/>
        </w:rPr>
      </w:pPr>
      <w:r>
        <w:rPr>
          <w:lang w:val="fr-FR"/>
        </w:rPr>
        <w:t>- Le numéro et la date du marché et de chaque avenant</w:t>
      </w:r>
    </w:p>
    <w:p>
      <w:pPr>
        <w:pStyle w:val="Standard"/>
        <w:rPr>
          <w:lang w:val="fr-FR"/>
        </w:rPr>
      </w:pPr>
      <w:r>
        <w:rPr>
          <w:lang w:val="fr-FR"/>
        </w:rPr>
        <w:t>- La date et le numéro de l'engagement</w:t>
      </w:r>
    </w:p>
    <w:p>
      <w:pPr>
        <w:pStyle w:val="Standard"/>
        <w:rPr>
          <w:lang w:val="fr-FR"/>
        </w:rPr>
      </w:pPr>
      <w:r>
        <w:rPr>
          <w:lang w:val="fr-FR"/>
        </w:rPr>
        <w:t>- La nature des prestations</w:t>
      </w:r>
    </w:p>
    <w:p>
      <w:pPr>
        <w:pStyle w:val="Standard"/>
        <w:rPr>
          <w:lang w:val="fr-FR"/>
        </w:rPr>
      </w:pPr>
      <w:r>
        <w:rPr>
          <w:lang w:val="fr-FR"/>
        </w:rPr>
        <w:t>- La quantité</w:t>
      </w:r>
    </w:p>
    <w:p>
      <w:pPr>
        <w:pStyle w:val="Standard"/>
        <w:rPr>
          <w:lang w:val="fr-FR"/>
        </w:rPr>
      </w:pPr>
      <w:r>
        <w:rPr>
          <w:lang w:val="fr-FR"/>
        </w:rPr>
        <w:t>- Le prix de base hors révision et hors taxes</w:t>
      </w:r>
    </w:p>
    <w:p>
      <w:pPr>
        <w:pStyle w:val="Standard"/>
        <w:rPr>
          <w:lang w:val="fr-FR"/>
        </w:rPr>
      </w:pPr>
      <w:r>
        <w:rPr>
          <w:lang w:val="fr-FR"/>
        </w:rPr>
        <w:t>- Le taux et le montant de la T.V.A.</w:t>
      </w:r>
    </w:p>
    <w:p>
      <w:pPr>
        <w:pStyle w:val="Standard"/>
        <w:rPr>
          <w:lang w:val="fr-FR"/>
        </w:rPr>
      </w:pPr>
      <w:r>
        <w:rPr>
          <w:lang w:val="fr-FR"/>
        </w:rPr>
        <w:t>- Le montant total de la facture en euro HT et TTC</w:t>
      </w:r>
    </w:p>
    <w:p>
      <w:pPr>
        <w:pStyle w:val="Standard"/>
        <w:rPr>
          <w:lang w:val="fr-FR"/>
        </w:rPr>
      </w:pPr>
      <w:r>
        <w:rPr>
          <w:lang w:val="fr-FR"/>
        </w:rPr>
        <w:t>- La date et le numéro de facture.</w:t>
      </w:r>
    </w:p>
    <w:p>
      <w:pPr>
        <w:pStyle w:val="Standard"/>
        <w:rPr>
          <w:lang w:val="fr-FR"/>
        </w:rPr>
      </w:pPr>
      <w:r>
        <w:rPr>
          <w:lang w:val="fr-FR"/>
        </w:rPr>
        <w:t>- Tout rabais remise ristourne ou escompte acquis et chiffrable lors de l'opération et directement applicable à cette opération</w:t>
      </w:r>
    </w:p>
    <w:p>
      <w:pPr>
        <w:pStyle w:val="Standard"/>
        <w:rPr>
          <w:lang w:val="fr-FR"/>
        </w:rPr>
      </w:pPr>
      <w:r>
        <w:rPr>
          <w:lang w:val="fr-FR"/>
        </w:rPr>
      </w:r>
    </w:p>
    <w:p>
      <w:pPr>
        <w:pStyle w:val="Standard"/>
        <w:rPr>
          <w:lang w:val="fr-FR"/>
        </w:rPr>
      </w:pPr>
      <w:r>
        <w:rPr>
          <w:lang w:val="fr-FR"/>
        </w:rPr>
        <w:t>Les factures dématérialisées indiquent l'adresse suivante :</w:t>
      </w:r>
    </w:p>
    <w:p>
      <w:pPr>
        <w:pStyle w:val="Standard"/>
        <w:rPr>
          <w:lang w:val="fr-FR"/>
        </w:rPr>
      </w:pPr>
      <w:r>
        <w:rPr>
          <w:lang w:val="fr-FR"/>
        </w:rPr>
        <w:t>Ville de Marseille</w:t>
      </w:r>
    </w:p>
    <w:p>
      <w:pPr>
        <w:pStyle w:val="Standard"/>
        <w:rPr>
          <w:lang w:val="fr-FR"/>
        </w:rPr>
      </w:pPr>
      <w:r>
        <w:rPr>
          <w:lang w:val="fr-FR"/>
        </w:rPr>
        <w:t>Direction Générale Adjointe ville plus juste, plus sûre et plus proche</w:t>
      </w:r>
    </w:p>
    <w:p>
      <w:pPr>
        <w:pStyle w:val="Standard"/>
        <w:rPr>
          <w:lang w:val="fr-FR"/>
        </w:rPr>
      </w:pPr>
      <w:r>
        <w:rPr>
          <w:lang w:val="fr-FR"/>
        </w:rPr>
        <w:t>Direction des Appuis Fonctionnels - étage 6-</w:t>
      </w:r>
    </w:p>
    <w:p>
      <w:pPr>
        <w:pStyle w:val="Standard"/>
        <w:rPr>
          <w:lang w:val="fr-FR"/>
        </w:rPr>
      </w:pPr>
      <w:r>
        <w:rPr>
          <w:lang w:val="fr-FR"/>
        </w:rPr>
        <w:t>Bât. A 2 place François Mireur</w:t>
      </w:r>
    </w:p>
    <w:p>
      <w:pPr>
        <w:pStyle w:val="Standard"/>
        <w:rPr>
          <w:lang w:val="fr-FR"/>
        </w:rPr>
      </w:pPr>
      <w:r>
        <w:rPr>
          <w:lang w:val="fr-FR"/>
        </w:rPr>
        <w:t>13 233 MARSEILLE CEDEX 20</w:t>
      </w:r>
    </w:p>
    <w:p>
      <w:pPr>
        <w:pStyle w:val="Standard"/>
        <w:rPr>
          <w:lang w:val="fr-FR"/>
        </w:rPr>
      </w:pPr>
      <w:r>
        <w:rPr>
          <w:lang w:val="fr-FR"/>
        </w:rPr>
        <w:t>Le paiement s'effectue suivant les règles de la comptabilité publique dans les conditions prévues aux articles 11 et 12 du C.C.A.G./F.C.S.</w:t>
      </w:r>
    </w:p>
    <w:p>
      <w:pPr>
        <w:pStyle w:val="Standard"/>
        <w:rPr>
          <w:lang w:val="fr-FR"/>
        </w:rPr>
      </w:pPr>
      <w:r>
        <w:rPr>
          <w:lang w:val="fr-FR"/>
        </w:rPr>
      </w:r>
    </w:p>
    <w:p>
      <w:pPr>
        <w:pStyle w:val="Standard"/>
        <w:rPr>
          <w:lang w:val="fr-FR"/>
        </w:rPr>
      </w:pPr>
      <w:r>
        <w:rPr>
          <w:u w:val="single"/>
          <w:lang w:val="fr-FR"/>
        </w:rPr>
        <w:t>Pour les candidats européens sans établissement en France</w:t>
      </w:r>
      <w:r>
        <w:rPr>
          <w:lang w:val="fr-FR"/>
        </w:rPr>
        <w:t xml:space="preserve"> : en lieu et place du numéro de SIRET, indiquer le N° de TVA intracommunautaire</w:t>
      </w:r>
    </w:p>
    <w:p>
      <w:pPr>
        <w:pStyle w:val="Standard"/>
        <w:rPr>
          <w:lang w:val="fr-FR"/>
        </w:rPr>
      </w:pPr>
      <w:r>
        <w:rPr>
          <w:lang w:val="fr-FR"/>
        </w:rPr>
      </w:r>
    </w:p>
    <w:p>
      <w:pPr>
        <w:pStyle w:val="Standard"/>
        <w:rPr>
          <w:lang w:val="fr-FR"/>
        </w:rPr>
      </w:pPr>
      <w:r>
        <w:rPr>
          <w:lang w:val="fr-FR"/>
        </w:rPr>
        <w:t>N° de TVA intracommunautaire de la Ville de Marseille : FR75211300553</w:t>
      </w:r>
    </w:p>
    <w:p>
      <w:pPr>
        <w:pStyle w:val="Titre2"/>
        <w:rPr>
          <w:lang w:val="fr-FR"/>
        </w:rPr>
      </w:pPr>
      <w:bookmarkStart w:id="84" w:name="_Toc142644593"/>
      <w:bookmarkStart w:id="85" w:name="_Toc142644654"/>
      <w:r>
        <w:rPr>
          <w:lang w:val="fr-FR"/>
        </w:rPr>
        <w:t>Dématérialisation des factures</w:t>
      </w:r>
      <w:bookmarkEnd w:id="84"/>
      <w:bookmarkEnd w:id="85"/>
    </w:p>
    <w:p>
      <w:pPr>
        <w:pStyle w:val="Standard"/>
        <w:rPr>
          <w:lang w:val="fr-FR"/>
        </w:rPr>
      </w:pPr>
      <w:r>
        <w:rPr>
          <w:lang w:val="fr-F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Standard"/>
        <w:rPr>
          <w:lang w:val="fr-FR"/>
        </w:rPr>
      </w:pPr>
      <w:r>
        <w:rPr>
          <w:lang w:val="fr-FR"/>
        </w:rPr>
      </w:r>
    </w:p>
    <w:p>
      <w:pPr>
        <w:pStyle w:val="Standard"/>
        <w:rPr>
          <w:lang w:val="fr-FR"/>
        </w:rPr>
      </w:pPr>
      <w:r>
        <w:rPr>
          <w:lang w:val="fr-FR"/>
        </w:rPr>
        <w:t>Les factures doivent être envoyées de façon dématérialisée et gratuite en utilisant le "portail public de facturation" sécurisé Chorus Pro à l'adresse suivante : https://chorus-pro.gouv.fr</w:t>
      </w:r>
    </w:p>
    <w:p>
      <w:pPr>
        <w:pStyle w:val="Standard"/>
        <w:rPr>
          <w:lang w:val="fr-FR"/>
        </w:rPr>
      </w:pPr>
      <w:r>
        <w:rPr>
          <w:lang w:val="fr-FR"/>
        </w:rPr>
      </w:r>
    </w:p>
    <w:p>
      <w:pPr>
        <w:pStyle w:val="Standard"/>
        <w:rPr>
          <w:lang w:val="fr-FR"/>
        </w:rPr>
      </w:pPr>
      <w:r>
        <w:rPr>
          <w:lang w:val="fr-F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Standard"/>
        <w:rPr>
          <w:lang w:val="fr-FR"/>
        </w:rPr>
      </w:pPr>
      <w:r>
        <w:rPr>
          <w:lang w:val="fr-FR"/>
        </w:rPr>
      </w:r>
    </w:p>
    <w:p>
      <w:pPr>
        <w:pStyle w:val="Standard"/>
        <w:rPr>
          <w:lang w:val="fr-FR"/>
        </w:rPr>
      </w:pPr>
      <w:r>
        <w:rPr>
          <w:lang w:val="fr-FR"/>
        </w:rPr>
        <w:t xml:space="preserve">Toutes les informations utiles aux modalités d'utilisation du portail et de transmission des factures sont </w:t>
      </w:r>
      <w:r>
        <w:rPr>
          <w:b/>
          <w:u w:val="single"/>
          <w:lang w:val="fr-FR"/>
        </w:rPr>
        <w:t>disponibles directement sur le site</w:t>
      </w:r>
      <w:r>
        <w:rPr>
          <w:lang w:val="fr-FR"/>
        </w:rPr>
        <w:t>.</w:t>
      </w:r>
    </w:p>
    <w:p>
      <w:pPr>
        <w:pStyle w:val="Standard"/>
        <w:rPr>
          <w:lang w:val="fr-FR"/>
        </w:rPr>
      </w:pPr>
      <w:r>
        <w:rPr>
          <w:lang w:val="fr-FR"/>
        </w:rPr>
      </w:r>
    </w:p>
    <w:p>
      <w:pPr>
        <w:pStyle w:val="Standard"/>
        <w:rPr>
          <w:lang w:val="fr-FR"/>
        </w:rPr>
      </w:pPr>
      <w:r>
        <w:rPr>
          <w:lang w:val="fr-FR"/>
        </w:rPr>
        <w:t xml:space="preserve">Pour accéder à la « structure »(au sens CHORUS PRO) Ville de Marseille adéquate, le titulaire sera informé du </w:t>
      </w:r>
      <w:r>
        <w:rPr>
          <w:b/>
          <w:u w:val="single"/>
          <w:lang w:val="fr-FR"/>
        </w:rPr>
        <w:t>numéro SIRET</w:t>
      </w:r>
      <w:r>
        <w:rPr>
          <w:lang w:val="fr-FR"/>
        </w:rPr>
        <w:t xml:space="preserve"> devant être utilisé.</w:t>
      </w:r>
    </w:p>
    <w:p>
      <w:pPr>
        <w:pStyle w:val="Standard"/>
        <w:rPr>
          <w:lang w:val="fr-FR"/>
        </w:rPr>
      </w:pPr>
      <w:r>
        <w:rPr>
          <w:lang w:val="fr-FR"/>
        </w:rPr>
      </w:r>
    </w:p>
    <w:p>
      <w:pPr>
        <w:pStyle w:val="Standard"/>
        <w:rPr>
          <w:lang w:val="fr-FR"/>
        </w:rPr>
      </w:pPr>
      <w:r>
        <w:rPr>
          <w:lang w:val="fr-FR"/>
        </w:rPr>
        <w:t xml:space="preserve">De même, la Ville de Marseille a choisi de rendre obligatoire la </w:t>
      </w:r>
      <w:r>
        <w:rPr>
          <w:b/>
          <w:u w:val="single"/>
          <w:lang w:val="fr-FR"/>
        </w:rPr>
        <w:t>référence à l'engagement</w:t>
      </w:r>
      <w:r>
        <w:rPr>
          <w:lang w:val="fr-FR"/>
        </w:rPr>
        <w:t>. Le ou les numéros d'engagement seront communiqués au titulaire par le service gestionnaire du marché ou par le service acheteur.</w:t>
      </w:r>
    </w:p>
    <w:p>
      <w:pPr>
        <w:pStyle w:val="Standard"/>
        <w:rPr>
          <w:lang w:val="fr-FR"/>
        </w:rPr>
      </w:pPr>
      <w:r>
        <w:rPr>
          <w:lang w:val="fr-FR"/>
        </w:rPr>
      </w:r>
    </w:p>
    <w:p>
      <w:pPr>
        <w:pStyle w:val="Standard"/>
        <w:rPr>
          <w:lang w:val="fr-FR"/>
        </w:rPr>
      </w:pPr>
      <w:r>
        <w:rPr>
          <w:lang w:val="fr-FR"/>
        </w:rPr>
        <w:t>Sous peine d'irrecevabilité, les factures seront déposées dans CHORUS PRO en respectant l'obligation de renseignement exact des 2 numéros précités.</w:t>
      </w:r>
    </w:p>
    <w:p>
      <w:pPr>
        <w:pStyle w:val="Standard"/>
        <w:rPr>
          <w:lang w:val="fr-FR"/>
        </w:rPr>
      </w:pPr>
      <w:r>
        <w:rPr>
          <w:lang w:val="fr-FR"/>
        </w:rPr>
      </w:r>
    </w:p>
    <w:p>
      <w:pPr>
        <w:pStyle w:val="Standard"/>
        <w:rPr>
          <w:lang w:val="fr-FR"/>
        </w:rPr>
      </w:pPr>
      <w:r>
        <w:rPr>
          <w:lang w:val="fr-FR"/>
        </w:rPr>
        <w:t xml:space="preserve"> </w:t>
      </w:r>
    </w:p>
    <w:p>
      <w:pPr>
        <w:pStyle w:val="Titre1"/>
        <w:rPr>
          <w:lang w:val="fr-FR"/>
        </w:rPr>
      </w:pPr>
      <w:bookmarkStart w:id="86" w:name="_Toc142644594"/>
      <w:bookmarkStart w:id="87" w:name="_Toc142644655"/>
      <w:r>
        <w:rPr>
          <w:lang w:val="fr-FR"/>
        </w:rPr>
        <w:t>PENALITES</w:t>
      </w:r>
      <w:bookmarkEnd w:id="86"/>
      <w:bookmarkEnd w:id="87"/>
    </w:p>
    <w:p>
      <w:pPr>
        <w:pStyle w:val="Titre2"/>
        <w:rPr>
          <w:lang w:val="fr-FR"/>
        </w:rPr>
      </w:pPr>
      <w:bookmarkStart w:id="88" w:name="_Toc142644595"/>
      <w:bookmarkStart w:id="89" w:name="_Toc142644656"/>
      <w:r>
        <w:rPr>
          <w:lang w:val="fr-FR"/>
        </w:rPr>
        <w:t>Pénalités pour défaut de prestation</w:t>
      </w:r>
      <w:bookmarkEnd w:id="88"/>
      <w:bookmarkEnd w:id="89"/>
    </w:p>
    <w:p>
      <w:pPr>
        <w:pStyle w:val="Standard"/>
        <w:rPr>
          <w:highlight w:val="yellow"/>
          <w:lang w:val="fr-FR"/>
        </w:rPr>
      </w:pPr>
      <w:r>
        <w:rPr>
          <w:highlight w:val="yellow"/>
          <w:lang w:val="fr-FR"/>
        </w:rPr>
      </w:r>
    </w:p>
    <w:p>
      <w:pPr>
        <w:pStyle w:val="Standard"/>
        <w:rPr>
          <w:lang w:val="fr-FR"/>
        </w:rPr>
      </w:pPr>
      <w:r>
        <w:rPr>
          <w:lang w:val="fr-FR"/>
        </w:rPr>
        <w:t>En cas de manquement dans l'exécution des prestations, imputable au titulaire, des pénalités seront appliquées après observations éventuelles du titulaire, selon les dispositions de l'article 14.1.1 du CCAG FCS.</w:t>
      </w:r>
    </w:p>
    <w:p>
      <w:pPr>
        <w:pStyle w:val="Standard"/>
        <w:rPr>
          <w:lang w:val="fr-FR"/>
        </w:rPr>
      </w:pPr>
      <w:r>
        <w:rPr>
          <w:lang w:val="fr-FR"/>
        </w:rPr>
      </w:r>
    </w:p>
    <w:p>
      <w:pPr>
        <w:pStyle w:val="Standard"/>
        <w:rPr>
          <w:lang w:val="fr-FR"/>
        </w:rPr>
      </w:pPr>
      <w:r>
        <w:rPr>
          <w:lang w:val="fr-FR"/>
        </w:rPr>
        <w:t>Par dérogation à l'article 14.1.1 du CCAG, la liste des manquements pouvant donner</w:t>
      </w:r>
      <w:r>
        <w:rPr>
          <w:b/>
          <w:lang w:val="fr-FR"/>
        </w:rPr>
        <w:t xml:space="preserve"> </w:t>
      </w:r>
      <w:r>
        <w:rPr>
          <w:lang w:val="fr-FR"/>
        </w:rPr>
        <w:t>lieu aux pénalités applicables au marché est la suivante :</w:t>
      </w:r>
    </w:p>
    <w:p>
      <w:pPr>
        <w:pStyle w:val="Standard"/>
        <w:rPr>
          <w:lang w:val="fr-FR"/>
        </w:rPr>
      </w:pPr>
      <w:r>
        <w:rPr>
          <w:lang w:val="fr-FR"/>
        </w:rPr>
      </w:r>
    </w:p>
    <w:p>
      <w:pPr>
        <w:pStyle w:val="Standard"/>
        <w:rPr>
          <w:lang w:val="fr-FR"/>
        </w:rPr>
      </w:pPr>
      <w:r>
        <w:rPr>
          <w:lang w:val="fr-FR"/>
        </w:rPr>
        <w:t>- absence d'un agent : le montant de la pénalité s'élève à 200€ par prestation non-réalisée.</w:t>
      </w:r>
    </w:p>
    <w:p>
      <w:pPr>
        <w:pStyle w:val="Standard"/>
        <w:rPr>
          <w:lang w:val="fr-FR"/>
        </w:rPr>
      </w:pPr>
      <w:r>
        <w:rPr>
          <w:lang w:val="fr-FR"/>
        </w:rPr>
        <w:t>- retard d'un agent : 30€ par heure de retard, jusqu'à deux heures de retard. Au-delà de deux heures de retard, l'agent concerné sera considéré comme absent, le montant de la pénalité sera alors celui qui vaut en cas d'absence.</w:t>
      </w:r>
    </w:p>
    <w:p>
      <w:pPr>
        <w:pStyle w:val="Standard"/>
        <w:rPr>
          <w:lang w:val="fr-FR"/>
        </w:rPr>
      </w:pPr>
      <w:r>
        <w:rPr>
          <w:lang w:val="fr-FR"/>
        </w:rPr>
        <w:t>- défaut de comportement d'un agent 50 € par manquement</w:t>
      </w:r>
    </w:p>
    <w:p>
      <w:pPr>
        <w:pStyle w:val="Standard"/>
        <w:rPr>
          <w:lang w:val="fr-FR"/>
        </w:rPr>
      </w:pPr>
      <w:r>
        <w:rPr>
          <w:lang w:val="fr-FR"/>
        </w:rPr>
      </w:r>
    </w:p>
    <w:p>
      <w:pPr>
        <w:pStyle w:val="Standard"/>
        <w:rPr>
          <w:lang w:val="fr-FR"/>
        </w:rPr>
      </w:pPr>
      <w:r>
        <w:rPr>
          <w:lang w:val="fr-FR"/>
        </w:rPr>
        <w:t>Par dérogation à l'article 14.1.2 du CCAG FCS, le montant total des pénalités de retard peut excéder 10 % du montant total hors taxes du marché</w:t>
      </w:r>
      <w:r>
        <w:rPr>
          <w:b/>
          <w:lang w:val="fr-FR"/>
        </w:rPr>
        <w:t>.</w:t>
      </w:r>
    </w:p>
    <w:p>
      <w:pPr>
        <w:pStyle w:val="Standard"/>
        <w:rPr>
          <w:lang w:val="fr-FR"/>
        </w:rPr>
      </w:pPr>
      <w:r>
        <w:rPr>
          <w:lang w:val="fr-FR"/>
        </w:rPr>
      </w:r>
    </w:p>
    <w:p>
      <w:pPr>
        <w:pStyle w:val="Standard"/>
        <w:rPr>
          <w:lang w:val="fr-FR"/>
        </w:rPr>
      </w:pPr>
      <w:r>
        <w:rPr>
          <w:lang w:val="fr-FR"/>
        </w:rPr>
        <w:t xml:space="preserve">Par dérogation à l'article 14.1.3 du CCAG FCS, le titulaire n'est pas exonéré des pénalités dont le montant ne dépasse pas </w:t>
      </w:r>
      <w:r>
        <w:rPr>
          <w:b/>
          <w:lang w:val="fr-FR"/>
        </w:rPr>
        <w:t xml:space="preserve">1000 euros </w:t>
      </w:r>
      <w:r>
        <w:rPr>
          <w:lang w:val="fr-FR"/>
        </w:rPr>
        <w:t>pour l'ensemble du marché.</w:t>
      </w:r>
    </w:p>
    <w:p>
      <w:pPr>
        <w:pStyle w:val="Titre2"/>
        <w:rPr>
          <w:lang w:val="fr-FR"/>
        </w:rPr>
      </w:pPr>
      <w:bookmarkStart w:id="90" w:name="_Toc142644596"/>
      <w:bookmarkStart w:id="91" w:name="_Toc142644657"/>
      <w:r>
        <w:rPr>
          <w:lang w:val="fr-FR"/>
        </w:rPr>
        <w:t>Pénalités pour non respect des dispositions du Code du Travail</w:t>
      </w:r>
      <w:bookmarkEnd w:id="90"/>
      <w:bookmarkEnd w:id="91"/>
    </w:p>
    <w:p>
      <w:pPr>
        <w:pStyle w:val="Standard"/>
        <w:rPr>
          <w:lang w:val="fr-FR"/>
        </w:rPr>
      </w:pPr>
      <w:r>
        <w:rPr>
          <w:lang w:val="fr-F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b/>
          <w:lang w:val="fr-FR"/>
        </w:rPr>
        <w:t>de</w:t>
      </w:r>
      <w:r>
        <w:rPr>
          <w:lang w:val="fr-FR"/>
        </w:rPr>
        <w:t xml:space="preserve"> 50 </w:t>
      </w:r>
      <w:r>
        <w:rPr>
          <w:b/>
          <w:lang w:val="fr-FR"/>
        </w:rPr>
        <w:t>euros par jour de retard.</w:t>
      </w:r>
    </w:p>
    <w:p>
      <w:pPr>
        <w:pStyle w:val="Standard"/>
        <w:rPr>
          <w:lang w:val="fr-FR"/>
        </w:rPr>
      </w:pPr>
      <w:r>
        <w:rPr>
          <w:lang w:val="fr-FR"/>
        </w:rPr>
      </w:r>
    </w:p>
    <w:p>
      <w:pPr>
        <w:pStyle w:val="Standard"/>
        <w:rPr>
          <w:lang w:val="fr-FR"/>
        </w:rPr>
      </w:pPr>
      <w:r>
        <w:rPr>
          <w:lang w:val="fr-FR"/>
        </w:rPr>
        <w:t>Le montant de cette pénalité sera au plus égal à 10% du montant du présent contrat et ne pourra excéder le montant des amendes encourues en application des articles L.8224-1, L.8224-2 et L.8224-5 du Code du Travail.</w:t>
      </w:r>
    </w:p>
    <w:p>
      <w:pPr>
        <w:pStyle w:val="Standard"/>
        <w:rPr>
          <w:lang w:val="fr-FR"/>
        </w:rPr>
      </w:pPr>
      <w:r>
        <w:rPr>
          <w:lang w:val="fr-FR"/>
        </w:rPr>
      </w:r>
    </w:p>
    <w:p>
      <w:pPr>
        <w:pStyle w:val="Titre2"/>
        <w:rPr>
          <w:lang w:val="fr-FR"/>
        </w:rPr>
      </w:pPr>
      <w:r>
        <w:rPr>
          <w:lang w:val="fr-FR"/>
        </w:rPr>
        <w:t>Obligations environnementales à la charge du titulaire et pénalités en cas de manquement</w:t>
      </w:r>
    </w:p>
    <w:p>
      <w:pPr>
        <w:pStyle w:val="Normal"/>
        <w:rPr>
          <w:rFonts w:ascii="Trebuchet MS" w:hAnsi="Trebuchet MS" w:eastAsia="Trebuchet MS" w:cs="Trebuchet MS"/>
          <w:b/>
          <w:b/>
          <w:bCs/>
          <w:i/>
          <w:i/>
          <w:iCs/>
          <w:sz w:val="28"/>
          <w:szCs w:val="28"/>
          <w:lang w:val="fr-FR"/>
        </w:rPr>
      </w:pPr>
      <w:r>
        <w:rPr>
          <w:rFonts w:eastAsia="Trebuchet MS" w:cs="Trebuchet MS" w:ascii="Trebuchet MS" w:hAnsi="Trebuchet MS"/>
          <w:b/>
          <w:bCs/>
          <w:i/>
          <w:iCs/>
          <w:sz w:val="28"/>
          <w:szCs w:val="28"/>
          <w:lang w:val="fr-FR"/>
        </w:rPr>
      </w:r>
    </w:p>
    <w:p>
      <w:pPr>
        <w:pStyle w:val="Normal"/>
        <w:rPr>
          <w:lang w:val="fr-FR"/>
        </w:rPr>
      </w:pPr>
      <w:r>
        <w:rPr>
          <w:rFonts w:eastAsia="Trebuchet MS" w:cs="Arial" w:ascii="Arial" w:hAnsi="Arial"/>
          <w:bCs/>
          <w:iCs/>
          <w:sz w:val="20"/>
          <w:szCs w:val="20"/>
          <w:lang w:val="fr-FR"/>
        </w:rPr>
        <w:t>Il est dérogé à l’article à l'article 16.2 au CCAG/FCS.</w:t>
      </w:r>
    </w:p>
    <w:p>
      <w:pPr>
        <w:pStyle w:val="Normal"/>
        <w:rPr>
          <w:rFonts w:ascii="Arial" w:hAnsi="Arial" w:eastAsia="Trebuchet MS" w:cs="Arial"/>
          <w:bCs/>
          <w:iCs/>
          <w:sz w:val="20"/>
          <w:szCs w:val="20"/>
          <w:lang w:val="fr-FR"/>
        </w:rPr>
      </w:pPr>
      <w:r>
        <w:rPr>
          <w:rFonts w:eastAsia="Trebuchet MS" w:cs="Arial" w:ascii="Arial" w:hAnsi="Arial"/>
          <w:bCs/>
          <w:iCs/>
          <w:sz w:val="20"/>
          <w:szCs w:val="20"/>
          <w:lang w:val="fr-FR"/>
        </w:rPr>
      </w:r>
    </w:p>
    <w:p>
      <w:pPr>
        <w:pStyle w:val="Normal"/>
        <w:rPr>
          <w:lang w:val="fr-FR"/>
        </w:rPr>
      </w:pPr>
      <w:r>
        <w:rPr>
          <w:rFonts w:eastAsia="Trebuchet MS" w:cs="Arial" w:ascii="Arial" w:hAnsi="Arial"/>
          <w:bCs/>
          <w:iCs/>
          <w:sz w:val="20"/>
          <w:szCs w:val="20"/>
          <w:lang w:val="fr-FR"/>
        </w:rPr>
        <w:t>Au titre du développement durable, le titulaire propose dans son mémoire technique la démarche environnementale qu’il engagera pour la bonne exécution du marché. Le mémoire technique, pièce contractuelle du marché en application du présent CCAP, constitue un engagement du titulaire.</w:t>
      </w:r>
    </w:p>
    <w:p>
      <w:pPr>
        <w:pStyle w:val="Normal"/>
        <w:rPr>
          <w:lang w:val="fr-FR"/>
        </w:rPr>
      </w:pPr>
      <w:r>
        <w:rPr>
          <w:rFonts w:eastAsia="Trebuchet MS" w:cs="Arial" w:ascii="Arial" w:hAnsi="Arial"/>
          <w:bCs/>
          <w:iCs/>
          <w:sz w:val="20"/>
          <w:szCs w:val="20"/>
          <w:lang w:val="fr-FR"/>
        </w:rPr>
        <w:t>Le pouvoir adjudicateur procèdera à des contrôles afin de s’assurer de la bonne mise en œuvre des engagements du titulaire, et se réserve la possibilité d’opérer par contrôle inopiné.</w:t>
      </w:r>
    </w:p>
    <w:p>
      <w:pPr>
        <w:pStyle w:val="Normal"/>
        <w:rPr>
          <w:lang w:val="fr-FR"/>
        </w:rPr>
      </w:pPr>
      <w:r>
        <w:rPr>
          <w:rFonts w:eastAsia="Trebuchet MS" w:cs="Arial" w:ascii="Arial" w:hAnsi="Arial"/>
          <w:bCs/>
          <w:iCs/>
          <w:sz w:val="20"/>
          <w:szCs w:val="20"/>
          <w:lang w:val="fr-FR"/>
        </w:rPr>
        <w:t>Sans mise en demeure préalable, le pouvoir adjudicateur appliquera une pénalité dont le montant est fixé à 50€ par manquement constaté.</w:t>
      </w:r>
    </w:p>
    <w:p>
      <w:pPr>
        <w:pStyle w:val="Titre1"/>
        <w:rPr>
          <w:lang w:val="fr-FR"/>
        </w:rPr>
      </w:pPr>
      <w:bookmarkStart w:id="92" w:name="_Toc142644598"/>
      <w:bookmarkStart w:id="93" w:name="_Toc142644659"/>
      <w:r>
        <w:rPr>
          <w:lang w:val="fr-FR"/>
        </w:rPr>
        <w:t>RESILIATION – EXECUTION DES PRESTATIONS AUX FRAIS ET RISQUES DU TITULAIRE</w:t>
      </w:r>
      <w:bookmarkEnd w:id="92"/>
      <w:bookmarkEnd w:id="93"/>
    </w:p>
    <w:p>
      <w:pPr>
        <w:pStyle w:val="Standard"/>
        <w:rPr>
          <w:lang w:val="fr-FR"/>
        </w:rPr>
      </w:pPr>
      <w:r>
        <w:rPr>
          <w:lang w:val="fr-FR"/>
        </w:rPr>
        <w:t xml:space="preserve"> </w:t>
      </w:r>
      <w:r>
        <w:rPr>
          <w:lang w:val="fr-FR"/>
        </w:rPr>
        <w:t>L'ensemble des dispositions du CCAG/FCS (chapitre 7) est applicable.</w:t>
      </w:r>
    </w:p>
    <w:p>
      <w:pPr>
        <w:pStyle w:val="Standard"/>
        <w:rPr>
          <w:lang w:val="fr-FR"/>
        </w:rPr>
      </w:pPr>
      <w:r>
        <w:rPr>
          <w:lang w:val="fr-FR"/>
        </w:rPr>
      </w:r>
    </w:p>
    <w:p>
      <w:pPr>
        <w:pStyle w:val="Standard"/>
        <w:rPr>
          <w:lang w:val="fr-FR"/>
        </w:rPr>
      </w:pPr>
      <w:r>
        <w:rPr>
          <w:lang w:val="fr-F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Standard"/>
        <w:rPr>
          <w:lang w:val="fr-FR"/>
        </w:rPr>
      </w:pPr>
      <w:r>
        <w:rPr>
          <w:lang w:val="fr-F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Standard"/>
        <w:rPr>
          <w:lang w:val="fr-FR"/>
        </w:rPr>
      </w:pPr>
      <w:r>
        <w:rPr>
          <w:lang w:val="fr-FR"/>
        </w:rPr>
      </w:r>
    </w:p>
    <w:p>
      <w:pPr>
        <w:pStyle w:val="Titre1"/>
        <w:rPr>
          <w:lang w:val="fr-FR"/>
        </w:rPr>
      </w:pPr>
      <w:bookmarkStart w:id="94" w:name="_Toc142644599"/>
      <w:bookmarkStart w:id="95" w:name="_Toc142644660"/>
      <w:r>
        <w:rPr>
          <w:lang w:val="fr-FR"/>
        </w:rPr>
        <w:t>CLAUSES DE GESTION DES DONNEES</w:t>
      </w:r>
      <w:bookmarkEnd w:id="94"/>
      <w:bookmarkEnd w:id="95"/>
    </w:p>
    <w:p>
      <w:pPr>
        <w:pStyle w:val="Titre2"/>
        <w:rPr>
          <w:lang w:val="fr-FR"/>
        </w:rPr>
      </w:pPr>
      <w:bookmarkStart w:id="96" w:name="_Toc142644600"/>
      <w:bookmarkStart w:id="97" w:name="_Toc142644661"/>
      <w:r>
        <w:rPr>
          <w:lang w:val="fr-FR"/>
        </w:rPr>
        <w:t>Les contraintes réglementaires</w:t>
      </w:r>
      <w:bookmarkEnd w:id="96"/>
      <w:bookmarkEnd w:id="97"/>
    </w:p>
    <w:p>
      <w:pPr>
        <w:pStyle w:val="Titre3"/>
        <w:rPr>
          <w:lang w:val="fr-FR"/>
        </w:rPr>
      </w:pPr>
      <w:bookmarkStart w:id="98" w:name="_Toc142644601"/>
      <w:bookmarkStart w:id="99" w:name="_Toc142644662"/>
      <w:r>
        <w:rPr>
          <w:lang w:val="fr-FR"/>
        </w:rPr>
        <w:t>Le RGS</w:t>
      </w:r>
      <w:bookmarkEnd w:id="98"/>
      <w:bookmarkEnd w:id="99"/>
    </w:p>
    <w:p>
      <w:pPr>
        <w:pStyle w:val="Standard"/>
        <w:rPr>
          <w:lang w:val="fr-FR"/>
        </w:rPr>
      </w:pPr>
      <w:r>
        <w:rPr>
          <w:lang w:val="fr-FR"/>
        </w:rPr>
        <w:t xml:space="preserve">Le décret </w:t>
      </w:r>
      <w:r>
        <w:rPr>
          <w:b/>
          <w:lang w:val="fr-FR"/>
        </w:rPr>
        <w:t>RGS</w:t>
      </w:r>
      <w:r>
        <w:rPr>
          <w:lang w:val="fr-FR"/>
        </w:rPr>
        <w:t xml:space="preserve"> </w:t>
      </w:r>
      <w:r>
        <w:rPr>
          <w:i/>
          <w:lang w:val="fr-FR"/>
        </w:rPr>
        <w:t>(Référentiel Général de Sécurité)</w:t>
      </w:r>
      <w:r>
        <w:rPr>
          <w:lang w:val="fr-FR"/>
        </w:rPr>
        <w:t>, pris en application de</w:t>
      </w:r>
      <w:r>
        <w:rPr>
          <w:b/>
          <w:lang w:val="fr-FR"/>
        </w:rPr>
        <w:t xml:space="preserve"> l'ordonnance n° 2005-1516 du 8 Décembre 2005</w:t>
      </w:r>
      <w:r>
        <w:rPr>
          <w:lang w:val="fr-F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b/>
          <w:lang w:val="fr-FR"/>
        </w:rPr>
        <w:t xml:space="preserve"> télé-services</w:t>
      </w:r>
      <w:r>
        <w:rPr>
          <w:lang w:val="fr-FR"/>
        </w:rPr>
        <w:t>.</w:t>
      </w:r>
    </w:p>
    <w:p>
      <w:pPr>
        <w:pStyle w:val="Titre3"/>
        <w:rPr>
          <w:lang w:val="fr-FR"/>
        </w:rPr>
      </w:pPr>
      <w:bookmarkStart w:id="100" w:name="_Toc142644602"/>
      <w:bookmarkStart w:id="101" w:name="_Toc142644663"/>
      <w:r>
        <w:rPr>
          <w:lang w:val="fr-FR"/>
        </w:rPr>
        <w:t>Le Règlement Général sur la Protection des Données (RGPD)</w:t>
      </w:r>
      <w:bookmarkEnd w:id="100"/>
      <w:bookmarkEnd w:id="101"/>
    </w:p>
    <w:p>
      <w:pPr>
        <w:pStyle w:val="Standard"/>
        <w:rPr>
          <w:lang w:val="fr-FR"/>
        </w:rPr>
      </w:pPr>
      <w:r>
        <w:rPr>
          <w:lang w:val="fr-F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Standard"/>
        <w:rPr>
          <w:lang w:val="fr-FR"/>
        </w:rPr>
      </w:pPr>
      <w:r>
        <w:rPr>
          <w:lang w:val="fr-FR"/>
        </w:rPr>
      </w:r>
    </w:p>
    <w:p>
      <w:pPr>
        <w:pStyle w:val="Standard"/>
        <w:rPr>
          <w:lang w:val="fr-FR"/>
        </w:rPr>
      </w:pPr>
      <w:r>
        <w:rPr>
          <w:lang w:val="fr-F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Standard"/>
        <w:rPr>
          <w:lang w:val="fr-FR"/>
        </w:rPr>
      </w:pPr>
      <w:r>
        <w:rPr>
          <w:lang w:val="fr-FR"/>
        </w:rPr>
      </w:r>
    </w:p>
    <w:p>
      <w:pPr>
        <w:pStyle w:val="Standard"/>
        <w:rPr>
          <w:lang w:val="fr-FR"/>
        </w:rPr>
      </w:pPr>
      <w:r>
        <w:rPr>
          <w:lang w:val="fr-FR"/>
        </w:rPr>
        <w:t>L'ensemble des conditions sont définies dans l'annexe « Protection des données et Politique de sécurité » de l'acte d'engagement, le cas échéant.</w:t>
      </w:r>
    </w:p>
    <w:p>
      <w:pPr>
        <w:pStyle w:val="Titre3"/>
        <w:rPr>
          <w:lang w:val="fr-FR"/>
        </w:rPr>
      </w:pPr>
      <w:bookmarkStart w:id="102" w:name="_Toc142644603"/>
      <w:bookmarkStart w:id="103" w:name="_Toc142644664"/>
      <w:r>
        <w:rPr>
          <w:lang w:val="fr-FR"/>
        </w:rPr>
        <w:t>Le Code du Patrimoine</w:t>
      </w:r>
      <w:bookmarkEnd w:id="102"/>
      <w:bookmarkEnd w:id="103"/>
    </w:p>
    <w:p>
      <w:pPr>
        <w:pStyle w:val="Standard"/>
        <w:rPr>
          <w:lang w:val="fr-FR"/>
        </w:rPr>
      </w:pPr>
      <w:r>
        <w:rPr>
          <w:lang w:val="fr-FR"/>
        </w:rPr>
        <w:t>Les documents et données produits ou reçus par la Ville de Marseille constituent des archives publiques.</w:t>
      </w:r>
    </w:p>
    <w:p>
      <w:pPr>
        <w:pStyle w:val="Standard"/>
        <w:rPr>
          <w:lang w:val="fr-FR"/>
        </w:rPr>
      </w:pPr>
      <w:r>
        <w:rPr>
          <w:lang w:val="fr-FR"/>
        </w:rPr>
        <w:t xml:space="preserve">Or, la </w:t>
      </w:r>
      <w:r>
        <w:rPr>
          <w:b/>
          <w:lang w:val="fr-FR"/>
        </w:rPr>
        <w:t>loi n°2015-195</w:t>
      </w:r>
      <w:r>
        <w:rPr>
          <w:lang w:val="fr-FR"/>
        </w:rPr>
        <w:t xml:space="preserve"> promulguée le 20 février 2015 et modifiant</w:t>
      </w:r>
      <w:r>
        <w:rPr>
          <w:b/>
          <w:lang w:val="fr-FR"/>
        </w:rPr>
        <w:t xml:space="preserve"> l'article L.111-1 du Code du Patrimoine</w:t>
      </w:r>
      <w:r>
        <w:rPr>
          <w:lang w:val="fr-FR"/>
        </w:rPr>
        <w:t>, qualifie les archives publiques de "</w:t>
      </w:r>
      <w:r>
        <w:rPr>
          <w:u w:val="single"/>
          <w:lang w:val="fr-FR"/>
        </w:rPr>
        <w:t>Trésors nationaux</w:t>
      </w:r>
      <w:r>
        <w:rPr>
          <w:lang w:val="fr-FR"/>
        </w:rPr>
        <w:t>"et ne peuvent donc sortir du territoire douanier qu'après autorisation du Service inter-ministériel des Archives de France (SIAF) et seulement dans certains cas précis.</w:t>
      </w:r>
    </w:p>
    <w:p>
      <w:pPr>
        <w:pStyle w:val="Standard"/>
        <w:rPr>
          <w:lang w:val="fr-FR"/>
        </w:rPr>
      </w:pPr>
      <w:r>
        <w:rPr>
          <w:lang w:val="fr-FR"/>
        </w:rPr>
      </w:r>
      <w:bookmarkStart w:id="104" w:name="_GoBack"/>
      <w:bookmarkStart w:id="105" w:name="_GoBack"/>
      <w:bookmarkEnd w:id="105"/>
    </w:p>
    <w:p>
      <w:pPr>
        <w:pStyle w:val="Titre2"/>
        <w:rPr>
          <w:lang w:val="fr-FR"/>
        </w:rPr>
      </w:pPr>
      <w:bookmarkStart w:id="106" w:name="_Toc142644604"/>
      <w:bookmarkStart w:id="107" w:name="_Toc142644665"/>
      <w:r>
        <w:rPr>
          <w:lang w:val="fr-FR"/>
        </w:rPr>
        <w:t>Les clauses générales de confidentialité</w:t>
      </w:r>
      <w:bookmarkEnd w:id="106"/>
      <w:bookmarkEnd w:id="107"/>
    </w:p>
    <w:p>
      <w:pPr>
        <w:pStyle w:val="Standard"/>
        <w:rPr>
          <w:lang w:val="fr-FR"/>
        </w:rPr>
      </w:pPr>
      <w:r>
        <w:rPr>
          <w:lang w:val="fr-FR"/>
        </w:rPr>
        <w:t xml:space="preserve">Les supports informatiques physiques et documents fournis par la </w:t>
      </w:r>
      <w:r>
        <w:rPr>
          <w:b/>
          <w:lang w:val="fr-FR"/>
        </w:rPr>
        <w:t>Ville de Marseille</w:t>
      </w:r>
      <w:r>
        <w:rPr>
          <w:lang w:val="fr-FR"/>
        </w:rPr>
        <w:t xml:space="preserve"> à l'opérateur économique prestataire restent la propriété de la </w:t>
      </w:r>
      <w:r>
        <w:rPr>
          <w:b/>
          <w:lang w:val="fr-FR"/>
        </w:rPr>
        <w:t>Ville de Marseille</w:t>
      </w:r>
      <w:r>
        <w:rPr>
          <w:lang w:val="fr-FR"/>
        </w:rPr>
        <w:t>.</w:t>
      </w:r>
    </w:p>
    <w:p>
      <w:pPr>
        <w:pStyle w:val="Standard"/>
        <w:rPr>
          <w:lang w:val="fr-FR"/>
        </w:rPr>
      </w:pPr>
      <w:r>
        <w:rPr>
          <w:lang w:val="fr-FR"/>
        </w:rPr>
      </w:r>
    </w:p>
    <w:p>
      <w:pPr>
        <w:pStyle w:val="Standard"/>
        <w:rPr>
          <w:lang w:val="fr-FR"/>
        </w:rPr>
      </w:pPr>
      <w:r>
        <w:rPr>
          <w:b/>
          <w:lang w:val="fr-FR"/>
        </w:rPr>
        <w:t>Les données</w:t>
      </w:r>
      <w:r>
        <w:rPr>
          <w:lang w:val="fr-FR"/>
        </w:rPr>
        <w:t xml:space="preserve"> contenues dans ces supports et documents sont </w:t>
      </w:r>
      <w:r>
        <w:rPr>
          <w:b/>
          <w:lang w:val="fr-FR"/>
        </w:rPr>
        <w:t>strictement couvertes par le secret professionnel</w:t>
      </w:r>
      <w:r>
        <w:rPr>
          <w:lang w:val="fr-FR"/>
        </w:rPr>
        <w:t xml:space="preserve"> (article 226-13 du Code pénal), il en va de même pour toutes les données dont l'opérateur économique prestataire prendra connaissance à l'occasion de l'exécution de ce marché.</w:t>
      </w:r>
    </w:p>
    <w:p>
      <w:pPr>
        <w:pStyle w:val="Standard"/>
        <w:rPr>
          <w:lang w:val="fr-FR"/>
        </w:rPr>
      </w:pPr>
      <w:r>
        <w:rPr>
          <w:lang w:val="fr-FR"/>
        </w:rPr>
      </w:r>
    </w:p>
    <w:p>
      <w:pPr>
        <w:pStyle w:val="Standard"/>
        <w:rPr>
          <w:lang w:val="fr-FR"/>
        </w:rPr>
      </w:pPr>
      <w:r>
        <w:rPr>
          <w:lang w:val="fr-F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Standard"/>
        <w:rPr>
          <w:lang w:val="fr-FR"/>
        </w:rPr>
      </w:pPr>
      <w:r>
        <w:rPr>
          <w:lang w:val="fr-FR"/>
        </w:rPr>
      </w:r>
    </w:p>
    <w:p>
      <w:pPr>
        <w:pStyle w:val="Standard"/>
        <w:rPr>
          <w:lang w:val="fr-FR"/>
        </w:rPr>
      </w:pPr>
      <w:r>
        <w:rPr>
          <w:lang w:val="fr-FR"/>
        </w:rPr>
        <w:t>L'opérateur économique prestataire s'engage donc à respecter les obligations suivantes et à les faire respecter par son personnel :</w:t>
      </w:r>
    </w:p>
    <w:p>
      <w:pPr>
        <w:pStyle w:val="Standard"/>
        <w:rPr>
          <w:lang w:val="fr-FR"/>
        </w:rPr>
      </w:pPr>
      <w:r>
        <w:rPr>
          <w:lang w:val="fr-FR"/>
        </w:rPr>
      </w:r>
    </w:p>
    <w:p>
      <w:pPr>
        <w:pStyle w:val="Standard"/>
        <w:numPr>
          <w:ilvl w:val="0"/>
          <w:numId w:val="2"/>
        </w:numPr>
        <w:rPr>
          <w:lang w:val="fr-FR"/>
        </w:rPr>
      </w:pPr>
      <w:r>
        <w:rPr>
          <w:lang w:val="fr-FR"/>
        </w:rPr>
        <w:t>ne prendre aucune copie des documents et supports d'informations qui lui sont confiés, à l'exception de celles nécessaires à l'exécution de la prestation prévue dans ce marché, l'accord préalable du responsable du fichier est nécessaire ;</w:t>
      </w:r>
    </w:p>
    <w:p>
      <w:pPr>
        <w:pStyle w:val="Standard"/>
        <w:rPr>
          <w:lang w:val="fr-FR"/>
        </w:rPr>
      </w:pPr>
      <w:r>
        <w:rPr>
          <w:lang w:val="fr-FR"/>
        </w:rPr>
        <w:br/>
      </w:r>
    </w:p>
    <w:p>
      <w:pPr>
        <w:pStyle w:val="Standard"/>
        <w:numPr>
          <w:ilvl w:val="0"/>
          <w:numId w:val="10"/>
        </w:numPr>
        <w:rPr>
          <w:lang w:val="fr-FR"/>
        </w:rPr>
      </w:pPr>
      <w:r>
        <w:rPr>
          <w:lang w:val="fr-FR"/>
        </w:rPr>
        <w:t>ne pas utiliser les documents et informations traités à des fins autres que celles spécifiées dans ce marché ;</w:t>
      </w:r>
    </w:p>
    <w:p>
      <w:pPr>
        <w:pStyle w:val="Standard"/>
        <w:rPr>
          <w:lang w:val="fr-FR"/>
        </w:rPr>
      </w:pPr>
      <w:r>
        <w:rPr>
          <w:lang w:val="fr-FR"/>
        </w:rPr>
        <w:br/>
      </w:r>
    </w:p>
    <w:p>
      <w:pPr>
        <w:pStyle w:val="Standard"/>
        <w:numPr>
          <w:ilvl w:val="0"/>
          <w:numId w:val="11"/>
        </w:numPr>
        <w:rPr>
          <w:lang w:val="fr-FR"/>
        </w:rPr>
      </w:pPr>
      <w:r>
        <w:rPr>
          <w:lang w:val="fr-FR"/>
        </w:rPr>
        <w:t>ne pas divulguer ces documents ou informations à d'autres personnes, qu'il s'agisse de personnes privées ou publiques, physiques ou morales ;</w:t>
      </w:r>
    </w:p>
    <w:p>
      <w:pPr>
        <w:pStyle w:val="Standard"/>
        <w:rPr>
          <w:lang w:val="fr-FR"/>
        </w:rPr>
      </w:pPr>
      <w:r>
        <w:rPr>
          <w:lang w:val="fr-FR"/>
        </w:rPr>
        <w:br/>
      </w:r>
    </w:p>
    <w:p>
      <w:pPr>
        <w:pStyle w:val="Standard"/>
        <w:numPr>
          <w:ilvl w:val="0"/>
          <w:numId w:val="12"/>
        </w:numPr>
        <w:rPr>
          <w:lang w:val="fr-FR"/>
        </w:rPr>
      </w:pPr>
      <w:r>
        <w:rPr>
          <w:lang w:val="fr-FR"/>
        </w:rPr>
        <w:t>prendre toutes mesures permettant d'éviter toute utilisation détournée ou frauduleuse des fichiers informatiques en cours d'exécution du marché ;</w:t>
      </w:r>
    </w:p>
    <w:p>
      <w:pPr>
        <w:pStyle w:val="Standard"/>
        <w:rPr>
          <w:lang w:val="fr-FR"/>
        </w:rPr>
      </w:pPr>
      <w:r>
        <w:rPr>
          <w:lang w:val="fr-FR"/>
        </w:rPr>
        <w:br/>
      </w:r>
    </w:p>
    <w:p>
      <w:pPr>
        <w:pStyle w:val="Standard"/>
        <w:numPr>
          <w:ilvl w:val="0"/>
          <w:numId w:val="13"/>
        </w:numPr>
        <w:rPr>
          <w:lang w:val="fr-FR"/>
        </w:rPr>
      </w:pPr>
      <w:r>
        <w:rPr>
          <w:lang w:val="fr-FR"/>
        </w:rPr>
        <w:t>prendre toutes mesures de sécurité, notamment matérielle, pour assurer la conservation et l'intégrité des documents et informations traités pendant la durée du marché ;</w:t>
      </w:r>
    </w:p>
    <w:p>
      <w:pPr>
        <w:pStyle w:val="Standard"/>
        <w:rPr>
          <w:lang w:val="fr-FR"/>
        </w:rPr>
      </w:pPr>
      <w:r>
        <w:rPr>
          <w:lang w:val="fr-FR"/>
        </w:rPr>
        <w:br/>
      </w:r>
    </w:p>
    <w:p>
      <w:pPr>
        <w:pStyle w:val="Standard"/>
        <w:numPr>
          <w:ilvl w:val="0"/>
          <w:numId w:val="14"/>
        </w:numPr>
        <w:rPr>
          <w:lang w:val="fr-FR"/>
        </w:rPr>
      </w:pPr>
      <w:r>
        <w:rPr>
          <w:lang w:val="fr-FR"/>
        </w:rPr>
        <w:t>échanger des informations personnelles, sensibles ou des authentifications/identifications uniquement de manière chiffrée ;</w:t>
      </w:r>
    </w:p>
    <w:p>
      <w:pPr>
        <w:pStyle w:val="Standard"/>
        <w:rPr>
          <w:lang w:val="fr-FR"/>
        </w:rPr>
      </w:pPr>
      <w:r>
        <w:rPr>
          <w:lang w:val="fr-FR"/>
        </w:rPr>
        <w:br/>
      </w:r>
    </w:p>
    <w:p>
      <w:pPr>
        <w:pStyle w:val="Standard"/>
        <w:numPr>
          <w:ilvl w:val="0"/>
          <w:numId w:val="15"/>
        </w:numPr>
        <w:rPr>
          <w:lang w:val="fr-FR"/>
        </w:rPr>
      </w:pPr>
      <w:r>
        <w:rPr>
          <w:lang w:val="fr-FR"/>
        </w:rPr>
        <w:t>en fin de marché à procéder à la mise à disposition de toutes les données appartenant à la Ville de Marseille ;</w:t>
      </w:r>
    </w:p>
    <w:p>
      <w:pPr>
        <w:pStyle w:val="Standard"/>
        <w:rPr>
          <w:lang w:val="fr-FR"/>
        </w:rPr>
      </w:pPr>
      <w:r>
        <w:rPr>
          <w:lang w:val="fr-FR"/>
        </w:rPr>
        <w:br/>
      </w:r>
    </w:p>
    <w:p>
      <w:pPr>
        <w:pStyle w:val="Standard"/>
        <w:numPr>
          <w:ilvl w:val="0"/>
          <w:numId w:val="16"/>
        </w:numPr>
        <w:rPr>
          <w:lang w:val="fr-FR"/>
        </w:rPr>
      </w:pPr>
      <w:r>
        <w:rPr>
          <w:lang w:val="fr-FR"/>
        </w:rPr>
        <w:t>et en fin de marché à procéder à la destruction de tous fichiers manuels ou informatisés stockant les informations saisies.</w:t>
      </w:r>
    </w:p>
    <w:p>
      <w:pPr>
        <w:pStyle w:val="Standard"/>
        <w:rPr>
          <w:lang w:val="fr-FR"/>
        </w:rPr>
      </w:pPr>
      <w:r>
        <w:rPr>
          <w:lang w:val="fr-FR"/>
        </w:rPr>
        <w:t xml:space="preserve"> </w:t>
      </w:r>
    </w:p>
    <w:p>
      <w:pPr>
        <w:pStyle w:val="Titre2"/>
        <w:rPr>
          <w:lang w:val="fr-FR"/>
        </w:rPr>
      </w:pPr>
      <w:bookmarkStart w:id="108" w:name="_Toc142644605"/>
      <w:bookmarkStart w:id="109" w:name="_Toc142644666"/>
      <w:r>
        <w:rPr>
          <w:lang w:val="fr-FR"/>
        </w:rPr>
        <w:t>Les contrôles</w:t>
      </w:r>
      <w:bookmarkEnd w:id="108"/>
      <w:bookmarkEnd w:id="109"/>
    </w:p>
    <w:p>
      <w:pPr>
        <w:pStyle w:val="Standard"/>
        <w:rPr>
          <w:lang w:val="fr-FR"/>
        </w:rPr>
      </w:pPr>
      <w:r>
        <w:rPr>
          <w:lang w:val="fr-FR"/>
        </w:rPr>
      </w:r>
    </w:p>
    <w:p>
      <w:pPr>
        <w:pStyle w:val="Standard"/>
        <w:rPr>
          <w:lang w:val="fr-FR"/>
        </w:rPr>
      </w:pPr>
      <w:r>
        <w:rPr>
          <w:b/>
          <w:lang w:val="fr-FR"/>
        </w:rPr>
        <w:t>La Ville de Marseille</w:t>
      </w:r>
      <w:r>
        <w:rPr>
          <w:lang w:val="fr-FR"/>
        </w:rPr>
        <w:t xml:space="preserve"> se réserve le droit de procéder à toute vérification qui lui paraîtrait utile pour constater le respect des obligations réglementaires et techniques de sécurité par l'opérateur économique prestataire, notamment par la réalisation d'audits ponctuels.</w:t>
      </w:r>
    </w:p>
    <w:p>
      <w:pPr>
        <w:pStyle w:val="Standard"/>
        <w:rPr>
          <w:lang w:val="fr-FR"/>
        </w:rPr>
      </w:pPr>
      <w:r>
        <w:rPr>
          <w:lang w:val="fr-FR"/>
        </w:rPr>
      </w:r>
    </w:p>
    <w:p>
      <w:pPr>
        <w:pStyle w:val="Standard"/>
        <w:rPr>
          <w:lang w:val="fr-FR"/>
        </w:rPr>
      </w:pPr>
      <w:r>
        <w:rPr>
          <w:lang w:val="fr-FR"/>
        </w:rPr>
        <w:t>En cas de non-respect des dispositions précitées, la responsabilité du titulaire peut également être engagée sur la base des dispositions des articles 226-5 et 226-17 du nouveau code pénal.</w:t>
      </w:r>
    </w:p>
    <w:p>
      <w:pPr>
        <w:pStyle w:val="Standard"/>
        <w:rPr>
          <w:lang w:val="fr-FR"/>
        </w:rPr>
      </w:pPr>
      <w:r>
        <w:rPr>
          <w:lang w:val="fr-FR"/>
        </w:rPr>
      </w:r>
    </w:p>
    <w:p>
      <w:pPr>
        <w:pStyle w:val="Standard"/>
        <w:rPr>
          <w:lang w:val="fr-FR"/>
        </w:rPr>
      </w:pPr>
      <w:r>
        <w:rPr>
          <w:b/>
          <w:lang w:val="fr-FR"/>
        </w:rPr>
        <w:t>La Ville de Marseille</w:t>
      </w:r>
      <w:r>
        <w:rPr>
          <w:lang w:val="fr-FR"/>
        </w:rPr>
        <w:t xml:space="preserve"> pourra prononcer la résiliation du marché, sans indemnisation du titulaire, en cas de violation du secret professionnel ou de non-respect des dispositions précitées.</w:t>
      </w:r>
    </w:p>
    <w:p>
      <w:pPr>
        <w:pStyle w:val="Standard"/>
        <w:rPr>
          <w:lang w:val="fr-FR"/>
        </w:rPr>
      </w:pPr>
      <w:r>
        <w:rPr>
          <w:lang w:val="fr-FR"/>
        </w:rPr>
      </w:r>
    </w:p>
    <w:p>
      <w:pPr>
        <w:pStyle w:val="Standard"/>
        <w:rPr>
          <w:lang w:val="fr-FR"/>
        </w:rPr>
      </w:pPr>
      <w:r>
        <w:rPr>
          <w:lang w:val="fr-FR"/>
        </w:rPr>
        <w:t xml:space="preserve"> </w:t>
      </w:r>
    </w:p>
    <w:p>
      <w:pPr>
        <w:pStyle w:val="Titre2"/>
        <w:rPr>
          <w:lang w:val="fr-FR"/>
        </w:rPr>
      </w:pPr>
      <w:bookmarkStart w:id="110" w:name="_Toc142644606"/>
      <w:bookmarkStart w:id="111" w:name="_Toc142644667"/>
      <w:r>
        <w:rPr>
          <w:lang w:val="fr-FR"/>
        </w:rPr>
        <w:t>Phase de réversibilité</w:t>
      </w:r>
      <w:bookmarkEnd w:id="110"/>
      <w:bookmarkEnd w:id="111"/>
    </w:p>
    <w:p>
      <w:pPr>
        <w:pStyle w:val="Standard"/>
        <w:rPr>
          <w:lang w:val="fr-FR"/>
        </w:rPr>
      </w:pPr>
      <w:r>
        <w:rPr>
          <w:lang w:val="fr-FR"/>
        </w:rPr>
        <w:t xml:space="preserve">Au terme du marché, le prestataire s'engage à faciliter la réversibilité selon les modalités choisies par la </w:t>
      </w:r>
      <w:r>
        <w:rPr>
          <w:b/>
          <w:lang w:val="fr-FR"/>
        </w:rPr>
        <w:t>Ville de Marseille</w:t>
      </w:r>
      <w:r>
        <w:rPr>
          <w:lang w:val="fr-FR"/>
        </w:rPr>
        <w:t xml:space="preserve"> et à fournir toutes les informations et prestations utiles à sa mise en oeuvre.</w:t>
      </w:r>
    </w:p>
    <w:p>
      <w:pPr>
        <w:pStyle w:val="Standard"/>
        <w:rPr>
          <w:lang w:val="fr-FR"/>
        </w:rPr>
      </w:pPr>
      <w:r>
        <w:rPr>
          <w:lang w:val="fr-FR"/>
        </w:rPr>
      </w:r>
    </w:p>
    <w:p>
      <w:pPr>
        <w:pStyle w:val="Standard"/>
        <w:rPr>
          <w:lang w:val="fr-FR"/>
        </w:rPr>
      </w:pPr>
      <w:r>
        <w:rPr>
          <w:lang w:val="fr-FR"/>
        </w:rPr>
        <w:t>La fourniture de toutes les</w:t>
      </w:r>
      <w:r>
        <w:rPr>
          <w:b/>
          <w:lang w:val="fr-FR"/>
        </w:rPr>
        <w:t xml:space="preserve"> informations relatives à l'exécution du marché</w:t>
      </w:r>
      <w:r>
        <w:rPr>
          <w:lang w:val="fr-FR"/>
        </w:rPr>
        <w:t xml:space="preserve">, la </w:t>
      </w:r>
      <w:r>
        <w:rPr>
          <w:b/>
          <w:lang w:val="fr-FR"/>
        </w:rPr>
        <w:t>documentation</w:t>
      </w:r>
      <w:r>
        <w:rPr>
          <w:lang w:val="fr-FR"/>
        </w:rPr>
        <w:t xml:space="preserve"> constituée durant la prestation, sous forme électronique mise à jour, ainsi que le</w:t>
      </w:r>
      <w:r>
        <w:rPr>
          <w:b/>
          <w:lang w:val="fr-FR"/>
        </w:rPr>
        <w:t xml:space="preserve"> transfert de connaissance</w:t>
      </w:r>
      <w:r>
        <w:rPr>
          <w:lang w:val="fr-FR"/>
        </w:rPr>
        <w:t xml:space="preserve"> sont inclus dans le présent marché.</w:t>
      </w:r>
    </w:p>
    <w:p>
      <w:pPr>
        <w:pStyle w:val="Standard"/>
        <w:rPr>
          <w:lang w:val="fr-FR"/>
        </w:rPr>
      </w:pPr>
      <w:r>
        <w:rPr>
          <w:lang w:val="fr-FR"/>
        </w:rPr>
      </w:r>
    </w:p>
    <w:p>
      <w:pPr>
        <w:pStyle w:val="Standard"/>
        <w:rPr>
          <w:lang w:val="fr-FR"/>
        </w:rPr>
      </w:pPr>
      <w:r>
        <w:rPr>
          <w:lang w:val="fr-FR"/>
        </w:rPr>
        <w:t>Ce transfert se fera directement aux équipes de la Ville de Marseille.</w:t>
      </w:r>
    </w:p>
    <w:p>
      <w:pPr>
        <w:pStyle w:val="Standard"/>
        <w:rPr>
          <w:lang w:val="fr-FR"/>
        </w:rPr>
      </w:pPr>
      <w:r>
        <w:rPr>
          <w:lang w:val="fr-FR"/>
        </w:rPr>
        <w:t xml:space="preserve"> </w:t>
      </w:r>
    </w:p>
    <w:p>
      <w:pPr>
        <w:pStyle w:val="Titre1"/>
        <w:rPr>
          <w:lang w:val="fr-FR"/>
        </w:rPr>
      </w:pPr>
      <w:bookmarkStart w:id="112" w:name="_Toc142644607"/>
      <w:bookmarkStart w:id="113" w:name="_Toc142644668"/>
      <w:r>
        <w:rPr>
          <w:lang w:val="fr-FR"/>
        </w:rPr>
        <w:t>LOGICIEL E-ATTESTATIONS</w:t>
      </w:r>
      <w:bookmarkEnd w:id="112"/>
      <w:bookmarkEnd w:id="113"/>
    </w:p>
    <w:p>
      <w:pPr>
        <w:pStyle w:val="Standard"/>
        <w:rPr>
          <w:lang w:val="fr-FR"/>
        </w:rPr>
      </w:pPr>
      <w:r>
        <w:rPr>
          <w:lang w:val="fr-FR"/>
        </w:rPr>
        <w:t>La Ville de Marseille ayant souscrit un abonnement au logiciel de conformité fournisseurs "e-attestations", nous demandons aux titulaires de bien vouloir y déposer les documents exigibles au titredes articles R2143-7 à 10 du Code de la commande publique, et notamment :</w:t>
      </w:r>
    </w:p>
    <w:p>
      <w:pPr>
        <w:pStyle w:val="Standard"/>
        <w:rPr>
          <w:lang w:val="fr-FR"/>
        </w:rPr>
      </w:pPr>
      <w:r>
        <w:rPr>
          <w:lang w:val="fr-FR"/>
        </w:rPr>
        <w:t>- les attestations fiscales et sociales,</w:t>
      </w:r>
    </w:p>
    <w:p>
      <w:pPr>
        <w:pStyle w:val="Standard"/>
        <w:rPr>
          <w:lang w:val="fr-FR"/>
        </w:rPr>
      </w:pPr>
      <w:r>
        <w:rPr>
          <w:lang w:val="fr-FR"/>
        </w:rPr>
        <w:t>- l'inscription au RCS (K ou K Bis),</w:t>
      </w:r>
    </w:p>
    <w:p>
      <w:pPr>
        <w:pStyle w:val="Standard"/>
        <w:rPr>
          <w:lang w:val="fr-FR"/>
        </w:rPr>
      </w:pPr>
      <w:r>
        <w:rPr>
          <w:lang w:val="fr-FR"/>
        </w:rPr>
        <w:t>- la garantie décennale pour les marchés de travaux,</w:t>
      </w:r>
    </w:p>
    <w:p>
      <w:pPr>
        <w:pStyle w:val="Standard"/>
        <w:rPr>
          <w:lang w:val="fr-FR"/>
        </w:rPr>
      </w:pPr>
      <w:r>
        <w:rPr>
          <w:lang w:val="fr-FR"/>
        </w:rPr>
        <w:t>- la liste nominative des travailleurs étrangers</w:t>
      </w:r>
    </w:p>
    <w:p>
      <w:pPr>
        <w:pStyle w:val="Standard"/>
        <w:rPr>
          <w:lang w:val="fr-FR"/>
        </w:rPr>
      </w:pPr>
      <w:r>
        <w:rPr>
          <w:lang w:val="fr-FR"/>
        </w:rPr>
        <w:t>- l'attestation sur l'honneur relative à l'égalité réelle entre les femmes et les hommes</w:t>
      </w:r>
    </w:p>
    <w:p>
      <w:pPr>
        <w:pStyle w:val="Standard"/>
        <w:rPr>
          <w:lang w:val="fr-FR"/>
        </w:rPr>
      </w:pPr>
      <w:r>
        <w:rPr>
          <w:lang w:val="fr-FR"/>
        </w:rPr>
      </w:r>
    </w:p>
    <w:p>
      <w:pPr>
        <w:pStyle w:val="Standard"/>
        <w:rPr>
          <w:lang w:val="fr-FR"/>
        </w:rPr>
      </w:pPr>
      <w:r>
        <w:rPr>
          <w:lang w:val="fr-FR"/>
        </w:rPr>
        <w:t>Cette démarche présente l'avantage de limiter les échanges administratifs lors de la notification et de l'exécution des marchés. Par ailleurs, le logiciel garantit la confidentialité des documents déposés.</w:t>
      </w:r>
    </w:p>
    <w:p>
      <w:pPr>
        <w:pStyle w:val="Standard"/>
        <w:rPr>
          <w:lang w:val="fr-FR"/>
        </w:rPr>
      </w:pPr>
      <w:r>
        <w:rPr>
          <w:lang w:val="fr-FR"/>
        </w:rPr>
        <w:t xml:space="preserve">L'interface e-attestations est une solution </w:t>
      </w:r>
      <w:r>
        <w:rPr>
          <w:b/>
          <w:lang w:val="fr-FR"/>
        </w:rPr>
        <w:t>gratuite</w:t>
      </w:r>
      <w:r>
        <w:rPr>
          <w:lang w:val="fr-FR"/>
        </w:rPr>
        <w:t xml:space="preserve"> de dépôt et de mise à jour, l'adresse du site est la suivante : http://www.e-attestations.com/</w:t>
      </w:r>
    </w:p>
    <w:p>
      <w:pPr>
        <w:pStyle w:val="Standard"/>
        <w:rPr>
          <w:lang w:val="fr-FR"/>
        </w:rPr>
      </w:pPr>
      <w:r>
        <w:rPr>
          <w:lang w:val="fr-FR"/>
        </w:rPr>
        <w:t xml:space="preserve"> </w:t>
      </w:r>
    </w:p>
    <w:p>
      <w:pPr>
        <w:pStyle w:val="Titre1"/>
        <w:rPr>
          <w:lang w:val="fr-FR"/>
        </w:rPr>
      </w:pPr>
      <w:bookmarkStart w:id="114" w:name="_Toc142644608"/>
      <w:bookmarkStart w:id="115" w:name="_Toc142644669"/>
      <w:r>
        <w:rPr>
          <w:lang w:val="fr-FR"/>
        </w:rPr>
        <w:t>LOI APPLICABLE</w:t>
      </w:r>
      <w:bookmarkEnd w:id="114"/>
      <w:bookmarkEnd w:id="115"/>
    </w:p>
    <w:p>
      <w:pPr>
        <w:pStyle w:val="Standard"/>
        <w:rPr>
          <w:lang w:val="fr-FR"/>
        </w:rPr>
      </w:pPr>
      <w:r>
        <w:rPr>
          <w:lang w:val="fr-F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Standard"/>
        <w:rPr>
          <w:lang w:val="fr-FR"/>
        </w:rPr>
      </w:pPr>
      <w:r>
        <w:rPr>
          <w:lang w:val="fr-FR"/>
        </w:rPr>
      </w:r>
    </w:p>
    <w:p>
      <w:pPr>
        <w:pStyle w:val="Titre1"/>
        <w:rPr>
          <w:lang w:val="fr-FR"/>
        </w:rPr>
      </w:pPr>
      <w:bookmarkStart w:id="116" w:name="_Toc142644609"/>
      <w:bookmarkStart w:id="117" w:name="_Toc142644670"/>
      <w:r>
        <w:rPr>
          <w:lang w:val="fr-FR"/>
        </w:rPr>
        <w:t>CONFORMITE AUX NORMES</w:t>
      </w:r>
      <w:bookmarkEnd w:id="116"/>
      <w:bookmarkEnd w:id="117"/>
    </w:p>
    <w:p>
      <w:pPr>
        <w:pStyle w:val="Standard"/>
        <w:rPr>
          <w:lang w:val="fr-FR"/>
        </w:rPr>
      </w:pPr>
      <w:r>
        <w:rPr>
          <w:lang w:val="fr-FR"/>
        </w:rPr>
        <w:t xml:space="preserve"> </w:t>
      </w:r>
      <w:r>
        <w:rPr>
          <w:lang w:val="fr-FR"/>
        </w:rPr>
        <w:t>Il n'est pas prévu de dispositions particulières relatives aux normes.</w:t>
      </w:r>
    </w:p>
    <w:p>
      <w:pPr>
        <w:pStyle w:val="Titre1"/>
        <w:rPr>
          <w:lang w:val="fr-FR"/>
        </w:rPr>
      </w:pPr>
      <w:bookmarkStart w:id="118" w:name="_Toc142644610"/>
      <w:bookmarkStart w:id="119" w:name="_Toc142644671"/>
      <w:r>
        <w:rPr>
          <w:lang w:val="fr-FR"/>
        </w:rPr>
        <w:t>ASSURANCES</w:t>
      </w:r>
      <w:bookmarkEnd w:id="118"/>
      <w:bookmarkEnd w:id="119"/>
    </w:p>
    <w:p>
      <w:pPr>
        <w:pStyle w:val="Standard"/>
        <w:rPr>
          <w:lang w:val="fr-FR"/>
        </w:rPr>
      </w:pPr>
      <w:r>
        <w:rPr>
          <w:lang w:val="fr-FR"/>
        </w:rPr>
        <w:t xml:space="preserve"> </w:t>
      </w:r>
      <w:r>
        <w:rPr>
          <w:lang w:val="fr-F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Standard"/>
        <w:rPr>
          <w:lang w:val="fr-FR"/>
        </w:rPr>
      </w:pPr>
      <w:r>
        <w:rPr>
          <w:lang w:val="fr-FR"/>
        </w:rPr>
      </w:r>
    </w:p>
    <w:p>
      <w:pPr>
        <w:pStyle w:val="Standard"/>
        <w:rPr>
          <w:lang w:val="fr-FR"/>
        </w:rPr>
      </w:pPr>
      <w:r>
        <w:rPr>
          <w:lang w:val="fr-F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Standard"/>
        <w:rPr>
          <w:lang w:val="fr-FR"/>
        </w:rPr>
      </w:pPr>
      <w:r>
        <w:rPr>
          <w:lang w:val="fr-FR"/>
        </w:rPr>
      </w:r>
    </w:p>
    <w:p>
      <w:pPr>
        <w:pStyle w:val="Standard"/>
        <w:rPr>
          <w:lang w:val="fr-FR"/>
        </w:rPr>
      </w:pPr>
      <w:r>
        <w:rPr>
          <w:lang w:val="fr-FR"/>
        </w:rPr>
        <w:t>A tout moment durant l'exécution du marché, le titulaire doit être en mesure de produire cette attestation, sur demande du pouvoir adjudicateur et dans un délai de quinze jours à compter de la réception de la demande.</w:t>
      </w:r>
    </w:p>
    <w:p>
      <w:pPr>
        <w:pStyle w:val="Titre1"/>
        <w:rPr>
          <w:lang w:val="fr-FR"/>
        </w:rPr>
      </w:pPr>
      <w:bookmarkStart w:id="120" w:name="_Toc142644611"/>
      <w:bookmarkStart w:id="121" w:name="_Toc142644672"/>
      <w:r>
        <w:rPr>
          <w:lang w:val="fr-FR"/>
        </w:rPr>
        <w:t>DEROGATIONS AUX DOCUMENTS GENERAUX</w:t>
      </w:r>
      <w:bookmarkEnd w:id="120"/>
      <w:bookmarkEnd w:id="121"/>
    </w:p>
    <w:p>
      <w:pPr>
        <w:pStyle w:val="Standard"/>
        <w:rPr>
          <w:lang w:val="fr-FR"/>
        </w:rPr>
      </w:pPr>
      <w:r>
        <w:rPr>
          <w:lang w:val="fr-FR"/>
        </w:rPr>
        <w:t>Les dérogations explicitées dans les articles désignés ci-après du C.C.A.P. sont apportées aux articles suivants des documents et des normes françaises homologuées ci-après :</w:t>
      </w:r>
    </w:p>
    <w:p>
      <w:pPr>
        <w:pStyle w:val="Standard"/>
        <w:rPr>
          <w:lang w:val="fr-FR"/>
        </w:rPr>
      </w:pPr>
      <w:r>
        <w:rPr>
          <w:lang w:val="fr-FR"/>
        </w:rPr>
      </w:r>
    </w:p>
    <w:p>
      <w:pPr>
        <w:pStyle w:val="Standard"/>
        <w:rPr>
          <w:lang w:val="fr-FR"/>
        </w:rPr>
      </w:pPr>
      <w:r>
        <w:rPr>
          <w:lang w:val="fr-FR"/>
        </w:rPr>
        <w:t>Dérogations au CCAG-FCS:</w:t>
      </w:r>
    </w:p>
    <w:p>
      <w:pPr>
        <w:pStyle w:val="Standard"/>
        <w:rPr>
          <w:lang w:val="fr-FR"/>
        </w:rPr>
      </w:pPr>
      <w:r>
        <w:rPr>
          <w:lang w:val="fr-FR"/>
        </w:rPr>
      </w:r>
    </w:p>
    <w:p>
      <w:pPr>
        <w:pStyle w:val="Standard"/>
        <w:rPr>
          <w:lang w:val="fr-FR"/>
        </w:rPr>
      </w:pPr>
      <w:r>
        <w:rPr>
          <w:lang w:val="fr-FR"/>
        </w:rPr>
        <w:t xml:space="preserve">- l’article 2 déroge à l’article 4.1 du CCAG </w:t>
      </w:r>
    </w:p>
    <w:p>
      <w:pPr>
        <w:pStyle w:val="Standard"/>
        <w:rPr>
          <w:lang w:val="fr-FR"/>
        </w:rPr>
      </w:pPr>
      <w:r>
        <w:rPr>
          <w:lang w:val="fr-FR"/>
        </w:rPr>
        <w:t>- l'article 7.1  déroge aux articles 27 à 29 du CCAG</w:t>
      </w:r>
    </w:p>
    <w:p>
      <w:pPr>
        <w:pStyle w:val="Standard"/>
        <w:rPr>
          <w:lang w:val="fr-FR"/>
        </w:rPr>
      </w:pPr>
      <w:r>
        <w:rPr>
          <w:lang w:val="fr-FR"/>
        </w:rPr>
        <w:t>- l'article 10 déroge aux articles 5 du CCAG</w:t>
      </w:r>
    </w:p>
    <w:p>
      <w:pPr>
        <w:pStyle w:val="Standard"/>
        <w:rPr>
          <w:lang w:val="fr-FR"/>
        </w:rPr>
      </w:pPr>
      <w:r>
        <w:rPr>
          <w:lang w:val="fr-FR"/>
        </w:rPr>
        <w:t>- l'article 11.2 déroge à l'article 10 du CCAG</w:t>
      </w:r>
    </w:p>
    <w:p>
      <w:pPr>
        <w:pStyle w:val="Standard"/>
        <w:rPr>
          <w:lang w:val="fr-FR"/>
        </w:rPr>
      </w:pPr>
      <w:r>
        <w:rPr>
          <w:lang w:val="fr-FR"/>
        </w:rPr>
        <w:t>- l'article 15.1 déroge à l'article 14.1.1 et 14.1.3 du CCAG</w:t>
      </w:r>
    </w:p>
    <w:p>
      <w:pPr>
        <w:pStyle w:val="Standard"/>
        <w:rPr>
          <w:lang w:val="fr-FR"/>
        </w:rPr>
      </w:pPr>
      <w:r>
        <w:rPr>
          <w:lang w:val="fr-FR"/>
        </w:rPr>
        <w:t>- l'article 15.2 déroge à l'article 14.1.2 et 14.1.3 du CCAG</w:t>
      </w:r>
    </w:p>
    <w:p>
      <w:pPr>
        <w:pStyle w:val="Standard"/>
        <w:rPr>
          <w:lang w:val="fr-FR"/>
        </w:rPr>
      </w:pPr>
      <w:r>
        <w:rPr>
          <w:lang w:val="fr-FR"/>
        </w:rPr>
        <w:t>- l’article 15.3 déroge à l’article 16.2 du CCAG</w:t>
      </w:r>
    </w:p>
    <w:p>
      <w:pPr>
        <w:pStyle w:val="Standard"/>
        <w:rPr>
          <w:lang w:val="fr-FR"/>
        </w:rPr>
      </w:pPr>
      <w:r>
        <w:rPr/>
      </w:r>
    </w:p>
    <w:sectPr>
      <w:footerReference w:type="default" r:id="rId3"/>
      <w:footerReference w:type="first" r:id="rId4"/>
      <w:type w:val="nextPage"/>
      <w:pgSz w:w="11906" w:h="16838"/>
      <w:pgMar w:left="1803" w:right="1803" w:gutter="0" w:header="0" w:top="2100" w:footer="713" w:bottom="123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Calibri Light">
    <w:charset w:val="00"/>
    <w:family w:val="swiss"/>
    <w:pitch w:val="variable"/>
  </w:font>
  <w:font w:name="Calibri">
    <w:charset w:val="00"/>
    <w:family w:val="roman"/>
    <w:pitch w:val="variable"/>
  </w:font>
  <w:font w:name="Wingdings 2">
    <w:charset w:val="02"/>
    <w:family w:val="auto"/>
    <w:pitch w:val="default"/>
  </w:font>
  <w:font w:name="Arial">
    <w:charset w:val="01"/>
    <w:family w:val="swiss"/>
    <w:pitch w:val="variable"/>
  </w:font>
  <w:font w:name="Wingdings 3">
    <w:charset w:val="02"/>
    <w:family w:val="auto"/>
    <w:pitch w:val="default"/>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lang w:val="fr-FR"/>
      </w:rPr>
    </w:pPr>
    <w:r>
      <w:rPr>
        <w:shd w:fill="FFFFFF" w:val="clear"/>
        <w:lang w:val="fr-FR"/>
      </w:rPr>
      <w:t>DGAJSP (90001) / CAHIER DES CLAUSES ADMINISTRATIVES PARTICULIERES</w:t>
    </w:r>
  </w:p>
  <w:p>
    <w:pPr>
      <w:pStyle w:val="Pieddepage"/>
      <w:rPr/>
    </w:pPr>
    <w:r>
      <w:rPr>
        <w:shd w:fill="FFFFFF" w:val="clear"/>
        <w:lang w:val="fr-FR"/>
      </w:rPr>
      <w:t>Prestations de service en vue de la sensibilisation et de la prévention des conduites à risques chez les jeunes  (2 lots)</w:t>
    </w:r>
    <w:r>
      <w:rPr>
        <w:lang w:val="fr-FR"/>
      </w:rPr>
      <w:tab/>
      <w:tab/>
    </w:r>
    <w:r>
      <w:rPr>
        <w:lang w:val="fr-FR"/>
      </w:rPr>
      <w:fldChar w:fldCharType="begin"/>
    </w:r>
    <w:r>
      <w:rPr>
        <w:lang w:val="fr-FR"/>
      </w:rPr>
      <w:instrText> PAGE </w:instrText>
    </w:r>
    <w:r>
      <w:rPr>
        <w:lang w:val="fr-FR"/>
      </w:rPr>
      <w:fldChar w:fldCharType="separate"/>
    </w:r>
    <w:r>
      <w:rPr>
        <w:lang w:val="fr-FR"/>
      </w:rPr>
      <w:t>23</w:t>
    </w:r>
    <w:r>
      <w:rPr>
        <w:lang w:val="fr-FR"/>
      </w:rPr>
      <w:fldChar w:fldCharType="end"/>
    </w:r>
    <w:r>
      <w:rPr>
        <w:rStyle w:val="Pagenumber"/>
        <w:rFonts w:ascii="Arial" w:hAnsi="Arial"/>
        <w:sz w:val="16"/>
        <w:szCs w:val="16"/>
        <w:lang w:val="fr-FR"/>
      </w:rPr>
      <w:t>/</w:t>
    </w:r>
    <w:r>
      <w:rPr>
        <w:lang w:val="fr-FR"/>
      </w:rPr>
      <w:fldChar w:fldCharType="begin"/>
    </w:r>
    <w:r>
      <w:rPr>
        <w:lang w:val="fr-FR"/>
      </w:rPr>
      <w:instrText> NUMPAGES </w:instrText>
    </w:r>
    <w:r>
      <w:rPr>
        <w:lang w:val="fr-FR"/>
      </w:rPr>
      <w:fldChar w:fldCharType="separate"/>
    </w:r>
    <w:r>
      <w:rPr>
        <w:lang w:val="fr-FR"/>
      </w:rPr>
      <w:t>23</w:t>
    </w:r>
    <w:r>
      <w:rPr>
        <w:lang w:val="fr-F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lang w:val="fr-FR"/>
      </w:rPr>
      <w:tab/>
      <w:tab/>
    </w:r>
    <w:r>
      <w:rPr>
        <w:lang w:val="fr-FR"/>
      </w:rPr>
      <w:fldChar w:fldCharType="begin"/>
    </w:r>
    <w:r>
      <w:rPr>
        <w:lang w:val="fr-FR"/>
      </w:rPr>
      <w:instrText> PAGE </w:instrText>
    </w:r>
    <w:r>
      <w:rPr>
        <w:lang w:val="fr-FR"/>
      </w:rPr>
      <w:fldChar w:fldCharType="separate"/>
    </w:r>
    <w:r>
      <w:rPr>
        <w:lang w:val="fr-FR"/>
      </w:rPr>
      <w:t>1</w:t>
    </w:r>
    <w:r>
      <w:rPr>
        <w:lang w:val="fr-FR"/>
      </w:rPr>
      <w:fldChar w:fldCharType="end"/>
    </w:r>
    <w:r>
      <w:rPr>
        <w:rStyle w:val="Pagenumber"/>
        <w:rFonts w:ascii="Arial" w:hAnsi="Arial"/>
        <w:sz w:val="16"/>
        <w:szCs w:val="16"/>
        <w:lang w:val="fr-FR"/>
      </w:rPr>
      <w:t>/</w:t>
    </w:r>
    <w:r>
      <w:rPr>
        <w:lang w:val="fr-FR"/>
      </w:rPr>
      <w:fldChar w:fldCharType="begin"/>
    </w:r>
    <w:r>
      <w:rPr>
        <w:lang w:val="fr-FR"/>
      </w:rPr>
      <w:instrText> NUMPAGES </w:instrText>
    </w:r>
    <w:r>
      <w:rPr>
        <w:lang w:val="fr-FR"/>
      </w:rPr>
      <w:fldChar w:fldCharType="separate"/>
    </w:r>
    <w:r>
      <w:rPr>
        <w:lang w:val="fr-FR"/>
      </w:rPr>
      <w:t>23</w:t>
    </w:r>
    <w:r>
      <w:rPr>
        <w:lang w:val="fr-F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w:lvlJc w:val="left"/>
      <w:pPr>
        <w:tabs>
          <w:tab w:val="num" w:pos="0"/>
        </w:tabs>
        <w:ind w:left="0" w:firstLine="283"/>
      </w:pPr>
    </w:lvl>
    <w:lvl w:ilvl="1">
      <w:start w:val="1"/>
      <w:pStyle w:val="Titre2"/>
      <w:numFmt w:val="decimal"/>
      <w:lvlText w:val="%1.%2"/>
      <w:lvlJc w:val="left"/>
      <w:pPr>
        <w:tabs>
          <w:tab w:val="num" w:pos="0"/>
        </w:tabs>
        <w:ind w:left="0" w:firstLine="283"/>
      </w:pPr>
    </w:lvl>
    <w:lvl w:ilvl="2">
      <w:start w:val="1"/>
      <w:pStyle w:val="Titre3"/>
      <w:numFmt w:val="decimal"/>
      <w:lvlText w:val="%1.%2.%3"/>
      <w:lvlJc w:val="left"/>
      <w:pPr>
        <w:tabs>
          <w:tab w:val="num" w:pos="0"/>
        </w:tabs>
        <w:ind w:left="0" w:firstLine="283"/>
      </w:pPr>
    </w:lvl>
    <w:lvl w:ilvl="3">
      <w:start w:val="1"/>
      <w:pStyle w:val="Titre4"/>
      <w:numFmt w:val="lowerLetter"/>
      <w:lvlText w:val="%1.%2.%3.%4"/>
      <w:lvlJc w:val="left"/>
      <w:pPr>
        <w:tabs>
          <w:tab w:val="num" w:pos="0"/>
        </w:tabs>
        <w:ind w:left="0" w:firstLine="283"/>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3">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4">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5">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6">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7">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8">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abstractNum w:abstractNumId="9">
    <w:lvl w:ilvl="0">
      <w:numFmt w:val="bullet"/>
      <w:lvlText w:val=""/>
      <w:lvlJc w:val="left"/>
      <w:pPr>
        <w:tabs>
          <w:tab w:val="num" w:pos="0"/>
        </w:tabs>
        <w:ind w:left="283" w:hanging="283"/>
      </w:pPr>
      <w:rPr>
        <w:rFonts w:ascii="Wingdings 2" w:hAnsi="Wingdings 2" w:cs="Wingdings 2" w:hint="default"/>
      </w:rPr>
    </w:lvl>
    <w:lvl w:ilvl="1">
      <w:start w:val="0"/>
      <w:numFmt w:val="bullet"/>
      <w:lvlText w:val="–"/>
      <w:lvlJc w:val="left"/>
      <w:pPr>
        <w:tabs>
          <w:tab w:val="num" w:pos="0"/>
        </w:tabs>
        <w:ind w:left="567" w:hanging="284"/>
      </w:pPr>
      <w:rPr>
        <w:rFonts w:ascii="Arial" w:hAnsi="Arial" w:cs="Arial" w:hint="default"/>
      </w:rPr>
    </w:lvl>
    <w:lvl w:ilvl="2">
      <w:start w:val="0"/>
      <w:numFmt w:val="bullet"/>
      <w:lvlText w:val=""/>
      <w:lvlJc w:val="left"/>
      <w:pPr>
        <w:tabs>
          <w:tab w:val="num" w:pos="0"/>
        </w:tabs>
        <w:ind w:left="850" w:hanging="283"/>
      </w:pPr>
      <w:rPr>
        <w:rFonts w:ascii="Wingdings 3" w:hAnsi="Wingdings 3" w:cs="Wingdings 3" w:hint="default"/>
      </w:rPr>
    </w:lvl>
    <w:lvl w:ilvl="3">
      <w:start w:val="0"/>
      <w:numFmt w:val="bullet"/>
      <w:lvlText w:val="▫"/>
      <w:lvlJc w:val="left"/>
      <w:pPr>
        <w:tabs>
          <w:tab w:val="num" w:pos="0"/>
        </w:tabs>
        <w:ind w:left="1134" w:hanging="284"/>
      </w:pPr>
      <w:rPr>
        <w:rFonts w:ascii="Arial" w:hAnsi="Arial" w:cs="Arial" w:hint="default"/>
      </w:rPr>
    </w:lvl>
    <w:lvl w:ilvl="4">
      <w:start w:val="0"/>
      <w:numFmt w:val="bullet"/>
      <w:lvlText w:val="▪"/>
      <w:lvlJc w:val="left"/>
      <w:pPr>
        <w:tabs>
          <w:tab w:val="num" w:pos="0"/>
        </w:tabs>
        <w:ind w:left="1134" w:hanging="227"/>
      </w:pPr>
      <w:rPr>
        <w:rFonts w:ascii="Segoe UI" w:hAnsi="Segoe UI" w:cs="Segoe UI" w:hint="default"/>
      </w:rPr>
    </w:lvl>
    <w:lvl w:ilvl="5">
      <w:start w:val="0"/>
      <w:numFmt w:val="bullet"/>
      <w:lvlText w:val="▪"/>
      <w:lvlJc w:val="left"/>
      <w:pPr>
        <w:tabs>
          <w:tab w:val="num" w:pos="0"/>
        </w:tabs>
        <w:ind w:left="1361" w:hanging="227"/>
      </w:pPr>
      <w:rPr>
        <w:rFonts w:ascii="Segoe UI" w:hAnsi="Segoe UI" w:cs="Segoe UI" w:hint="default"/>
      </w:rPr>
    </w:lvl>
    <w:lvl w:ilvl="6">
      <w:start w:val="0"/>
      <w:numFmt w:val="bullet"/>
      <w:lvlText w:val="▪"/>
      <w:lvlJc w:val="left"/>
      <w:pPr>
        <w:tabs>
          <w:tab w:val="num" w:pos="0"/>
        </w:tabs>
        <w:ind w:left="1587" w:hanging="227"/>
      </w:pPr>
      <w:rPr>
        <w:rFonts w:ascii="Segoe UI" w:hAnsi="Segoe UI" w:cs="Segoe UI" w:hint="default"/>
      </w:rPr>
    </w:lvl>
    <w:lvl w:ilvl="7">
      <w:start w:val="0"/>
      <w:numFmt w:val="bullet"/>
      <w:lvlText w:val="▪"/>
      <w:lvlJc w:val="left"/>
      <w:pPr>
        <w:tabs>
          <w:tab w:val="num" w:pos="0"/>
        </w:tabs>
        <w:ind w:left="1814" w:hanging="227"/>
      </w:pPr>
      <w:rPr>
        <w:rFonts w:ascii="Segoe UI" w:hAnsi="Segoe UI" w:cs="Segoe UI" w:hint="default"/>
      </w:rPr>
    </w:lvl>
    <w:lvl w:ilvl="8">
      <w:start w:val="0"/>
      <w:numFmt w:val="bullet"/>
      <w:lvlText w:val="▪"/>
      <w:lvlJc w:val="left"/>
      <w:pPr>
        <w:tabs>
          <w:tab w:val="num" w:pos="0"/>
        </w:tabs>
        <w:ind w:left="2041" w:hanging="227"/>
      </w:pPr>
      <w:rPr>
        <w:rFonts w:ascii="Segoe UI" w:hAnsi="Segoe UI" w:cs="Segoe UI"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w="http://schemas.openxmlformats.org/wordprocessingml/2006/main">
  <w:zoom w:percent="9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fr-FR"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fr-FR" w:eastAsia="ja-JP" w:bidi="fa-IR"/>
    </w:rPr>
  </w:style>
  <w:style w:type="paragraph" w:styleId="Titre1">
    <w:name w:val="Heading 1"/>
    <w:basedOn w:val="Standard"/>
    <w:next w:val="Standard"/>
    <w:qFormat/>
    <w:pPr>
      <w:numPr>
        <w:ilvl w:val="0"/>
        <w:numId w:val="1"/>
      </w:numPr>
      <w:outlineLvl w:val="0"/>
    </w:pPr>
    <w:rPr>
      <w:rFonts w:ascii="Trebuchet MS" w:hAnsi="Trebuchet MS" w:eastAsia="Trebuchet MS" w:cs="Trebuchet MS"/>
      <w:color w:val="808080"/>
      <w:sz w:val="36"/>
      <w:szCs w:val="36"/>
    </w:rPr>
  </w:style>
  <w:style w:type="paragraph" w:styleId="Titre2">
    <w:name w:val="Heading 2"/>
    <w:basedOn w:val="Standard"/>
    <w:next w:val="Standard"/>
    <w:qFormat/>
    <w:pPr>
      <w:numPr>
        <w:ilvl w:val="1"/>
        <w:numId w:val="1"/>
      </w:numPr>
      <w:spacing w:before="240" w:after="60"/>
      <w:outlineLvl w:val="1"/>
    </w:pPr>
    <w:rPr>
      <w:rFonts w:ascii="Trebuchet MS" w:hAnsi="Trebuchet MS" w:eastAsia="Trebuchet MS" w:cs="Trebuchet MS"/>
      <w:b/>
      <w:bCs/>
      <w:i/>
      <w:iCs/>
      <w:sz w:val="28"/>
      <w:szCs w:val="28"/>
    </w:rPr>
  </w:style>
  <w:style w:type="paragraph" w:styleId="Titre3">
    <w:name w:val="Heading 3"/>
    <w:basedOn w:val="Standard"/>
    <w:next w:val="Standard"/>
    <w:qFormat/>
    <w:pPr>
      <w:numPr>
        <w:ilvl w:val="2"/>
        <w:numId w:val="1"/>
      </w:numPr>
      <w:spacing w:before="240" w:after="60"/>
      <w:outlineLvl w:val="2"/>
    </w:pPr>
    <w:rPr>
      <w:rFonts w:ascii="Trebuchet MS" w:hAnsi="Trebuchet MS" w:eastAsia="Trebuchet MS" w:cs="Trebuchet MS"/>
      <w:b/>
      <w:bCs/>
      <w:sz w:val="26"/>
      <w:szCs w:val="26"/>
    </w:rPr>
  </w:style>
  <w:style w:type="paragraph" w:styleId="Titre4">
    <w:name w:val="Heading 4"/>
    <w:basedOn w:val="Standard"/>
    <w:next w:val="Textbody"/>
    <w:autoRedefine/>
    <w:qFormat/>
    <w:pPr>
      <w:numPr>
        <w:ilvl w:val="3"/>
        <w:numId w:val="1"/>
      </w:numPr>
      <w:spacing w:before="283" w:after="57"/>
      <w:outlineLvl w:val="3"/>
    </w:pPr>
    <w:rPr>
      <w:b/>
      <w:bCs/>
      <w:i/>
      <w:iCs/>
      <w:sz w:val="24"/>
    </w:rPr>
  </w:style>
  <w:style w:type="paragraph" w:styleId="Titre5">
    <w:name w:val="Heading 5"/>
    <w:basedOn w:val="Standard"/>
    <w:next w:val="Textbody"/>
    <w:autoRedefine/>
    <w:qFormat/>
    <w:pPr>
      <w:spacing w:before="283" w:after="57"/>
      <w:outlineLvl w:val="4"/>
    </w:pPr>
    <w:rPr>
      <w:b/>
      <w:bCs/>
      <w:i/>
      <w:sz w:val="22"/>
    </w:rPr>
  </w:style>
  <w:style w:type="paragraph" w:styleId="Titre6">
    <w:name w:val="Heading 6"/>
    <w:basedOn w:val="Titre"/>
    <w:next w:val="Textbody"/>
    <w:qFormat/>
    <w:pPr>
      <w:outlineLvl w:val="5"/>
    </w:pPr>
    <w:rPr>
      <w:bCs/>
    </w:rPr>
  </w:style>
  <w:style w:type="paragraph" w:styleId="Titre7">
    <w:name w:val="Heading 7"/>
    <w:basedOn w:val="Titre"/>
    <w:next w:val="Textbody"/>
    <w:qFormat/>
    <w:pPr>
      <w:outlineLvl w:val="6"/>
    </w:pPr>
    <w:rPr>
      <w:bCs/>
    </w:rPr>
  </w:style>
  <w:style w:type="paragraph" w:styleId="Titre8">
    <w:name w:val="Heading 8"/>
    <w:basedOn w:val="Titre"/>
    <w:next w:val="Textbody"/>
    <w:qFormat/>
    <w:pPr>
      <w:outlineLvl w:val="7"/>
    </w:pPr>
    <w:rPr>
      <w:bCs/>
    </w:rPr>
  </w:style>
  <w:style w:type="paragraph" w:styleId="Titre9">
    <w:name w:val="Heading 9"/>
    <w:basedOn w:val="Titre"/>
    <w:next w:val="Textbody"/>
    <w:qFormat/>
    <w:pPr>
      <w:outlineLvl w:val="8"/>
    </w:pPr>
    <w:rPr>
      <w:bCs/>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5d482d"/>
    <w:rPr>
      <w:color w:val="0563C1" w:themeColor="hyperlink"/>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Sautdindex">
    <w:name w:val="Saut d'index"/>
    <w:qFormat/>
    <w:rPr/>
  </w:style>
  <w:style w:type="paragraph" w:styleId="Titre" w:customStyle="1">
    <w:name w:val="Titre"/>
    <w:basedOn w:val="Standard"/>
    <w:next w:val="Textbody"/>
    <w:autoRedefine/>
    <w:qFormat/>
    <w:pPr>
      <w:pBdr>
        <w:top w:val="single" w:sz="18" w:space="1" w:color="666666"/>
        <w:left w:val="single" w:sz="18" w:space="1" w:color="666666"/>
        <w:bottom w:val="single" w:sz="18" w:space="1" w:color="666666"/>
        <w:right w:val="single" w:sz="18" w:space="1" w:color="666666"/>
      </w:pBdr>
      <w:spacing w:before="567" w:after="567"/>
      <w:jc w:val="center"/>
    </w:pPr>
    <w:rPr>
      <w:rFonts w:eastAsia="Andale Sans UI" w:cs="Tahoma"/>
      <w:b/>
      <w:sz w:val="32"/>
      <w:szCs w:val="28"/>
    </w:rPr>
  </w:style>
  <w:style w:type="paragraph" w:styleId="Corpsdetexte">
    <w:name w:val="Body Text"/>
    <w:basedOn w:val="Normal"/>
    <w:pPr>
      <w:spacing w:lineRule="auto" w:line="276" w:before="0" w:after="140"/>
    </w:pPr>
    <w:rPr/>
  </w:style>
  <w:style w:type="paragraph" w:styleId="Liste">
    <w:name w:val="List"/>
    <w:basedOn w:val="Textbody"/>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ascii="Trebuchet MS" w:hAnsi="Trebuchet MS" w:eastAsia="Trebuchet MS" w:cs="Tahoma"/>
    </w:rPr>
  </w:style>
  <w:style w:type="paragraph" w:styleId="Standard" w:customStyle="1">
    <w:name w:val="Standard"/>
    <w:autoRedefine/>
    <w:qFormat/>
    <w:rsid w:val="005d482d"/>
    <w:pPr>
      <w:keepNext w:val="true"/>
      <w:keepLines/>
      <w:widowControl w:val="false"/>
      <w:suppressAutoHyphens w:val="true"/>
      <w:bidi w:val="0"/>
      <w:spacing w:before="0" w:after="0"/>
      <w:jc w:val="both"/>
      <w:textAlignment w:val="center"/>
    </w:pPr>
    <w:rPr>
      <w:rFonts w:ascii="Arial" w:hAnsi="Arial" w:eastAsia="Arial" w:cs="Arial"/>
      <w:color w:val="auto"/>
      <w:kern w:val="2"/>
      <w:sz w:val="21"/>
      <w:szCs w:val="24"/>
      <w:lang w:val="fr-FR"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Standard"/>
    <w:qFormat/>
    <w:pPr/>
    <w:rPr/>
  </w:style>
  <w:style w:type="paragraph" w:styleId="Entte">
    <w:name w:val="Header"/>
    <w:basedOn w:val="Standard"/>
    <w:pPr>
      <w:suppressLineNumbers/>
      <w:tabs>
        <w:tab w:val="clear" w:pos="408"/>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clear" w:pos="408"/>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clear" w:pos="408"/>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clear" w:pos="408"/>
        <w:tab w:val="right" w:pos="9241" w:leader="dot"/>
      </w:tabs>
      <w:spacing w:before="57" w:after="57"/>
      <w:ind w:left="170" w:hanging="0"/>
    </w:pPr>
    <w:rPr/>
  </w:style>
  <w:style w:type="paragraph" w:styleId="Contents4" w:customStyle="1">
    <w:name w:val="Contents 4"/>
    <w:basedOn w:val="Index"/>
    <w:qFormat/>
    <w:pPr>
      <w:tabs>
        <w:tab w:val="clear" w:pos="408"/>
        <w:tab w:val="right" w:pos="9128" w:leader="dot"/>
      </w:tabs>
      <w:spacing w:before="57" w:after="57"/>
      <w:ind w:left="340" w:hanging="0"/>
    </w:pPr>
    <w:rPr/>
  </w:style>
  <w:style w:type="paragraph" w:styleId="Contents5" w:customStyle="1">
    <w:name w:val="Contents 5"/>
    <w:basedOn w:val="Index"/>
    <w:qFormat/>
    <w:pPr>
      <w:tabs>
        <w:tab w:val="clear" w:pos="408"/>
        <w:tab w:val="right" w:pos="9015" w:leader="dot"/>
      </w:tabs>
      <w:spacing w:before="57" w:after="57"/>
      <w:ind w:left="510" w:hanging="0"/>
    </w:pPr>
    <w:rPr/>
  </w:style>
  <w:style w:type="paragraph" w:styleId="Indexpersonnalis1" w:customStyle="1">
    <w:name w:val="Index personnalisé 1"/>
    <w:basedOn w:val="Index"/>
    <w:qFormat/>
    <w:pPr>
      <w:tabs>
        <w:tab w:val="clear" w:pos="408"/>
        <w:tab w:val="right" w:pos="9637" w:leader="dot"/>
      </w:tabs>
    </w:pPr>
    <w:rPr/>
  </w:style>
  <w:style w:type="paragraph" w:styleId="Pieddepage">
    <w:name w:val="Footer"/>
    <w:basedOn w:val="Standard"/>
    <w:pPr>
      <w:suppressLineNumbers/>
      <w:pBdr>
        <w:top w:val="single" w:sz="2" w:space="0" w:color="000000"/>
        <w:left w:val="single" w:sz="2" w:space="0" w:color="000000"/>
        <w:bottom w:val="single" w:sz="2" w:space="0" w:color="000000"/>
        <w:right w:val="single" w:sz="2" w:space="0" w:color="000000"/>
      </w:pBdr>
      <w:tabs>
        <w:tab w:val="clear" w:pos="408"/>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lear" w:pos="408"/>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lear" w:pos="408"/>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next w:val="Textbody"/>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408"/>
        <w:tab w:val="right" w:pos="8300" w:leader="dot"/>
      </w:tabs>
      <w:ind w:left="2547" w:hanging="0"/>
    </w:pPr>
    <w:rPr/>
  </w:style>
  <w:style w:type="paragraph" w:styleId="Contents6" w:customStyle="1">
    <w:name w:val="Contents 6"/>
    <w:basedOn w:val="Index"/>
    <w:qFormat/>
    <w:pPr>
      <w:tabs>
        <w:tab w:val="clear" w:pos="408"/>
        <w:tab w:val="right" w:pos="8300" w:leader="dot"/>
      </w:tabs>
      <w:ind w:left="1415" w:hanging="0"/>
    </w:pPr>
    <w:rPr/>
  </w:style>
  <w:style w:type="paragraph" w:styleId="Contents7" w:customStyle="1">
    <w:name w:val="Contents 7"/>
    <w:basedOn w:val="Index"/>
    <w:qFormat/>
    <w:pPr>
      <w:tabs>
        <w:tab w:val="clear" w:pos="408"/>
        <w:tab w:val="right" w:pos="8300" w:leader="dot"/>
      </w:tabs>
      <w:ind w:left="1698" w:hanging="0"/>
    </w:pPr>
    <w:rPr/>
  </w:style>
  <w:style w:type="paragraph" w:styleId="Contents8" w:customStyle="1">
    <w:name w:val="Contents 8"/>
    <w:basedOn w:val="Index"/>
    <w:qFormat/>
    <w:pPr>
      <w:tabs>
        <w:tab w:val="clear" w:pos="408"/>
        <w:tab w:val="right" w:pos="8300" w:leader="dot"/>
      </w:tabs>
      <w:ind w:left="1981" w:hanging="0"/>
    </w:pPr>
    <w:rPr/>
  </w:style>
  <w:style w:type="paragraph" w:styleId="Contents9" w:customStyle="1">
    <w:name w:val="Contents 9"/>
    <w:basedOn w:val="Index"/>
    <w:qFormat/>
    <w:pPr>
      <w:tabs>
        <w:tab w:val="clear" w:pos="408"/>
        <w:tab w:val="right" w:pos="8300" w:leader="dot"/>
      </w:tabs>
      <w:ind w:left="2264" w:hanging="0"/>
    </w:pPr>
    <w:rPr/>
  </w:style>
  <w:style w:type="paragraph" w:styleId="BodyTextIndent" w:customStyle="1">
    <w:name w:val="Body Text Indent"/>
    <w:basedOn w:val="Textbody"/>
    <w:qFormat/>
    <w:pPr>
      <w:ind w:firstLine="283"/>
    </w:pPr>
    <w:rPr/>
  </w:style>
  <w:style w:type="paragraph" w:styleId="Alinangatif" w:customStyle="1">
    <w:name w:val="Alinéa négatif"/>
    <w:basedOn w:val="Textbody"/>
    <w:qFormat/>
    <w:pPr>
      <w:tabs>
        <w:tab w:val="clear" w:pos="408"/>
        <w:tab w:val="left" w:pos="567" w:leader="none"/>
      </w:tabs>
      <w:ind w:left="567" w:hanging="283"/>
    </w:pPr>
    <w:rPr/>
  </w:style>
  <w:style w:type="paragraph" w:styleId="Intitule" w:customStyle="1">
    <w:name w:val="Intitule"/>
    <w:basedOn w:val="Standard"/>
    <w:qFormat/>
    <w:pPr>
      <w:pBdr>
        <w:top w:val="single" w:sz="18" w:space="1" w:color="000000"/>
        <w:left w:val="single" w:sz="18" w:space="4" w:color="000000"/>
        <w:bottom w:val="single" w:sz="18" w:space="1" w:color="000000"/>
        <w:right w:val="single" w:sz="18" w:space="16" w:color="000000"/>
      </w:pBdr>
      <w:tabs>
        <w:tab w:val="clear" w:pos="408"/>
        <w:tab w:val="left" w:pos="0" w:leader="none"/>
      </w:tabs>
      <w:jc w:val="center"/>
    </w:pPr>
    <w:rPr>
      <w:b/>
      <w:color w:val="000000"/>
      <w:sz w:val="36"/>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0"/>
        <w:left w:val="single" w:sz="18" w:space="4" w:color="000000"/>
        <w:bottom w:val="single" w:sz="18" w:space="1" w:color="000000"/>
        <w:right w:val="single" w:sz="18" w:space="16" w:color="000000"/>
      </w:pBdr>
    </w:pPr>
    <w:rPr>
      <w:sz w:val="44"/>
      <w:szCs w:val="44"/>
    </w:rPr>
  </w:style>
  <w:style w:type="paragraph" w:styleId="NumeroConsultation" w:customStyle="1">
    <w:name w:val="NumeroConsultation"/>
    <w:basedOn w:val="Standard"/>
    <w:qFormat/>
    <w:pPr>
      <w:tabs>
        <w:tab w:val="clear" w:pos="408"/>
        <w:tab w:val="left" w:pos="3600" w:leader="none"/>
      </w:tabs>
      <w:ind w:left="3600" w:hanging="3600"/>
      <w:jc w:val="center"/>
    </w:pPr>
    <w:rPr>
      <w:b/>
      <w:color w:val="000000"/>
      <w:sz w:val="24"/>
      <w:szCs w:val="20"/>
    </w:rPr>
  </w:style>
  <w:style w:type="paragraph" w:styleId="Procedure" w:customStyle="1">
    <w:name w:val="Procedure"/>
    <w:basedOn w:val="Standard"/>
    <w:qFormat/>
    <w:pPr>
      <w:tabs>
        <w:tab w:val="clear" w:pos="408"/>
        <w:tab w:val="left" w:pos="3600" w:leader="none"/>
      </w:tabs>
      <w:ind w:left="3600" w:hanging="3600"/>
      <w:jc w:val="center"/>
    </w:pPr>
    <w:rPr>
      <w:b/>
      <w:color w:val="000000"/>
      <w:sz w:val="24"/>
      <w:szCs w:val="20"/>
    </w:rPr>
  </w:style>
  <w:style w:type="paragraph" w:styleId="DateLimite" w:customStyle="1">
    <w:name w:val="DateLimite"/>
    <w:basedOn w:val="Standard"/>
    <w:qFormat/>
    <w:pPr>
      <w:tabs>
        <w:tab w:val="clear" w:pos="408"/>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auto" w:val="clear"/>
    </w:rPr>
  </w:style>
  <w:style w:type="paragraph" w:styleId="Tableau" w:customStyle="1">
    <w:name w:val="Tableau"/>
    <w:basedOn w:val="Caption"/>
    <w:qFormat/>
    <w:pPr/>
    <w:rPr>
      <w:i w:val="false"/>
    </w:rPr>
  </w:style>
  <w:style w:type="paragraph" w:styleId="Indexlexicaltitre">
    <w:name w:val="Index Heading"/>
    <w:basedOn w:val="Titre"/>
    <w:pPr/>
    <w:rPr/>
  </w:style>
  <w:style w:type="paragraph" w:styleId="Titredetabledesmatires">
    <w:name w:val="TOC Heading"/>
    <w:basedOn w:val="Titre1"/>
    <w:next w:val="Normal"/>
    <w:uiPriority w:val="39"/>
    <w:unhideWhenUsed/>
    <w:qFormat/>
    <w:rsid w:val="00954f35"/>
    <w:pPr>
      <w:widowControl/>
      <w:numPr>
        <w:ilvl w:val="0"/>
        <w:numId w:val="0"/>
      </w:numPr>
      <w:suppressAutoHyphens w:val="false"/>
      <w:spacing w:lineRule="auto" w:line="259" w:before="240" w:after="567"/>
      <w:jc w:val="left"/>
      <w:textAlignment w:val="auto"/>
      <w:outlineLvl w:val="9"/>
    </w:pPr>
    <w:rPr>
      <w:rFonts w:ascii="Calibri Light" w:hAnsi="Calibri Light" w:eastAsia="" w:cs="" w:asciiTheme="majorHAnsi" w:cstheme="majorBidi" w:eastAsiaTheme="majorEastAsia" w:hAnsiTheme="majorHAnsi"/>
      <w:color w:val="2E74B5" w:themeColor="accent1" w:themeShade="bf"/>
      <w:kern w:val="0"/>
      <w:sz w:val="32"/>
      <w:szCs w:val="32"/>
      <w:lang w:eastAsia="fr-FR" w:bidi="ar-SA"/>
    </w:rPr>
  </w:style>
  <w:style w:type="paragraph" w:styleId="Tabledesmatiresniveau1">
    <w:name w:val="TOC 1"/>
    <w:basedOn w:val="Normal"/>
    <w:next w:val="Normal"/>
    <w:autoRedefine/>
    <w:uiPriority w:val="39"/>
    <w:unhideWhenUsed/>
    <w:rsid w:val="00954f35"/>
    <w:pPr>
      <w:spacing w:before="0" w:after="100"/>
    </w:pPr>
    <w:rPr/>
  </w:style>
  <w:style w:type="paragraph" w:styleId="Tabledesmatiresniveau2">
    <w:name w:val="TOC 2"/>
    <w:basedOn w:val="Normal"/>
    <w:next w:val="Normal"/>
    <w:autoRedefine/>
    <w:uiPriority w:val="39"/>
    <w:unhideWhenUsed/>
    <w:rsid w:val="00954f35"/>
    <w:pPr>
      <w:spacing w:before="0" w:after="100"/>
      <w:ind w:left="240" w:hanging="0"/>
    </w:pPr>
    <w:rPr/>
  </w:style>
  <w:style w:type="paragraph" w:styleId="Tabledesmatiresniveau3">
    <w:name w:val="TOC 3"/>
    <w:basedOn w:val="Normal"/>
    <w:next w:val="Normal"/>
    <w:autoRedefine/>
    <w:uiPriority w:val="39"/>
    <w:unhideWhenUsed/>
    <w:rsid w:val="00954f35"/>
    <w:pPr>
      <w:spacing w:before="0" w:after="100"/>
      <w:ind w:left="480" w:hanging="0"/>
    </w:pPr>
    <w:rPr/>
  </w:style>
  <w:style w:type="numbering" w:styleId="NoList" w:default="1">
    <w:name w:val="No List"/>
    <w:uiPriority w:val="99"/>
    <w:semiHidden/>
    <w:unhideWhenUsed/>
    <w:qFormat/>
  </w:style>
  <w:style w:type="numbering" w:styleId="Puce" w:customStyle="1">
    <w:name w:val="Puce •"/>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Numbering1" w:customStyle="1">
    <w:name w:val="Numbering 1"/>
    <w:qFormat/>
  </w:style>
  <w:style w:type="numbering" w:styleId="Numbering2" w:customStyle="1">
    <w:name w:val="Numbering 2"/>
    <w:qFormat/>
  </w:style>
  <w:style w:type="numbering" w:styleId="Numbering3" w:customStyle="1">
    <w:name w:val="Numbering 3"/>
    <w:qFormat/>
  </w:style>
  <w:style w:type="numbering" w:styleId="Numbering4" w:customStyle="1">
    <w:name w:val="Numbering 4"/>
    <w:qFormat/>
  </w:style>
  <w:style w:type="numbering" w:styleId="Numbering5" w:customStyle="1">
    <w:name w:val="Numbering 5"/>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see.fr/fr/statistiques/serie/010562706"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CAA1-D0FF-4BF9-8135-FF4AEE45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Application>LibreOffice/7.2.7.2$Windows_x86 LibreOffice_project/8d71d29d553c0f7dcbfa38fbfda25ee34cce99a2</Application>
  <AppVersion>15.0000</AppVersion>
  <Pages>23</Pages>
  <Words>5732</Words>
  <Characters>31049</Characters>
  <CharactersWithSpaces>36427</CharactersWithSpaces>
  <Paragraphs>359</Paragraphs>
  <Company>VDM-BMPM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2022-04-11T11:33:00Z</dcterms:created>
  <dc:creator>PEREZ Michael</dc:creator>
  <dc:description/>
  <dc:language>fr-FR</dc:language>
  <cp:lastModifiedBy/>
  <dcterms:modified xsi:type="dcterms:W3CDTF">2023-10-02T07:37:44Z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