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1A" w:rsidRDefault="0045311A">
      <w:pPr>
        <w:pStyle w:val="Standard20"/>
        <w:rPr>
          <w:sz w:val="21"/>
          <w:szCs w:val="21"/>
        </w:rPr>
      </w:pPr>
    </w:p>
    <w:p w:rsidR="0045311A" w:rsidRDefault="0045311A">
      <w:pPr>
        <w:pStyle w:val="PA"/>
        <w:rPr>
          <w:rFonts w:ascii="Calibri" w:hAnsi="Calibri"/>
          <w:sz w:val="21"/>
          <w:szCs w:val="21"/>
        </w:rPr>
      </w:pPr>
    </w:p>
    <w:p w:rsidR="0045311A" w:rsidRDefault="0056238B">
      <w:pPr>
        <w:pStyle w:val="PA"/>
        <w:rPr>
          <w:rFonts w:ascii="Calibri" w:hAnsi="Calibri"/>
          <w:sz w:val="21"/>
          <w:szCs w:val="21"/>
        </w:rPr>
      </w:pPr>
      <w:r>
        <w:rPr>
          <w:rFonts w:ascii="Calibri" w:hAnsi="Calibri"/>
          <w:sz w:val="21"/>
          <w:szCs w:val="21"/>
        </w:rPr>
        <w:t>Ville de Marseille - Mairie de Marseille</w:t>
      </w:r>
    </w:p>
    <w:p w:rsidR="0045311A" w:rsidRDefault="0045311A">
      <w:pPr>
        <w:pStyle w:val="Textbody"/>
        <w:rPr>
          <w:rFonts w:ascii="Calibri" w:hAnsi="Calibri"/>
          <w:szCs w:val="21"/>
        </w:rPr>
      </w:pPr>
    </w:p>
    <w:p w:rsidR="0045311A" w:rsidRDefault="0056238B">
      <w:pPr>
        <w:pStyle w:val="Direction"/>
        <w:rPr>
          <w:rFonts w:ascii="Calibri" w:hAnsi="Calibri"/>
          <w:sz w:val="21"/>
          <w:szCs w:val="21"/>
        </w:rPr>
      </w:pPr>
      <w:r>
        <w:rPr>
          <w:rFonts w:ascii="Calibri" w:hAnsi="Calibri"/>
          <w:sz w:val="21"/>
          <w:szCs w:val="21"/>
        </w:rPr>
        <w:t>DGAJSP-DPMS (03012)</w:t>
      </w: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56238B">
      <w:pPr>
        <w:pStyle w:val="TypeDocument3"/>
        <w:rPr>
          <w:rFonts w:ascii="Calibri" w:hAnsi="Calibri"/>
          <w:sz w:val="21"/>
          <w:szCs w:val="21"/>
        </w:rPr>
      </w:pPr>
      <w:r>
        <w:rPr>
          <w:rFonts w:ascii="Calibri" w:hAnsi="Calibri"/>
          <w:sz w:val="21"/>
          <w:szCs w:val="21"/>
        </w:rPr>
        <w:t>REGLEMENT DE CONSULTATION</w:t>
      </w: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45311A">
      <w:pPr>
        <w:pStyle w:val="Intitule2"/>
        <w:rPr>
          <w:rFonts w:ascii="Calibri" w:hAnsi="Calibri"/>
          <w:sz w:val="21"/>
          <w:szCs w:val="21"/>
        </w:rPr>
      </w:pPr>
    </w:p>
    <w:p w:rsidR="0045311A" w:rsidRDefault="0056238B">
      <w:pPr>
        <w:pStyle w:val="Intitule2"/>
        <w:rPr>
          <w:rFonts w:ascii="Calibri" w:hAnsi="Calibri"/>
          <w:sz w:val="21"/>
          <w:szCs w:val="21"/>
        </w:rPr>
      </w:pPr>
      <w:r>
        <w:rPr>
          <w:rFonts w:ascii="Calibri" w:hAnsi="Calibri"/>
          <w:sz w:val="21"/>
          <w:szCs w:val="21"/>
        </w:rPr>
        <w:t xml:space="preserve">Fourniture et livraison de matériels et accessoires de formation, de sécurité et de </w:t>
      </w:r>
      <w:r>
        <w:rPr>
          <w:rFonts w:ascii="Calibri" w:hAnsi="Calibri"/>
          <w:sz w:val="21"/>
          <w:szCs w:val="21"/>
        </w:rPr>
        <w:t>protection pour les policiers municipaux de Marseille</w:t>
      </w:r>
    </w:p>
    <w:p w:rsidR="0045311A" w:rsidRDefault="0045311A">
      <w:pPr>
        <w:pStyle w:val="Intitule2"/>
        <w:rPr>
          <w:rFonts w:ascii="Calibri" w:hAnsi="Calibri"/>
          <w:sz w:val="21"/>
          <w:szCs w:val="21"/>
        </w:rPr>
      </w:pP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45311A">
      <w:pPr>
        <w:pStyle w:val="Textbody"/>
        <w:rPr>
          <w:rFonts w:ascii="Calibri" w:hAnsi="Calibri"/>
          <w:szCs w:val="21"/>
        </w:rPr>
      </w:pPr>
    </w:p>
    <w:p w:rsidR="0045311A" w:rsidRDefault="0056238B">
      <w:pPr>
        <w:pStyle w:val="NumeroConsultation"/>
        <w:ind w:hanging="3092"/>
        <w:jc w:val="left"/>
        <w:rPr>
          <w:rFonts w:ascii="Calibri" w:hAnsi="Calibri"/>
          <w:sz w:val="21"/>
          <w:szCs w:val="21"/>
        </w:rPr>
      </w:pPr>
      <w:r>
        <w:rPr>
          <w:rFonts w:ascii="Calibri" w:hAnsi="Calibri"/>
          <w:bCs/>
          <w:sz w:val="21"/>
          <w:szCs w:val="21"/>
          <w:u w:val="single"/>
        </w:rPr>
        <w:t>Numéro de la consultation</w:t>
      </w:r>
      <w:r>
        <w:rPr>
          <w:rFonts w:ascii="Calibri" w:hAnsi="Calibri"/>
          <w:bCs/>
          <w:sz w:val="21"/>
          <w:szCs w:val="21"/>
          <w:u w:val="single"/>
        </w:rPr>
        <w:tab/>
        <w:t>:</w:t>
      </w:r>
      <w:r>
        <w:rPr>
          <w:rFonts w:ascii="Calibri" w:hAnsi="Calibri"/>
          <w:bCs/>
          <w:sz w:val="21"/>
          <w:szCs w:val="21"/>
        </w:rPr>
        <w:tab/>
      </w:r>
      <w:r>
        <w:rPr>
          <w:rFonts w:ascii="Calibri" w:hAnsi="Calibri"/>
          <w:bCs/>
          <w:sz w:val="21"/>
          <w:szCs w:val="21"/>
          <w:shd w:val="clear" w:color="auto" w:fill="FFFFFF"/>
        </w:rPr>
        <w:t>23_3117</w:t>
      </w:r>
    </w:p>
    <w:p w:rsidR="0045311A" w:rsidRDefault="0045311A">
      <w:pPr>
        <w:pStyle w:val="Standard"/>
        <w:rPr>
          <w:rFonts w:cs="Arial"/>
          <w:color w:val="000000"/>
          <w:szCs w:val="21"/>
          <w:shd w:val="clear" w:color="auto" w:fill="FFFFFF"/>
        </w:rPr>
      </w:pPr>
    </w:p>
    <w:p w:rsidR="0045311A" w:rsidRDefault="0045311A">
      <w:pPr>
        <w:pStyle w:val="Standard"/>
        <w:rPr>
          <w:color w:val="000000"/>
          <w:szCs w:val="21"/>
        </w:rPr>
      </w:pPr>
    </w:p>
    <w:p w:rsidR="0045311A" w:rsidRDefault="0056238B">
      <w:pPr>
        <w:pStyle w:val="Procedure"/>
        <w:ind w:left="4292" w:hanging="3762"/>
        <w:jc w:val="left"/>
        <w:rPr>
          <w:rFonts w:ascii="Calibri" w:hAnsi="Calibri"/>
          <w:sz w:val="21"/>
          <w:szCs w:val="21"/>
        </w:rPr>
      </w:pPr>
      <w:r>
        <w:rPr>
          <w:rFonts w:ascii="Calibri" w:hAnsi="Calibri"/>
          <w:bCs/>
          <w:sz w:val="21"/>
          <w:szCs w:val="21"/>
          <w:u w:val="single"/>
        </w:rPr>
        <w:t>Procédure de passation :</w:t>
      </w:r>
      <w:r>
        <w:rPr>
          <w:rFonts w:ascii="Calibri" w:hAnsi="Calibri"/>
          <w:bCs/>
          <w:sz w:val="21"/>
          <w:szCs w:val="21"/>
        </w:rPr>
        <w:tab/>
      </w:r>
      <w:r>
        <w:rPr>
          <w:rFonts w:ascii="Calibri" w:hAnsi="Calibri"/>
          <w:bCs/>
          <w:sz w:val="21"/>
          <w:szCs w:val="21"/>
          <w:shd w:val="clear" w:color="auto" w:fill="FFFFFF"/>
        </w:rPr>
        <w:t>Procédure adaptée</w:t>
      </w:r>
    </w:p>
    <w:p w:rsidR="0045311A" w:rsidRDefault="0045311A">
      <w:pPr>
        <w:pStyle w:val="Standard"/>
        <w:tabs>
          <w:tab w:val="left" w:pos="3600"/>
        </w:tabs>
        <w:ind w:left="3600" w:hanging="3600"/>
        <w:rPr>
          <w:rFonts w:cs="Arial"/>
          <w:b/>
          <w:bCs/>
          <w:color w:val="000000"/>
          <w:szCs w:val="21"/>
          <w:shd w:val="clear" w:color="auto" w:fill="FFFFFF"/>
        </w:rPr>
      </w:pPr>
    </w:p>
    <w:p w:rsidR="0045311A" w:rsidRDefault="0045311A">
      <w:pPr>
        <w:pStyle w:val="DateLimite"/>
        <w:ind w:left="4269" w:hanging="3762"/>
        <w:jc w:val="left"/>
        <w:rPr>
          <w:rFonts w:ascii="Calibri" w:hAnsi="Calibri"/>
          <w:bCs/>
          <w:sz w:val="21"/>
          <w:szCs w:val="21"/>
          <w:u w:val="single"/>
        </w:rPr>
      </w:pPr>
    </w:p>
    <w:p w:rsidR="0045311A" w:rsidRDefault="0056238B">
      <w:pPr>
        <w:pStyle w:val="DateLimite"/>
        <w:ind w:left="4269" w:hanging="3762"/>
        <w:jc w:val="left"/>
        <w:rPr>
          <w:rFonts w:ascii="Calibri" w:hAnsi="Calibri"/>
          <w:sz w:val="21"/>
          <w:szCs w:val="21"/>
        </w:rPr>
      </w:pPr>
      <w:r>
        <w:rPr>
          <w:rFonts w:ascii="Calibri" w:hAnsi="Calibri"/>
          <w:bCs/>
          <w:sz w:val="21"/>
          <w:szCs w:val="21"/>
          <w:u w:val="single"/>
        </w:rPr>
        <w:t>Date de notification :</w:t>
      </w:r>
      <w:r>
        <w:rPr>
          <w:rFonts w:ascii="Calibri" w:hAnsi="Calibri"/>
          <w:b w:val="0"/>
          <w:sz w:val="21"/>
          <w:szCs w:val="21"/>
        </w:rPr>
        <w:tab/>
      </w:r>
    </w:p>
    <w:p w:rsidR="0045311A" w:rsidRDefault="0045311A">
      <w:pPr>
        <w:pStyle w:val="Standard"/>
        <w:rPr>
          <w:szCs w:val="21"/>
        </w:rPr>
      </w:pPr>
    </w:p>
    <w:p w:rsidR="0045311A" w:rsidRDefault="0045311A">
      <w:pPr>
        <w:pStyle w:val="Standard"/>
        <w:rPr>
          <w:szCs w:val="21"/>
        </w:rPr>
      </w:pPr>
    </w:p>
    <w:p w:rsidR="0045311A" w:rsidRDefault="0045311A">
      <w:pPr>
        <w:pStyle w:val="Standard"/>
        <w:tabs>
          <w:tab w:val="left" w:pos="3600"/>
        </w:tabs>
        <w:ind w:left="3600" w:hanging="3600"/>
        <w:rPr>
          <w:rFonts w:cs="Arial"/>
          <w:b/>
          <w:bCs/>
          <w:color w:val="000000"/>
          <w:szCs w:val="21"/>
          <w:shd w:val="clear" w:color="auto" w:fill="FFFFFF"/>
        </w:rPr>
      </w:pPr>
    </w:p>
    <w:p w:rsidR="0045311A" w:rsidRDefault="0056238B">
      <w:pPr>
        <w:pStyle w:val="ContentsHeading"/>
        <w:pageBreakBefore/>
        <w:tabs>
          <w:tab w:val="right" w:leader="dot" w:pos="9406"/>
        </w:tabs>
        <w:rPr>
          <w:rFonts w:ascii="Calibri" w:hAnsi="Calibri"/>
          <w:sz w:val="21"/>
          <w:szCs w:val="21"/>
        </w:rPr>
      </w:pPr>
      <w:r>
        <w:rPr>
          <w:rFonts w:ascii="Calibri" w:eastAsia="Calibri" w:hAnsi="Calibri" w:cs="Calibri"/>
          <w:b w:val="0"/>
          <w:bCs w:val="0"/>
          <w:sz w:val="21"/>
          <w:szCs w:val="24"/>
        </w:rPr>
        <w:lastRenderedPageBreak/>
        <w:fldChar w:fldCharType="begin"/>
      </w:r>
      <w:r>
        <w:instrText xml:space="preserve"> TOC \o "1-4" \u \l 1-4 </w:instrText>
      </w:r>
      <w:r>
        <w:rPr>
          <w:rFonts w:ascii="Calibri" w:eastAsia="Calibri" w:hAnsi="Calibri" w:cs="Calibri"/>
          <w:b w:val="0"/>
          <w:bCs w:val="0"/>
          <w:sz w:val="21"/>
          <w:szCs w:val="24"/>
        </w:rPr>
        <w:fldChar w:fldCharType="separate"/>
      </w:r>
      <w:r>
        <w:rPr>
          <w:rFonts w:ascii="Calibri" w:hAnsi="Calibri"/>
          <w:sz w:val="21"/>
          <w:szCs w:val="21"/>
        </w:rPr>
        <w:t>Sommaire</w:t>
      </w:r>
    </w:p>
    <w:p w:rsidR="0045311A" w:rsidRDefault="0056238B">
      <w:pPr>
        <w:pStyle w:val="Contents1"/>
        <w:tabs>
          <w:tab w:val="clear" w:pos="9637"/>
          <w:tab w:val="right" w:leader="dot" w:pos="8300"/>
        </w:tabs>
      </w:pPr>
      <w:r>
        <w:rPr>
          <w:rStyle w:val="StrongEmphasis"/>
          <w:rFonts w:ascii="Calibri" w:hAnsi="Calibri"/>
          <w:szCs w:val="21"/>
        </w:rPr>
        <w:t>Article 1 -</w:t>
      </w:r>
      <w:r>
        <w:rPr>
          <w:rFonts w:ascii="Calibri" w:hAnsi="Calibri"/>
          <w:szCs w:val="21"/>
        </w:rPr>
        <w:t xml:space="preserve">  </w:t>
      </w:r>
      <w:r>
        <w:rPr>
          <w:rStyle w:val="StrongEmphasis"/>
          <w:rFonts w:ascii="Calibri" w:hAnsi="Calibri"/>
          <w:szCs w:val="21"/>
        </w:rPr>
        <w:t>GENERALITES</w:t>
      </w:r>
      <w:r>
        <w:rPr>
          <w:rFonts w:ascii="Calibri" w:hAnsi="Calibri"/>
          <w:szCs w:val="21"/>
        </w:rPr>
        <w:tab/>
        <w:t>4</w:t>
      </w:r>
    </w:p>
    <w:p w:rsidR="0045311A" w:rsidRDefault="0056238B">
      <w:pPr>
        <w:pStyle w:val="Contents2"/>
        <w:tabs>
          <w:tab w:val="right" w:leader="dot" w:pos="8300"/>
        </w:tabs>
        <w:rPr>
          <w:rFonts w:ascii="Calibri" w:hAnsi="Calibri"/>
          <w:szCs w:val="21"/>
        </w:rPr>
      </w:pPr>
      <w:r>
        <w:rPr>
          <w:rFonts w:ascii="Calibri" w:hAnsi="Calibri"/>
          <w:szCs w:val="21"/>
        </w:rPr>
        <w:t>1.1  Objet et description de la consultation</w:t>
      </w:r>
      <w:r>
        <w:rPr>
          <w:rFonts w:ascii="Calibri" w:hAnsi="Calibri"/>
          <w:szCs w:val="21"/>
        </w:rPr>
        <w:tab/>
        <w:t>4</w:t>
      </w:r>
    </w:p>
    <w:p w:rsidR="0045311A" w:rsidRDefault="0056238B">
      <w:pPr>
        <w:pStyle w:val="Contents2"/>
        <w:tabs>
          <w:tab w:val="right" w:leader="dot" w:pos="8300"/>
        </w:tabs>
        <w:rPr>
          <w:rFonts w:ascii="Calibri" w:hAnsi="Calibri"/>
          <w:szCs w:val="21"/>
        </w:rPr>
      </w:pPr>
      <w:r>
        <w:rPr>
          <w:rFonts w:ascii="Calibri" w:hAnsi="Calibri"/>
          <w:szCs w:val="21"/>
        </w:rPr>
        <w:t>1.2  Nature</w:t>
      </w:r>
      <w:r>
        <w:rPr>
          <w:rFonts w:ascii="Calibri" w:hAnsi="Calibri"/>
          <w:szCs w:val="21"/>
        </w:rPr>
        <w:tab/>
        <w:t>4</w:t>
      </w:r>
    </w:p>
    <w:p w:rsidR="0045311A" w:rsidRDefault="0056238B">
      <w:pPr>
        <w:pStyle w:val="Contents2"/>
        <w:tabs>
          <w:tab w:val="right" w:leader="dot" w:pos="8300"/>
        </w:tabs>
        <w:rPr>
          <w:rFonts w:ascii="Calibri" w:hAnsi="Calibri"/>
          <w:szCs w:val="21"/>
        </w:rPr>
      </w:pPr>
      <w:r>
        <w:rPr>
          <w:rFonts w:ascii="Calibri" w:hAnsi="Calibri"/>
          <w:szCs w:val="21"/>
        </w:rPr>
        <w:t>1.3  Pouvoir adjudicateur</w:t>
      </w:r>
      <w:r>
        <w:rPr>
          <w:rFonts w:ascii="Calibri" w:hAnsi="Calibri"/>
          <w:szCs w:val="21"/>
        </w:rPr>
        <w:tab/>
        <w:t>4</w:t>
      </w:r>
    </w:p>
    <w:p w:rsidR="0045311A" w:rsidRDefault="0056238B">
      <w:pPr>
        <w:pStyle w:val="Contents2"/>
        <w:tabs>
          <w:tab w:val="right" w:leader="dot" w:pos="8300"/>
        </w:tabs>
        <w:rPr>
          <w:rFonts w:ascii="Calibri" w:hAnsi="Calibri"/>
          <w:szCs w:val="21"/>
        </w:rPr>
      </w:pPr>
      <w:r>
        <w:rPr>
          <w:rFonts w:ascii="Calibri" w:hAnsi="Calibri"/>
          <w:szCs w:val="21"/>
        </w:rPr>
        <w:t>1.4  Procédure</w:t>
      </w:r>
      <w:r>
        <w:rPr>
          <w:rFonts w:ascii="Calibri" w:hAnsi="Calibri"/>
          <w:szCs w:val="21"/>
        </w:rPr>
        <w:tab/>
        <w:t>4</w:t>
      </w:r>
    </w:p>
    <w:p w:rsidR="0045311A" w:rsidRDefault="0056238B">
      <w:pPr>
        <w:pStyle w:val="Contents1"/>
        <w:tabs>
          <w:tab w:val="clear" w:pos="9637"/>
          <w:tab w:val="right" w:leader="dot" w:pos="8300"/>
        </w:tabs>
      </w:pPr>
      <w:r>
        <w:rPr>
          <w:rStyle w:val="StrongEmphasis"/>
          <w:rFonts w:ascii="Calibri" w:hAnsi="Calibri"/>
          <w:szCs w:val="21"/>
        </w:rPr>
        <w:t>Article 2 -</w:t>
      </w:r>
      <w:r>
        <w:rPr>
          <w:rFonts w:ascii="Calibri" w:hAnsi="Calibri"/>
          <w:szCs w:val="21"/>
        </w:rPr>
        <w:t xml:space="preserve">  </w:t>
      </w:r>
      <w:r>
        <w:rPr>
          <w:rStyle w:val="StrongEmphasis"/>
          <w:rFonts w:ascii="Calibri" w:hAnsi="Calibri"/>
          <w:szCs w:val="21"/>
        </w:rPr>
        <w:t>CARACTERISTIQUES DE LA CONSULTATION</w:t>
      </w:r>
      <w:r>
        <w:rPr>
          <w:rFonts w:ascii="Calibri" w:hAnsi="Calibri"/>
          <w:szCs w:val="21"/>
        </w:rPr>
        <w:tab/>
        <w:t>4</w:t>
      </w:r>
    </w:p>
    <w:p w:rsidR="0045311A" w:rsidRDefault="0056238B">
      <w:pPr>
        <w:pStyle w:val="Contents2"/>
        <w:tabs>
          <w:tab w:val="right" w:leader="dot" w:pos="8300"/>
        </w:tabs>
        <w:rPr>
          <w:rFonts w:ascii="Calibri" w:hAnsi="Calibri"/>
          <w:szCs w:val="21"/>
        </w:rPr>
      </w:pPr>
      <w:r>
        <w:rPr>
          <w:rFonts w:ascii="Calibri" w:hAnsi="Calibri"/>
          <w:szCs w:val="21"/>
        </w:rPr>
        <w:t>2.1  Décomposition en lots, tranches et postes</w:t>
      </w:r>
      <w:r>
        <w:rPr>
          <w:rFonts w:ascii="Calibri" w:hAnsi="Calibri"/>
          <w:szCs w:val="21"/>
        </w:rPr>
        <w:tab/>
        <w:t>4</w:t>
      </w:r>
    </w:p>
    <w:p w:rsidR="0045311A" w:rsidRDefault="0056238B">
      <w:pPr>
        <w:pStyle w:val="Contents3"/>
        <w:tabs>
          <w:tab w:val="clear" w:pos="9241"/>
          <w:tab w:val="right" w:leader="dot" w:pos="8300"/>
        </w:tabs>
        <w:rPr>
          <w:rFonts w:ascii="Calibri" w:hAnsi="Calibri"/>
          <w:szCs w:val="21"/>
        </w:rPr>
      </w:pPr>
      <w:r>
        <w:rPr>
          <w:rFonts w:ascii="Calibri" w:hAnsi="Calibri"/>
          <w:szCs w:val="21"/>
        </w:rPr>
        <w:t>2.1.1  Décomposition en lots</w:t>
      </w:r>
      <w:r>
        <w:rPr>
          <w:rFonts w:ascii="Calibri" w:hAnsi="Calibri"/>
          <w:szCs w:val="21"/>
        </w:rPr>
        <w:tab/>
        <w:t>4</w:t>
      </w:r>
    </w:p>
    <w:p w:rsidR="0045311A" w:rsidRDefault="0056238B">
      <w:pPr>
        <w:pStyle w:val="Contents3"/>
        <w:tabs>
          <w:tab w:val="clear" w:pos="9241"/>
          <w:tab w:val="right" w:leader="dot" w:pos="8300"/>
        </w:tabs>
        <w:rPr>
          <w:rFonts w:ascii="Calibri" w:hAnsi="Calibri"/>
          <w:szCs w:val="21"/>
        </w:rPr>
      </w:pPr>
      <w:r>
        <w:rPr>
          <w:rFonts w:ascii="Calibri" w:hAnsi="Calibri"/>
          <w:szCs w:val="21"/>
        </w:rPr>
        <w:t>2.1</w:t>
      </w:r>
      <w:r>
        <w:rPr>
          <w:rFonts w:ascii="Calibri" w:hAnsi="Calibri"/>
          <w:szCs w:val="21"/>
        </w:rPr>
        <w:t>.2  Décomposition en tranches</w:t>
      </w:r>
      <w:r>
        <w:rPr>
          <w:rFonts w:ascii="Calibri" w:hAnsi="Calibri"/>
          <w:szCs w:val="21"/>
        </w:rPr>
        <w:tab/>
        <w:t>5</w:t>
      </w:r>
    </w:p>
    <w:p w:rsidR="0045311A" w:rsidRDefault="0056238B">
      <w:pPr>
        <w:pStyle w:val="Contents3"/>
        <w:tabs>
          <w:tab w:val="clear" w:pos="9241"/>
          <w:tab w:val="right" w:leader="dot" w:pos="8300"/>
        </w:tabs>
        <w:rPr>
          <w:rFonts w:ascii="Calibri" w:hAnsi="Calibri"/>
          <w:szCs w:val="21"/>
        </w:rPr>
      </w:pPr>
      <w:r>
        <w:rPr>
          <w:rFonts w:ascii="Calibri" w:hAnsi="Calibri"/>
          <w:szCs w:val="21"/>
        </w:rPr>
        <w:t>2.1.3  Décomposition en postes</w:t>
      </w:r>
      <w:r>
        <w:rPr>
          <w:rFonts w:ascii="Calibri" w:hAnsi="Calibri"/>
          <w:szCs w:val="21"/>
        </w:rPr>
        <w:tab/>
        <w:t>5</w:t>
      </w:r>
    </w:p>
    <w:p w:rsidR="0045311A" w:rsidRDefault="0056238B">
      <w:pPr>
        <w:pStyle w:val="Contents2"/>
        <w:tabs>
          <w:tab w:val="right" w:leader="dot" w:pos="8300"/>
        </w:tabs>
        <w:rPr>
          <w:rFonts w:ascii="Calibri" w:hAnsi="Calibri"/>
          <w:szCs w:val="21"/>
        </w:rPr>
      </w:pPr>
      <w:r>
        <w:rPr>
          <w:rFonts w:ascii="Calibri" w:hAnsi="Calibri"/>
          <w:szCs w:val="21"/>
        </w:rPr>
        <w:t>2.2  Accord-cadre à bons de commande</w:t>
      </w:r>
      <w:r>
        <w:rPr>
          <w:rFonts w:ascii="Calibri" w:hAnsi="Calibri"/>
          <w:szCs w:val="21"/>
        </w:rPr>
        <w:tab/>
        <w:t>5</w:t>
      </w:r>
    </w:p>
    <w:p w:rsidR="0045311A" w:rsidRDefault="0056238B">
      <w:pPr>
        <w:pStyle w:val="Contents2"/>
        <w:tabs>
          <w:tab w:val="right" w:leader="dot" w:pos="8300"/>
        </w:tabs>
        <w:rPr>
          <w:rFonts w:ascii="Calibri" w:hAnsi="Calibri"/>
          <w:szCs w:val="21"/>
        </w:rPr>
      </w:pPr>
      <w:r>
        <w:rPr>
          <w:rFonts w:ascii="Calibri" w:hAnsi="Calibri"/>
          <w:szCs w:val="21"/>
        </w:rPr>
        <w:t>2.3  Durée</w:t>
      </w:r>
      <w:r>
        <w:rPr>
          <w:rFonts w:ascii="Calibri" w:hAnsi="Calibri"/>
          <w:szCs w:val="21"/>
        </w:rPr>
        <w:tab/>
        <w:t>5</w:t>
      </w:r>
    </w:p>
    <w:p w:rsidR="0045311A" w:rsidRDefault="0056238B">
      <w:pPr>
        <w:pStyle w:val="Contents2"/>
        <w:tabs>
          <w:tab w:val="right" w:leader="dot" w:pos="8300"/>
        </w:tabs>
        <w:rPr>
          <w:rFonts w:ascii="Calibri" w:hAnsi="Calibri"/>
          <w:szCs w:val="21"/>
        </w:rPr>
      </w:pPr>
      <w:r>
        <w:rPr>
          <w:rFonts w:ascii="Calibri" w:hAnsi="Calibri"/>
          <w:szCs w:val="21"/>
        </w:rPr>
        <w:t>2.4  Options</w:t>
      </w:r>
      <w:r>
        <w:rPr>
          <w:rFonts w:ascii="Calibri" w:hAnsi="Calibri"/>
          <w:szCs w:val="21"/>
        </w:rPr>
        <w:tab/>
        <w:t>6</w:t>
      </w:r>
    </w:p>
    <w:p w:rsidR="0045311A" w:rsidRDefault="0056238B">
      <w:pPr>
        <w:pStyle w:val="Contents2"/>
        <w:tabs>
          <w:tab w:val="right" w:leader="dot" w:pos="8300"/>
        </w:tabs>
        <w:rPr>
          <w:rFonts w:ascii="Calibri" w:hAnsi="Calibri"/>
          <w:szCs w:val="21"/>
        </w:rPr>
      </w:pPr>
      <w:r>
        <w:rPr>
          <w:rFonts w:ascii="Calibri" w:hAnsi="Calibri"/>
          <w:szCs w:val="21"/>
        </w:rPr>
        <w:t>2.5  Clause obligatoire d'insertion par l'activité économique</w:t>
      </w:r>
      <w:r>
        <w:rPr>
          <w:rFonts w:ascii="Calibri" w:hAnsi="Calibri"/>
          <w:szCs w:val="21"/>
        </w:rPr>
        <w:tab/>
        <w:t>6</w:t>
      </w:r>
    </w:p>
    <w:p w:rsidR="0045311A" w:rsidRDefault="0056238B">
      <w:pPr>
        <w:pStyle w:val="Contents2"/>
        <w:tabs>
          <w:tab w:val="right" w:leader="dot" w:pos="8300"/>
        </w:tabs>
        <w:rPr>
          <w:rFonts w:ascii="Calibri" w:hAnsi="Calibri"/>
          <w:szCs w:val="21"/>
        </w:rPr>
      </w:pPr>
      <w:r>
        <w:rPr>
          <w:rFonts w:ascii="Calibri" w:hAnsi="Calibri"/>
          <w:szCs w:val="21"/>
        </w:rPr>
        <w:t>2.6  Groupements d'opérateurs économiques</w:t>
      </w:r>
      <w:r>
        <w:rPr>
          <w:rFonts w:ascii="Calibri" w:hAnsi="Calibri"/>
          <w:szCs w:val="21"/>
        </w:rPr>
        <w:tab/>
        <w:t>6</w:t>
      </w:r>
    </w:p>
    <w:p w:rsidR="0045311A" w:rsidRDefault="0056238B">
      <w:pPr>
        <w:pStyle w:val="Contents2"/>
        <w:tabs>
          <w:tab w:val="right" w:leader="dot" w:pos="8300"/>
        </w:tabs>
        <w:rPr>
          <w:rFonts w:ascii="Calibri" w:hAnsi="Calibri"/>
          <w:szCs w:val="21"/>
        </w:rPr>
      </w:pPr>
      <w:r>
        <w:rPr>
          <w:rFonts w:ascii="Calibri" w:hAnsi="Calibri"/>
          <w:szCs w:val="21"/>
        </w:rPr>
        <w:t xml:space="preserve">2.7  Conditions </w:t>
      </w:r>
      <w:r>
        <w:rPr>
          <w:rFonts w:ascii="Calibri" w:hAnsi="Calibri"/>
          <w:szCs w:val="21"/>
        </w:rPr>
        <w:t>relatives au marché</w:t>
      </w:r>
      <w:r>
        <w:rPr>
          <w:rFonts w:ascii="Calibri" w:hAnsi="Calibri"/>
          <w:szCs w:val="21"/>
        </w:rPr>
        <w:tab/>
        <w:t>6</w:t>
      </w:r>
    </w:p>
    <w:p w:rsidR="0045311A" w:rsidRDefault="0056238B">
      <w:pPr>
        <w:pStyle w:val="Contents3"/>
        <w:tabs>
          <w:tab w:val="clear" w:pos="9241"/>
          <w:tab w:val="right" w:leader="dot" w:pos="8300"/>
        </w:tabs>
        <w:rPr>
          <w:rFonts w:ascii="Calibri" w:hAnsi="Calibri"/>
          <w:szCs w:val="21"/>
        </w:rPr>
      </w:pPr>
      <w:r>
        <w:rPr>
          <w:rFonts w:ascii="Calibri" w:hAnsi="Calibri"/>
          <w:szCs w:val="21"/>
        </w:rPr>
        <w:t>2.7.1  Cautionnement et garanties exigées</w:t>
      </w:r>
      <w:r>
        <w:rPr>
          <w:rFonts w:ascii="Calibri" w:hAnsi="Calibri"/>
          <w:szCs w:val="21"/>
        </w:rPr>
        <w:tab/>
        <w:t xml:space="preserve">  6</w:t>
      </w:r>
    </w:p>
    <w:p w:rsidR="0045311A" w:rsidRDefault="0056238B">
      <w:pPr>
        <w:pStyle w:val="Contents3"/>
        <w:tabs>
          <w:tab w:val="clear" w:pos="9241"/>
          <w:tab w:val="right" w:leader="dot" w:pos="8300"/>
        </w:tabs>
        <w:rPr>
          <w:rFonts w:ascii="Calibri" w:hAnsi="Calibri"/>
          <w:szCs w:val="21"/>
        </w:rPr>
      </w:pPr>
      <w:r>
        <w:rPr>
          <w:rFonts w:ascii="Calibri" w:hAnsi="Calibri"/>
          <w:szCs w:val="21"/>
        </w:rPr>
        <w:t>2.7.2  Modalités essentielles de financement et de paiement</w:t>
      </w:r>
      <w:r>
        <w:rPr>
          <w:rFonts w:ascii="Calibri" w:hAnsi="Calibri"/>
          <w:szCs w:val="21"/>
        </w:rPr>
        <w:tab/>
        <w:t>6</w:t>
      </w:r>
    </w:p>
    <w:p w:rsidR="0045311A" w:rsidRDefault="0056238B">
      <w:pPr>
        <w:pStyle w:val="Contents1"/>
        <w:tabs>
          <w:tab w:val="clear" w:pos="9637"/>
          <w:tab w:val="right" w:leader="dot" w:pos="8300"/>
        </w:tabs>
      </w:pPr>
      <w:r>
        <w:rPr>
          <w:rStyle w:val="StrongEmphasis"/>
          <w:rFonts w:ascii="Calibri" w:hAnsi="Calibri"/>
          <w:szCs w:val="21"/>
        </w:rPr>
        <w:t>Article 3 -</w:t>
      </w:r>
      <w:r>
        <w:rPr>
          <w:rFonts w:ascii="Calibri" w:hAnsi="Calibri"/>
          <w:szCs w:val="21"/>
        </w:rPr>
        <w:t xml:space="preserve">  </w:t>
      </w:r>
      <w:r>
        <w:rPr>
          <w:rStyle w:val="StrongEmphasis"/>
          <w:rFonts w:ascii="Calibri" w:hAnsi="Calibri"/>
          <w:szCs w:val="21"/>
        </w:rPr>
        <w:t>DOSSIER DE CONSULTATION DES ENTREPRISES (DCE)</w:t>
      </w:r>
      <w:r>
        <w:rPr>
          <w:rFonts w:ascii="Calibri" w:hAnsi="Calibri"/>
          <w:szCs w:val="21"/>
        </w:rPr>
        <w:tab/>
        <w:t>7</w:t>
      </w:r>
    </w:p>
    <w:p w:rsidR="0045311A" w:rsidRDefault="0056238B">
      <w:pPr>
        <w:pStyle w:val="Contents1"/>
        <w:tabs>
          <w:tab w:val="clear" w:pos="9637"/>
          <w:tab w:val="right" w:leader="dot" w:pos="8300"/>
        </w:tabs>
      </w:pPr>
      <w:r>
        <w:rPr>
          <w:rStyle w:val="StrongEmphasis"/>
          <w:rFonts w:ascii="Calibri" w:hAnsi="Calibri"/>
          <w:szCs w:val="21"/>
        </w:rPr>
        <w:t>Article 4 -</w:t>
      </w:r>
      <w:r>
        <w:rPr>
          <w:rFonts w:ascii="Calibri" w:hAnsi="Calibri"/>
          <w:szCs w:val="21"/>
        </w:rPr>
        <w:t xml:space="preserve">  </w:t>
      </w:r>
      <w:r>
        <w:rPr>
          <w:rStyle w:val="StrongEmphasis"/>
          <w:rFonts w:ascii="Calibri" w:hAnsi="Calibri"/>
          <w:szCs w:val="21"/>
        </w:rPr>
        <w:t xml:space="preserve">ELEMENTS EXIGES DU CANDIDAT </w:t>
      </w:r>
      <w:r>
        <w:rPr>
          <w:rFonts w:ascii="Calibri" w:hAnsi="Calibri"/>
          <w:szCs w:val="21"/>
        </w:rPr>
        <w:tab/>
        <w:t>8</w:t>
      </w:r>
    </w:p>
    <w:p w:rsidR="0045311A" w:rsidRDefault="0056238B">
      <w:pPr>
        <w:pStyle w:val="Contents2"/>
        <w:tabs>
          <w:tab w:val="right" w:leader="dot" w:pos="8300"/>
        </w:tabs>
        <w:rPr>
          <w:rFonts w:ascii="Calibri" w:hAnsi="Calibri"/>
          <w:szCs w:val="21"/>
        </w:rPr>
      </w:pPr>
      <w:r>
        <w:rPr>
          <w:rFonts w:ascii="Calibri" w:hAnsi="Calibri"/>
          <w:szCs w:val="21"/>
        </w:rPr>
        <w:t xml:space="preserve">4.1  Renseignements </w:t>
      </w:r>
      <w:r>
        <w:rPr>
          <w:rFonts w:ascii="Calibri" w:hAnsi="Calibri"/>
          <w:szCs w:val="21"/>
        </w:rPr>
        <w:t xml:space="preserve">et documents demandés à l'appui des candidatures </w:t>
      </w:r>
      <w:r>
        <w:rPr>
          <w:rFonts w:ascii="Calibri" w:hAnsi="Calibri"/>
          <w:szCs w:val="21"/>
        </w:rPr>
        <w:tab/>
        <w:t>8</w:t>
      </w:r>
    </w:p>
    <w:p w:rsidR="0045311A" w:rsidRDefault="0056238B">
      <w:pPr>
        <w:pStyle w:val="Contents2"/>
        <w:tabs>
          <w:tab w:val="right" w:leader="dot" w:pos="8300"/>
        </w:tabs>
        <w:rPr>
          <w:rFonts w:ascii="Calibri" w:hAnsi="Calibri"/>
          <w:szCs w:val="21"/>
        </w:rPr>
      </w:pPr>
      <w:r>
        <w:rPr>
          <w:rFonts w:ascii="Calibri" w:hAnsi="Calibri"/>
          <w:szCs w:val="21"/>
        </w:rPr>
        <w:t>4.2  Eléments exigés au titre de l'offre</w:t>
      </w:r>
      <w:r>
        <w:rPr>
          <w:rFonts w:ascii="Calibri" w:hAnsi="Calibri"/>
          <w:szCs w:val="21"/>
        </w:rPr>
        <w:tab/>
        <w:t>9</w:t>
      </w:r>
    </w:p>
    <w:p w:rsidR="0045311A" w:rsidRDefault="0056238B">
      <w:pPr>
        <w:pStyle w:val="Contents3"/>
        <w:tabs>
          <w:tab w:val="clear" w:pos="9241"/>
          <w:tab w:val="right" w:leader="dot" w:pos="8300"/>
        </w:tabs>
        <w:rPr>
          <w:rFonts w:ascii="Calibri" w:hAnsi="Calibri"/>
          <w:szCs w:val="21"/>
        </w:rPr>
      </w:pPr>
      <w:r>
        <w:rPr>
          <w:rFonts w:ascii="Calibri" w:hAnsi="Calibri"/>
          <w:szCs w:val="21"/>
        </w:rPr>
        <w:t>4.2.1  Présentation des offres</w:t>
      </w:r>
      <w:r>
        <w:rPr>
          <w:rFonts w:ascii="Calibri" w:hAnsi="Calibri"/>
          <w:szCs w:val="21"/>
        </w:rPr>
        <w:tab/>
        <w:t>9</w:t>
      </w:r>
    </w:p>
    <w:p w:rsidR="0045311A" w:rsidRDefault="0056238B">
      <w:pPr>
        <w:pStyle w:val="Contents3"/>
        <w:tabs>
          <w:tab w:val="clear" w:pos="9241"/>
          <w:tab w:val="right" w:leader="dot" w:pos="8300"/>
        </w:tabs>
        <w:rPr>
          <w:rFonts w:ascii="Calibri" w:hAnsi="Calibri"/>
          <w:szCs w:val="21"/>
        </w:rPr>
      </w:pPr>
      <w:r>
        <w:rPr>
          <w:rFonts w:ascii="Calibri" w:hAnsi="Calibri"/>
          <w:szCs w:val="21"/>
        </w:rPr>
        <w:t>4.2.2  Présentation de variantes</w:t>
      </w:r>
      <w:r>
        <w:rPr>
          <w:rFonts w:ascii="Calibri" w:hAnsi="Calibri"/>
          <w:szCs w:val="21"/>
        </w:rPr>
        <w:tab/>
        <w:t>9</w:t>
      </w:r>
    </w:p>
    <w:p w:rsidR="0045311A" w:rsidRDefault="0056238B">
      <w:pPr>
        <w:pStyle w:val="Contents2"/>
        <w:tabs>
          <w:tab w:val="right" w:leader="dot" w:pos="8300"/>
        </w:tabs>
        <w:rPr>
          <w:rFonts w:ascii="Calibri" w:hAnsi="Calibri"/>
          <w:szCs w:val="21"/>
        </w:rPr>
      </w:pPr>
      <w:r>
        <w:rPr>
          <w:rFonts w:ascii="Calibri" w:hAnsi="Calibri"/>
          <w:szCs w:val="21"/>
        </w:rPr>
        <w:t>4.3  Visite sur site</w:t>
      </w:r>
      <w:r>
        <w:rPr>
          <w:rFonts w:ascii="Calibri" w:hAnsi="Calibri"/>
          <w:szCs w:val="21"/>
        </w:rPr>
        <w:tab/>
        <w:t>9</w:t>
      </w:r>
    </w:p>
    <w:p w:rsidR="0045311A" w:rsidRDefault="0056238B">
      <w:pPr>
        <w:pStyle w:val="Contents1"/>
        <w:tabs>
          <w:tab w:val="clear" w:pos="9637"/>
          <w:tab w:val="right" w:leader="dot" w:pos="8300"/>
        </w:tabs>
      </w:pPr>
      <w:r>
        <w:rPr>
          <w:rStyle w:val="StrongEmphasis"/>
          <w:rFonts w:ascii="Calibri" w:hAnsi="Calibri"/>
          <w:szCs w:val="21"/>
        </w:rPr>
        <w:t>Article 5 -</w:t>
      </w:r>
      <w:r>
        <w:rPr>
          <w:rFonts w:ascii="Calibri" w:hAnsi="Calibri"/>
          <w:szCs w:val="21"/>
        </w:rPr>
        <w:t xml:space="preserve">  </w:t>
      </w:r>
      <w:r>
        <w:rPr>
          <w:rStyle w:val="StrongEmphasis"/>
          <w:rFonts w:ascii="Calibri" w:hAnsi="Calibri"/>
          <w:szCs w:val="21"/>
        </w:rPr>
        <w:t>REMISE DES PLIS PAR LES CANDIDATS</w:t>
      </w:r>
      <w:r>
        <w:rPr>
          <w:rFonts w:ascii="Calibri" w:hAnsi="Calibri"/>
          <w:szCs w:val="21"/>
        </w:rPr>
        <w:tab/>
        <w:t>10</w:t>
      </w:r>
    </w:p>
    <w:p w:rsidR="0045311A" w:rsidRDefault="0056238B">
      <w:pPr>
        <w:pStyle w:val="Contents2"/>
        <w:tabs>
          <w:tab w:val="right" w:leader="dot" w:pos="8300"/>
        </w:tabs>
        <w:rPr>
          <w:rFonts w:ascii="Calibri" w:hAnsi="Calibri"/>
          <w:szCs w:val="21"/>
        </w:rPr>
      </w:pPr>
      <w:r>
        <w:rPr>
          <w:rFonts w:ascii="Calibri" w:hAnsi="Calibri"/>
          <w:szCs w:val="21"/>
        </w:rPr>
        <w:t>5.1  Remise électron</w:t>
      </w:r>
      <w:r>
        <w:rPr>
          <w:rFonts w:ascii="Calibri" w:hAnsi="Calibri"/>
          <w:szCs w:val="21"/>
        </w:rPr>
        <w:t>ique</w:t>
      </w:r>
      <w:r>
        <w:rPr>
          <w:rFonts w:ascii="Calibri" w:hAnsi="Calibri"/>
          <w:szCs w:val="21"/>
        </w:rPr>
        <w:tab/>
        <w:t>10</w:t>
      </w:r>
    </w:p>
    <w:p w:rsidR="0045311A" w:rsidRDefault="0056238B">
      <w:pPr>
        <w:pStyle w:val="Contents2"/>
        <w:tabs>
          <w:tab w:val="right" w:leader="dot" w:pos="8300"/>
        </w:tabs>
        <w:rPr>
          <w:rFonts w:ascii="Calibri" w:hAnsi="Calibri"/>
          <w:szCs w:val="21"/>
        </w:rPr>
      </w:pPr>
      <w:r>
        <w:rPr>
          <w:rFonts w:ascii="Calibri" w:hAnsi="Calibri"/>
          <w:szCs w:val="21"/>
        </w:rPr>
        <w:t>5.2  Copie de sauvegarde</w:t>
      </w:r>
      <w:r>
        <w:rPr>
          <w:rFonts w:ascii="Calibri" w:hAnsi="Calibri"/>
          <w:szCs w:val="21"/>
        </w:rPr>
        <w:tab/>
        <w:t>10</w:t>
      </w:r>
    </w:p>
    <w:p w:rsidR="0045311A" w:rsidRDefault="0056238B">
      <w:pPr>
        <w:pStyle w:val="Contents2"/>
        <w:tabs>
          <w:tab w:val="right" w:leader="dot" w:pos="8300"/>
        </w:tabs>
        <w:rPr>
          <w:rFonts w:ascii="Calibri" w:hAnsi="Calibri"/>
          <w:szCs w:val="21"/>
        </w:rPr>
      </w:pPr>
      <w:r>
        <w:rPr>
          <w:rFonts w:ascii="Calibri" w:hAnsi="Calibri"/>
          <w:szCs w:val="21"/>
        </w:rPr>
        <w:t>5.3  Echantillons, maquettes, prototypes ou modèles réduits</w:t>
      </w:r>
      <w:r>
        <w:rPr>
          <w:rFonts w:ascii="Calibri" w:hAnsi="Calibri"/>
          <w:szCs w:val="21"/>
        </w:rPr>
        <w:tab/>
        <w:t>11</w:t>
      </w:r>
    </w:p>
    <w:p w:rsidR="0045311A" w:rsidRDefault="0056238B">
      <w:pPr>
        <w:pStyle w:val="Contents2"/>
        <w:tabs>
          <w:tab w:val="right" w:leader="dot" w:pos="8300"/>
        </w:tabs>
        <w:rPr>
          <w:rFonts w:ascii="Calibri" w:hAnsi="Calibri"/>
          <w:szCs w:val="21"/>
        </w:rPr>
      </w:pPr>
      <w:r>
        <w:rPr>
          <w:rFonts w:ascii="Calibri" w:hAnsi="Calibri"/>
          <w:szCs w:val="21"/>
        </w:rPr>
        <w:t>5.4  Date et heure limites de remise des plis</w:t>
      </w:r>
      <w:r>
        <w:rPr>
          <w:rFonts w:ascii="Calibri" w:hAnsi="Calibri"/>
          <w:szCs w:val="21"/>
        </w:rPr>
        <w:tab/>
        <w:t>11</w:t>
      </w:r>
    </w:p>
    <w:p w:rsidR="0045311A" w:rsidRDefault="0056238B">
      <w:pPr>
        <w:pStyle w:val="Contents2"/>
        <w:tabs>
          <w:tab w:val="right" w:leader="dot" w:pos="8300"/>
        </w:tabs>
        <w:rPr>
          <w:rFonts w:ascii="Calibri" w:hAnsi="Calibri"/>
          <w:szCs w:val="21"/>
        </w:rPr>
      </w:pPr>
      <w:r>
        <w:rPr>
          <w:rFonts w:ascii="Calibri" w:hAnsi="Calibri"/>
          <w:szCs w:val="21"/>
        </w:rPr>
        <w:t>5.5  Délai de validité des offres</w:t>
      </w:r>
      <w:r>
        <w:rPr>
          <w:rFonts w:ascii="Calibri" w:hAnsi="Calibri"/>
          <w:szCs w:val="21"/>
        </w:rPr>
        <w:tab/>
        <w:t>11</w:t>
      </w:r>
    </w:p>
    <w:p w:rsidR="0045311A" w:rsidRDefault="0056238B">
      <w:pPr>
        <w:pStyle w:val="Contents1"/>
        <w:tabs>
          <w:tab w:val="clear" w:pos="9637"/>
          <w:tab w:val="right" w:leader="dot" w:pos="8300"/>
        </w:tabs>
      </w:pPr>
      <w:r>
        <w:rPr>
          <w:rStyle w:val="StrongEmphasis"/>
          <w:rFonts w:ascii="Calibri" w:hAnsi="Calibri"/>
          <w:szCs w:val="21"/>
        </w:rPr>
        <w:t>Article 6 -</w:t>
      </w:r>
      <w:r>
        <w:rPr>
          <w:rFonts w:ascii="Calibri" w:hAnsi="Calibri"/>
          <w:szCs w:val="21"/>
        </w:rPr>
        <w:t xml:space="preserve">  </w:t>
      </w:r>
      <w:r>
        <w:rPr>
          <w:rStyle w:val="StrongEmphasis"/>
          <w:rFonts w:ascii="Calibri" w:hAnsi="Calibri"/>
          <w:szCs w:val="21"/>
        </w:rPr>
        <w:t>EXAMEN DES PLIS</w:t>
      </w:r>
      <w:r>
        <w:rPr>
          <w:rFonts w:ascii="Calibri" w:hAnsi="Calibri"/>
          <w:szCs w:val="21"/>
        </w:rPr>
        <w:tab/>
        <w:t>12</w:t>
      </w:r>
    </w:p>
    <w:p w:rsidR="0045311A" w:rsidRDefault="0056238B">
      <w:pPr>
        <w:pStyle w:val="Contents2"/>
        <w:tabs>
          <w:tab w:val="right" w:leader="dot" w:pos="8300"/>
        </w:tabs>
        <w:rPr>
          <w:rFonts w:ascii="Calibri" w:hAnsi="Calibri"/>
          <w:szCs w:val="21"/>
        </w:rPr>
      </w:pPr>
      <w:r>
        <w:rPr>
          <w:rFonts w:ascii="Calibri" w:hAnsi="Calibri"/>
          <w:szCs w:val="21"/>
        </w:rPr>
        <w:t xml:space="preserve">6.1  Examen des candidatures </w:t>
      </w:r>
      <w:r>
        <w:rPr>
          <w:rFonts w:ascii="Calibri" w:hAnsi="Calibri"/>
          <w:szCs w:val="21"/>
        </w:rPr>
        <w:tab/>
        <w:t>12</w:t>
      </w:r>
    </w:p>
    <w:p w:rsidR="0045311A" w:rsidRDefault="0056238B">
      <w:pPr>
        <w:pStyle w:val="Contents2"/>
        <w:tabs>
          <w:tab w:val="right" w:leader="dot" w:pos="8300"/>
        </w:tabs>
        <w:rPr>
          <w:rFonts w:ascii="Calibri" w:hAnsi="Calibri"/>
          <w:szCs w:val="21"/>
        </w:rPr>
      </w:pPr>
      <w:r>
        <w:rPr>
          <w:rFonts w:ascii="Calibri" w:hAnsi="Calibri"/>
          <w:szCs w:val="21"/>
        </w:rPr>
        <w:t>6.2  J</w:t>
      </w:r>
      <w:r>
        <w:rPr>
          <w:rFonts w:ascii="Calibri" w:hAnsi="Calibri"/>
          <w:szCs w:val="21"/>
        </w:rPr>
        <w:t>ugement des offres</w:t>
      </w:r>
      <w:r>
        <w:rPr>
          <w:rFonts w:ascii="Calibri" w:hAnsi="Calibri"/>
          <w:szCs w:val="21"/>
        </w:rPr>
        <w:tab/>
        <w:t>13</w:t>
      </w:r>
    </w:p>
    <w:p w:rsidR="0045311A" w:rsidRDefault="0056238B">
      <w:pPr>
        <w:pStyle w:val="Contents1"/>
        <w:tabs>
          <w:tab w:val="clear" w:pos="9637"/>
          <w:tab w:val="right" w:leader="dot" w:pos="8300"/>
        </w:tabs>
      </w:pPr>
      <w:r>
        <w:rPr>
          <w:rStyle w:val="StrongEmphasis"/>
          <w:rFonts w:ascii="Calibri" w:hAnsi="Calibri"/>
          <w:szCs w:val="21"/>
        </w:rPr>
        <w:t>Article 7 -</w:t>
      </w:r>
      <w:r>
        <w:rPr>
          <w:rFonts w:ascii="Calibri" w:hAnsi="Calibri"/>
          <w:szCs w:val="21"/>
        </w:rPr>
        <w:t xml:space="preserve">  </w:t>
      </w:r>
      <w:r>
        <w:rPr>
          <w:rStyle w:val="StrongEmphasis"/>
          <w:rFonts w:ascii="Calibri" w:hAnsi="Calibri"/>
          <w:szCs w:val="21"/>
        </w:rPr>
        <w:t>PIECES A REMETTRE PAR LE(S) CANDIDAT(S) RETENU(S)</w:t>
      </w:r>
      <w:r>
        <w:rPr>
          <w:rFonts w:ascii="Calibri" w:hAnsi="Calibri"/>
          <w:szCs w:val="21"/>
        </w:rPr>
        <w:tab/>
        <w:t>14</w:t>
      </w:r>
    </w:p>
    <w:p w:rsidR="0045311A" w:rsidRDefault="0056238B">
      <w:pPr>
        <w:pStyle w:val="Contents1"/>
        <w:tabs>
          <w:tab w:val="clear" w:pos="9637"/>
          <w:tab w:val="right" w:leader="dot" w:pos="8300"/>
        </w:tabs>
      </w:pPr>
      <w:r>
        <w:rPr>
          <w:rStyle w:val="StrongEmphasis"/>
          <w:rFonts w:ascii="Calibri" w:hAnsi="Calibri"/>
          <w:szCs w:val="21"/>
        </w:rPr>
        <w:t>Article 8 -</w:t>
      </w:r>
      <w:r>
        <w:rPr>
          <w:rFonts w:ascii="Calibri" w:hAnsi="Calibri"/>
          <w:szCs w:val="21"/>
        </w:rPr>
        <w:t xml:space="preserve">  </w:t>
      </w:r>
      <w:r>
        <w:rPr>
          <w:rStyle w:val="StrongEmphasis"/>
          <w:rFonts w:ascii="Calibri" w:hAnsi="Calibri"/>
          <w:szCs w:val="21"/>
        </w:rPr>
        <w:t>MODALITES RELATIVES AUX COMMUNICATIONS ET AUX ECHANGES D'INFORMATION</w:t>
      </w:r>
      <w:r>
        <w:rPr>
          <w:rFonts w:ascii="Calibri" w:hAnsi="Calibri"/>
          <w:szCs w:val="21"/>
        </w:rPr>
        <w:tab/>
        <w:t>15</w:t>
      </w:r>
    </w:p>
    <w:p w:rsidR="0045311A" w:rsidRDefault="0056238B">
      <w:pPr>
        <w:pStyle w:val="Contents2"/>
        <w:tabs>
          <w:tab w:val="right" w:leader="dot" w:pos="8300"/>
        </w:tabs>
        <w:rPr>
          <w:rFonts w:ascii="Calibri" w:hAnsi="Calibri"/>
          <w:szCs w:val="21"/>
        </w:rPr>
      </w:pPr>
      <w:r>
        <w:rPr>
          <w:rFonts w:ascii="Calibri" w:hAnsi="Calibri"/>
          <w:szCs w:val="21"/>
        </w:rPr>
        <w:lastRenderedPageBreak/>
        <w:t>8.1  Règles liées aux échanges électroniques</w:t>
      </w:r>
      <w:r>
        <w:rPr>
          <w:rFonts w:ascii="Calibri" w:hAnsi="Calibri"/>
          <w:szCs w:val="21"/>
        </w:rPr>
        <w:tab/>
        <w:t>15</w:t>
      </w:r>
    </w:p>
    <w:p w:rsidR="0045311A" w:rsidRDefault="0056238B">
      <w:pPr>
        <w:pStyle w:val="Contents2"/>
        <w:tabs>
          <w:tab w:val="right" w:leader="dot" w:pos="8300"/>
        </w:tabs>
        <w:rPr>
          <w:rFonts w:ascii="Calibri" w:hAnsi="Calibri"/>
          <w:szCs w:val="21"/>
        </w:rPr>
      </w:pPr>
      <w:r>
        <w:rPr>
          <w:rFonts w:ascii="Calibri" w:hAnsi="Calibri"/>
          <w:szCs w:val="21"/>
        </w:rPr>
        <w:t xml:space="preserve">8.2  Demandes de renseignements en </w:t>
      </w:r>
      <w:r>
        <w:rPr>
          <w:rFonts w:ascii="Calibri" w:hAnsi="Calibri"/>
          <w:szCs w:val="21"/>
        </w:rPr>
        <w:t>cours de consultation</w:t>
      </w:r>
      <w:r>
        <w:rPr>
          <w:rFonts w:ascii="Calibri" w:hAnsi="Calibri"/>
          <w:szCs w:val="21"/>
        </w:rPr>
        <w:tab/>
        <w:t>15</w:t>
      </w:r>
    </w:p>
    <w:p w:rsidR="0045311A" w:rsidRDefault="0056238B">
      <w:pPr>
        <w:pStyle w:val="Standard"/>
        <w:rPr>
          <w:szCs w:val="21"/>
        </w:rPr>
      </w:pPr>
      <w:r>
        <w:rPr>
          <w:rFonts w:ascii="Trebuchet MS" w:eastAsia="Trebuchet MS" w:hAnsi="Trebuchet MS"/>
        </w:rPr>
        <w:fldChar w:fldCharType="end"/>
      </w:r>
      <w:r>
        <w:rPr>
          <w:szCs w:val="21"/>
        </w:rPr>
        <w:t xml:space="preserve"> </w:t>
      </w:r>
      <w:r>
        <w:rPr>
          <w:szCs w:val="21"/>
        </w:rPr>
        <w:br w:type="page"/>
      </w:r>
    </w:p>
    <w:p w:rsidR="0045311A" w:rsidRDefault="0056238B">
      <w:pPr>
        <w:pStyle w:val="Titre1"/>
      </w:pPr>
      <w:r>
        <w:lastRenderedPageBreak/>
        <w:t>GENERALITES</w:t>
      </w:r>
    </w:p>
    <w:p w:rsidR="0045311A" w:rsidRDefault="0056238B">
      <w:pPr>
        <w:pStyle w:val="Titre2"/>
      </w:pPr>
      <w:r>
        <w:t>Objet et description de la consultation</w:t>
      </w:r>
    </w:p>
    <w:p w:rsidR="0045311A" w:rsidRDefault="0056238B">
      <w:pPr>
        <w:pStyle w:val="Standard"/>
        <w:rPr>
          <w:szCs w:val="21"/>
        </w:rPr>
      </w:pPr>
      <w:r>
        <w:rPr>
          <w:szCs w:val="21"/>
        </w:rPr>
        <w:t>La présente consultation a pour objet : Fourniture et livraison de matériels et accessoires de formation, de sécurité et de protection pour les Policiers Municipaux de la Vi</w:t>
      </w:r>
      <w:r>
        <w:rPr>
          <w:szCs w:val="21"/>
        </w:rPr>
        <w:t>lle de  Marseille.</w:t>
      </w:r>
    </w:p>
    <w:p w:rsidR="0045311A" w:rsidRDefault="0056238B">
      <w:pPr>
        <w:pStyle w:val="Titre2"/>
      </w:pPr>
      <w:r>
        <w:t>Nature</w:t>
      </w:r>
    </w:p>
    <w:p w:rsidR="0045311A" w:rsidRDefault="0056238B">
      <w:pPr>
        <w:pStyle w:val="Standard"/>
        <w:rPr>
          <w:szCs w:val="21"/>
        </w:rPr>
      </w:pPr>
      <w:r>
        <w:rPr>
          <w:szCs w:val="21"/>
        </w:rPr>
        <w:t>Passation d'un marché de : Fournitures</w:t>
      </w:r>
    </w:p>
    <w:p w:rsidR="0045311A" w:rsidRDefault="0056238B">
      <w:pPr>
        <w:pStyle w:val="Titre2"/>
      </w:pPr>
      <w:r>
        <w:t>Pouvoir adjudicateur</w:t>
      </w:r>
    </w:p>
    <w:p w:rsidR="0045311A" w:rsidRDefault="0056238B">
      <w:pPr>
        <w:pStyle w:val="Standard"/>
        <w:rPr>
          <w:szCs w:val="21"/>
          <w:u w:val="single"/>
        </w:rPr>
      </w:pPr>
      <w:r>
        <w:rPr>
          <w:szCs w:val="21"/>
          <w:u w:val="single"/>
        </w:rPr>
        <w:t>Acheteur public :</w:t>
      </w:r>
    </w:p>
    <w:p w:rsidR="0045311A" w:rsidRDefault="0056238B">
      <w:pPr>
        <w:pStyle w:val="Standard"/>
        <w:rPr>
          <w:szCs w:val="21"/>
        </w:rPr>
      </w:pPr>
      <w:r>
        <w:rPr>
          <w:szCs w:val="21"/>
        </w:rPr>
        <w:t>Ville de Marseille</w:t>
      </w:r>
    </w:p>
    <w:p w:rsidR="0045311A" w:rsidRDefault="0056238B">
      <w:pPr>
        <w:pStyle w:val="Standard"/>
        <w:rPr>
          <w:szCs w:val="21"/>
        </w:rPr>
      </w:pPr>
      <w:r>
        <w:rPr>
          <w:szCs w:val="21"/>
        </w:rPr>
        <w:t>Hôtel de Ville</w:t>
      </w:r>
    </w:p>
    <w:p w:rsidR="0045311A" w:rsidRDefault="0056238B">
      <w:pPr>
        <w:pStyle w:val="Standard"/>
        <w:rPr>
          <w:szCs w:val="21"/>
        </w:rPr>
      </w:pPr>
      <w:r>
        <w:rPr>
          <w:szCs w:val="21"/>
        </w:rPr>
        <w:t>Quai du Port</w:t>
      </w:r>
    </w:p>
    <w:p w:rsidR="0045311A" w:rsidRDefault="0056238B">
      <w:pPr>
        <w:pStyle w:val="Standard"/>
        <w:rPr>
          <w:szCs w:val="21"/>
        </w:rPr>
      </w:pPr>
      <w:r>
        <w:rPr>
          <w:szCs w:val="21"/>
        </w:rPr>
        <w:t>13233 Marseille Cedex 20</w:t>
      </w:r>
    </w:p>
    <w:p w:rsidR="0045311A" w:rsidRDefault="0056238B">
      <w:pPr>
        <w:pStyle w:val="Standard"/>
        <w:rPr>
          <w:szCs w:val="21"/>
        </w:rPr>
      </w:pPr>
      <w:r>
        <w:rPr>
          <w:szCs w:val="21"/>
        </w:rPr>
        <w:t>Profil acheteur : marchespublics.mairie-marseille.fr</w:t>
      </w:r>
    </w:p>
    <w:p w:rsidR="0045311A" w:rsidRDefault="0056238B">
      <w:pPr>
        <w:pStyle w:val="Standard"/>
        <w:rPr>
          <w:szCs w:val="21"/>
        </w:rPr>
      </w:pPr>
      <w:r>
        <w:rPr>
          <w:szCs w:val="21"/>
        </w:rPr>
        <w:t xml:space="preserve">Adresse Internet : </w:t>
      </w:r>
      <w:r>
        <w:rPr>
          <w:szCs w:val="21"/>
        </w:rPr>
        <w:t>www.marseille.fr</w:t>
      </w:r>
    </w:p>
    <w:p w:rsidR="0045311A" w:rsidRDefault="0056238B">
      <w:pPr>
        <w:pStyle w:val="Titre2"/>
      </w:pPr>
      <w:r>
        <w:t>Procédure</w:t>
      </w:r>
    </w:p>
    <w:p w:rsidR="0045311A" w:rsidRDefault="0056238B">
      <w:pPr>
        <w:pStyle w:val="Standard"/>
        <w:rPr>
          <w:szCs w:val="21"/>
        </w:rPr>
      </w:pPr>
      <w:r>
        <w:rPr>
          <w:szCs w:val="21"/>
        </w:rPr>
        <w:t>La procédure de passation est la suivante :</w:t>
      </w:r>
    </w:p>
    <w:p w:rsidR="0045311A" w:rsidRDefault="0056238B">
      <w:pPr>
        <w:pStyle w:val="Standard"/>
        <w:rPr>
          <w:szCs w:val="21"/>
        </w:rPr>
      </w:pPr>
      <w:r>
        <w:rPr>
          <w:szCs w:val="21"/>
        </w:rPr>
        <w:t>MAPA OUVERT AVEC BOAMP - selon les articles suivants : articles L2123-1, R2123-1-1°, R2123-4 et 5 du Code de la commande publique.</w:t>
      </w:r>
    </w:p>
    <w:p w:rsidR="0045311A" w:rsidRDefault="0056238B">
      <w:pPr>
        <w:pStyle w:val="Titre1"/>
      </w:pPr>
      <w:r>
        <w:t>CARACTERISTIQUES DE LA CONSULTATION</w:t>
      </w:r>
    </w:p>
    <w:p w:rsidR="0045311A" w:rsidRDefault="0056238B">
      <w:pPr>
        <w:pStyle w:val="Titre2"/>
      </w:pPr>
      <w:r>
        <w:t xml:space="preserve">Décomposition en </w:t>
      </w:r>
      <w:r>
        <w:t>lots, tranches et postes</w:t>
      </w:r>
    </w:p>
    <w:p w:rsidR="0045311A" w:rsidRDefault="0056238B">
      <w:pPr>
        <w:pStyle w:val="Titre3"/>
      </w:pPr>
      <w:r>
        <w:t>Décomposition en lots</w:t>
      </w:r>
    </w:p>
    <w:p w:rsidR="0045311A" w:rsidRDefault="0056238B">
      <w:pPr>
        <w:pStyle w:val="Standard"/>
        <w:rPr>
          <w:szCs w:val="21"/>
        </w:rPr>
      </w:pPr>
      <w:r>
        <w:rPr>
          <w:szCs w:val="21"/>
        </w:rPr>
        <w:t>L'ensemble des prestations est réparti en plusieurs lots traités par marchés séparés et définis comme suit :</w:t>
      </w:r>
    </w:p>
    <w:p w:rsidR="0045311A" w:rsidRDefault="0045311A">
      <w:pPr>
        <w:pStyle w:val="Standard"/>
        <w:rPr>
          <w:szCs w:val="21"/>
        </w:rPr>
      </w:pPr>
    </w:p>
    <w:tbl>
      <w:tblPr>
        <w:tblW w:w="8300" w:type="dxa"/>
        <w:tblLayout w:type="fixed"/>
        <w:tblCellMar>
          <w:left w:w="10" w:type="dxa"/>
          <w:right w:w="10" w:type="dxa"/>
        </w:tblCellMar>
        <w:tblLook w:val="04A0" w:firstRow="1" w:lastRow="0" w:firstColumn="1" w:lastColumn="0" w:noHBand="0" w:noVBand="1"/>
      </w:tblPr>
      <w:tblGrid>
        <w:gridCol w:w="830"/>
        <w:gridCol w:w="7470"/>
      </w:tblGrid>
      <w:tr w:rsidR="0045311A">
        <w:tblPrEx>
          <w:tblCellMar>
            <w:top w:w="0" w:type="dxa"/>
            <w:bottom w:w="0" w:type="dxa"/>
          </w:tblCellMar>
        </w:tblPrEx>
        <w:tc>
          <w:tcPr>
            <w:tcW w:w="830" w:type="dxa"/>
            <w:tcBorders>
              <w:top w:val="single" w:sz="2" w:space="0" w:color="000000"/>
              <w:left w:val="single" w:sz="2" w:space="0" w:color="000000"/>
              <w:bottom w:val="single" w:sz="2" w:space="0" w:color="000000"/>
            </w:tcBorders>
            <w:shd w:val="clear" w:color="auto" w:fill="C0C0C0"/>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N°</w:t>
            </w:r>
          </w:p>
        </w:tc>
        <w:tc>
          <w:tcPr>
            <w:tcW w:w="7470" w:type="dxa"/>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Intitulés lots séparés</w:t>
            </w:r>
          </w:p>
        </w:tc>
      </w:tr>
      <w:tr w:rsidR="0045311A">
        <w:tblPrEx>
          <w:tblCellMar>
            <w:top w:w="0" w:type="dxa"/>
            <w:bottom w:w="0" w:type="dxa"/>
          </w:tblCellMar>
        </w:tblPrEx>
        <w:tc>
          <w:tcPr>
            <w:tcW w:w="830" w:type="dxa"/>
            <w:tcBorders>
              <w:left w:val="single" w:sz="2" w:space="0" w:color="000000"/>
              <w:bottom w:val="single" w:sz="2" w:space="0" w:color="000000"/>
            </w:tcBorders>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1</w:t>
            </w:r>
          </w:p>
        </w:tc>
        <w:tc>
          <w:tcPr>
            <w:tcW w:w="7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Matériels</w:t>
            </w:r>
            <w:r>
              <w:rPr>
                <w:rFonts w:ascii="Calibri" w:hAnsi="Calibri"/>
                <w:sz w:val="21"/>
                <w:szCs w:val="21"/>
              </w:rPr>
              <w:t xml:space="preserve"> et accessoires nécessaires à la formation des Policiers Municipaux de la Ville de Marseille</w:t>
            </w:r>
          </w:p>
        </w:tc>
      </w:tr>
      <w:tr w:rsidR="0045311A">
        <w:tblPrEx>
          <w:tblCellMar>
            <w:top w:w="0" w:type="dxa"/>
            <w:bottom w:w="0" w:type="dxa"/>
          </w:tblCellMar>
        </w:tblPrEx>
        <w:tc>
          <w:tcPr>
            <w:tcW w:w="830" w:type="dxa"/>
            <w:tcBorders>
              <w:left w:val="single" w:sz="2" w:space="0" w:color="000000"/>
              <w:bottom w:val="single" w:sz="2" w:space="0" w:color="000000"/>
            </w:tcBorders>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2</w:t>
            </w:r>
          </w:p>
        </w:tc>
        <w:tc>
          <w:tcPr>
            <w:tcW w:w="7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Matériels et accessoires de sécurité et de protection nécessaires aux Policiers Municipaux de la Ville de Marseille</w:t>
            </w:r>
          </w:p>
        </w:tc>
      </w:tr>
    </w:tbl>
    <w:p w:rsidR="0045311A" w:rsidRDefault="0056238B">
      <w:pPr>
        <w:pStyle w:val="Titre3"/>
      </w:pPr>
      <w:r>
        <w:t>Décomposition en tranches</w:t>
      </w:r>
    </w:p>
    <w:p w:rsidR="0045311A" w:rsidRDefault="0056238B">
      <w:pPr>
        <w:pStyle w:val="Standard"/>
        <w:rPr>
          <w:szCs w:val="21"/>
        </w:rPr>
      </w:pPr>
      <w:r>
        <w:rPr>
          <w:szCs w:val="21"/>
        </w:rPr>
        <w:t xml:space="preserve">L'ensemble des </w:t>
      </w:r>
      <w:r>
        <w:rPr>
          <w:szCs w:val="21"/>
        </w:rPr>
        <w:t>prestations n'est pas subdivisé en tranches.</w:t>
      </w:r>
    </w:p>
    <w:p w:rsidR="0045311A" w:rsidRDefault="0056238B">
      <w:pPr>
        <w:pStyle w:val="Titre3"/>
      </w:pPr>
      <w:r>
        <w:t>Décomposition en postes</w:t>
      </w:r>
    </w:p>
    <w:p w:rsidR="0045311A" w:rsidRDefault="0056238B">
      <w:pPr>
        <w:pStyle w:val="Standard"/>
        <w:rPr>
          <w:szCs w:val="21"/>
        </w:rPr>
      </w:pPr>
      <w:r>
        <w:rPr>
          <w:szCs w:val="21"/>
        </w:rPr>
        <w:t>L'ensemble des prestations n'est pas subdivisé en postes.</w:t>
      </w:r>
    </w:p>
    <w:p w:rsidR="0045311A" w:rsidRDefault="0056238B">
      <w:pPr>
        <w:pStyle w:val="Titre2"/>
      </w:pPr>
      <w:r>
        <w:lastRenderedPageBreak/>
        <w:t>Accord-cadre à bons de commande</w:t>
      </w:r>
    </w:p>
    <w:p w:rsidR="0045311A" w:rsidRDefault="0056238B">
      <w:pPr>
        <w:pStyle w:val="Standard"/>
        <w:rPr>
          <w:szCs w:val="21"/>
        </w:rPr>
      </w:pPr>
      <w:r>
        <w:rPr>
          <w:szCs w:val="21"/>
        </w:rPr>
        <w:t>Le présent marché est un accord-cadre monoattributaire exécuté par l'émission de bons de comman</w:t>
      </w:r>
      <w:r>
        <w:rPr>
          <w:szCs w:val="21"/>
        </w:rPr>
        <w:t>de, en application des articles R2162-1 à 6 et R2162-13 et 14 du Code de la commande publique.</w:t>
      </w:r>
    </w:p>
    <w:p w:rsidR="0045311A" w:rsidRDefault="0045311A">
      <w:pPr>
        <w:pStyle w:val="Standard"/>
        <w:rPr>
          <w:szCs w:val="21"/>
        </w:rPr>
      </w:pPr>
    </w:p>
    <w:p w:rsidR="0045311A" w:rsidRDefault="0056238B">
      <w:pPr>
        <w:pStyle w:val="Standard"/>
        <w:rPr>
          <w:szCs w:val="21"/>
        </w:rPr>
      </w:pPr>
      <w:r>
        <w:rPr>
          <w:szCs w:val="21"/>
        </w:rPr>
        <w:t>Le volume suivant des prestations est donné pour chaque période annuelle</w:t>
      </w:r>
      <w:r>
        <w:rPr>
          <w:b/>
          <w:szCs w:val="21"/>
        </w:rPr>
        <w:t xml:space="preserve"> :</w:t>
      </w:r>
    </w:p>
    <w:p w:rsidR="0045311A" w:rsidRDefault="0045311A">
      <w:pPr>
        <w:pStyle w:val="Standard"/>
        <w:rPr>
          <w:szCs w:val="21"/>
        </w:rPr>
      </w:pPr>
    </w:p>
    <w:p w:rsidR="0045311A" w:rsidRDefault="0056238B">
      <w:pPr>
        <w:pStyle w:val="Standard"/>
        <w:rPr>
          <w:szCs w:val="21"/>
        </w:rPr>
      </w:pPr>
      <w:r>
        <w:rPr>
          <w:szCs w:val="21"/>
        </w:rPr>
        <w:t>- LOT 1 : Matériels et accessoires nécessaires à la formation des Policiers Municipa</w:t>
      </w:r>
      <w:r>
        <w:rPr>
          <w:szCs w:val="21"/>
        </w:rPr>
        <w:t>ux de M</w:t>
      </w:r>
      <w:r>
        <w:rPr>
          <w:szCs w:val="21"/>
        </w:rPr>
        <w:t>arseille</w:t>
      </w:r>
    </w:p>
    <w:p w:rsidR="0045311A" w:rsidRDefault="0056238B">
      <w:pPr>
        <w:pStyle w:val="Standard"/>
        <w:rPr>
          <w:szCs w:val="21"/>
        </w:rPr>
      </w:pPr>
      <w:r>
        <w:rPr>
          <w:szCs w:val="21"/>
        </w:rPr>
        <w:t xml:space="preserve">Montant minimum </w:t>
      </w:r>
      <w:r w:rsidR="003654AF">
        <w:rPr>
          <w:szCs w:val="21"/>
        </w:rPr>
        <w:t xml:space="preserve">annuel </w:t>
      </w:r>
      <w:r>
        <w:rPr>
          <w:szCs w:val="21"/>
        </w:rPr>
        <w:t>: aucun</w:t>
      </w:r>
    </w:p>
    <w:p w:rsidR="0045311A" w:rsidRDefault="0056238B">
      <w:pPr>
        <w:pStyle w:val="Standard"/>
        <w:rPr>
          <w:szCs w:val="21"/>
        </w:rPr>
      </w:pPr>
      <w:r>
        <w:rPr>
          <w:szCs w:val="21"/>
        </w:rPr>
        <w:t xml:space="preserve">Montant maximum </w:t>
      </w:r>
      <w:r w:rsidR="003654AF">
        <w:rPr>
          <w:szCs w:val="21"/>
        </w:rPr>
        <w:t xml:space="preserve">annuel </w:t>
      </w:r>
      <w:r>
        <w:rPr>
          <w:szCs w:val="21"/>
        </w:rPr>
        <w:t>: 20 000 € HT</w:t>
      </w:r>
    </w:p>
    <w:p w:rsidR="0045311A" w:rsidRDefault="0045311A">
      <w:pPr>
        <w:pStyle w:val="Standard"/>
        <w:rPr>
          <w:szCs w:val="21"/>
        </w:rPr>
      </w:pPr>
    </w:p>
    <w:p w:rsidR="0045311A" w:rsidRDefault="0056238B">
      <w:pPr>
        <w:pStyle w:val="Standard"/>
        <w:rPr>
          <w:szCs w:val="21"/>
        </w:rPr>
      </w:pPr>
      <w:r>
        <w:rPr>
          <w:szCs w:val="21"/>
        </w:rPr>
        <w:t>- LOT 2 : Matériels</w:t>
      </w:r>
      <w:r>
        <w:rPr>
          <w:szCs w:val="21"/>
        </w:rPr>
        <w:t xml:space="preserve"> et accessoires nécessaires aux Policiers Municipaux dans l'accomplissement de leurs missions</w:t>
      </w:r>
    </w:p>
    <w:p w:rsidR="0045311A" w:rsidRDefault="0056238B">
      <w:pPr>
        <w:pStyle w:val="Standard"/>
        <w:rPr>
          <w:szCs w:val="21"/>
        </w:rPr>
      </w:pPr>
      <w:r>
        <w:rPr>
          <w:szCs w:val="21"/>
        </w:rPr>
        <w:t xml:space="preserve">Montant minimum </w:t>
      </w:r>
      <w:r w:rsidR="003654AF">
        <w:rPr>
          <w:szCs w:val="21"/>
        </w:rPr>
        <w:t xml:space="preserve">annuel </w:t>
      </w:r>
      <w:r>
        <w:rPr>
          <w:szCs w:val="21"/>
        </w:rPr>
        <w:t>: aucun</w:t>
      </w:r>
    </w:p>
    <w:p w:rsidR="0045311A" w:rsidRDefault="0056238B">
      <w:pPr>
        <w:pStyle w:val="Standard"/>
        <w:rPr>
          <w:szCs w:val="21"/>
        </w:rPr>
      </w:pPr>
      <w:r>
        <w:rPr>
          <w:szCs w:val="21"/>
        </w:rPr>
        <w:t xml:space="preserve">Montant maximum </w:t>
      </w:r>
      <w:r w:rsidR="003654AF">
        <w:rPr>
          <w:szCs w:val="21"/>
        </w:rPr>
        <w:t xml:space="preserve">annuel </w:t>
      </w:r>
      <w:r>
        <w:rPr>
          <w:szCs w:val="21"/>
        </w:rPr>
        <w:t>: 85 000 € HT</w:t>
      </w:r>
    </w:p>
    <w:p w:rsidR="0045311A" w:rsidRDefault="0056238B">
      <w:pPr>
        <w:pStyle w:val="Titre2"/>
      </w:pPr>
      <w:r>
        <w:t>Durée</w:t>
      </w:r>
    </w:p>
    <w:p w:rsidR="0045311A" w:rsidRDefault="0056238B">
      <w:pPr>
        <w:pStyle w:val="Standard"/>
        <w:rPr>
          <w:szCs w:val="21"/>
        </w:rPr>
      </w:pPr>
      <w:r>
        <w:rPr>
          <w:szCs w:val="21"/>
        </w:rPr>
        <w:t>La durée du marché</w:t>
      </w:r>
      <w:r>
        <w:rPr>
          <w:szCs w:val="21"/>
        </w:rPr>
        <w:t xml:space="preserve"> se définit comme suit :</w:t>
      </w:r>
    </w:p>
    <w:p w:rsidR="0045311A" w:rsidRDefault="0045311A">
      <w:pPr>
        <w:pStyle w:val="Standard"/>
        <w:rPr>
          <w:szCs w:val="21"/>
        </w:rPr>
      </w:pPr>
    </w:p>
    <w:tbl>
      <w:tblPr>
        <w:tblW w:w="8295" w:type="dxa"/>
        <w:tblLayout w:type="fixed"/>
        <w:tblCellMar>
          <w:left w:w="10" w:type="dxa"/>
          <w:right w:w="10" w:type="dxa"/>
        </w:tblCellMar>
        <w:tblLook w:val="04A0" w:firstRow="1" w:lastRow="0" w:firstColumn="1" w:lastColumn="0" w:noHBand="0" w:noVBand="1"/>
      </w:tblPr>
      <w:tblGrid>
        <w:gridCol w:w="1650"/>
        <w:gridCol w:w="6645"/>
      </w:tblGrid>
      <w:tr w:rsidR="0045311A">
        <w:tblPrEx>
          <w:tblCellMar>
            <w:top w:w="0" w:type="dxa"/>
            <w:bottom w:w="0" w:type="dxa"/>
          </w:tblCellMar>
        </w:tblPrEx>
        <w:tc>
          <w:tcPr>
            <w:tcW w:w="1650" w:type="dxa"/>
            <w:tcBorders>
              <w:top w:val="single" w:sz="2" w:space="0" w:color="000000"/>
              <w:left w:val="single" w:sz="2" w:space="0" w:color="000000"/>
              <w:bottom w:val="single" w:sz="2" w:space="0" w:color="000000"/>
            </w:tcBorders>
            <w:shd w:val="clear" w:color="auto" w:fill="C0C0C0"/>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Numéro de lot</w:t>
            </w:r>
          </w:p>
        </w:tc>
        <w:tc>
          <w:tcPr>
            <w:tcW w:w="6645" w:type="dxa"/>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Durée / délai du marché public</w:t>
            </w:r>
          </w:p>
        </w:tc>
      </w:tr>
      <w:tr w:rsidR="0045311A">
        <w:tblPrEx>
          <w:tblCellMar>
            <w:top w:w="0" w:type="dxa"/>
            <w:bottom w:w="0" w:type="dxa"/>
          </w:tblCellMar>
        </w:tblPrEx>
        <w:tc>
          <w:tcPr>
            <w:tcW w:w="1650" w:type="dxa"/>
            <w:tcBorders>
              <w:left w:val="single" w:sz="2" w:space="0" w:color="000000"/>
              <w:bottom w:val="single" w:sz="2" w:space="0" w:color="000000"/>
            </w:tcBorders>
            <w:tcMar>
              <w:top w:w="55" w:type="dxa"/>
              <w:left w:w="55" w:type="dxa"/>
              <w:bottom w:w="55" w:type="dxa"/>
              <w:right w:w="55" w:type="dxa"/>
            </w:tcMar>
            <w:vAlign w:val="center"/>
          </w:tcPr>
          <w:p w:rsidR="0045311A" w:rsidRDefault="0056238B">
            <w:pPr>
              <w:pStyle w:val="Table"/>
              <w:jc w:val="center"/>
              <w:rPr>
                <w:rFonts w:ascii="Calibri" w:hAnsi="Calibri"/>
                <w:sz w:val="21"/>
                <w:szCs w:val="21"/>
              </w:rPr>
            </w:pPr>
            <w:r>
              <w:rPr>
                <w:rFonts w:ascii="Calibri" w:hAnsi="Calibri"/>
                <w:sz w:val="21"/>
                <w:szCs w:val="21"/>
              </w:rPr>
              <w:t>1</w:t>
            </w:r>
          </w:p>
        </w:tc>
        <w:tc>
          <w:tcPr>
            <w:tcW w:w="6645" w:type="dxa"/>
            <w:tcBorders>
              <w:left w:val="single" w:sz="2" w:space="0" w:color="000000"/>
              <w:bottom w:val="single" w:sz="2" w:space="0" w:color="000000"/>
              <w:right w:val="single" w:sz="2" w:space="0" w:color="000000"/>
            </w:tcBorders>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 xml:space="preserve">1 an à </w:t>
            </w:r>
            <w:r>
              <w:rPr>
                <w:rFonts w:ascii="Calibri" w:hAnsi="Calibri"/>
                <w:sz w:val="21"/>
                <w:szCs w:val="21"/>
              </w:rPr>
              <w:t>compter de sa</w:t>
            </w:r>
            <w:r w:rsidR="003654AF">
              <w:rPr>
                <w:rFonts w:ascii="Calibri" w:hAnsi="Calibri"/>
                <w:sz w:val="21"/>
                <w:szCs w:val="21"/>
              </w:rPr>
              <w:t xml:space="preserve"> date</w:t>
            </w:r>
            <w:r>
              <w:rPr>
                <w:rFonts w:ascii="Calibri" w:hAnsi="Calibri"/>
                <w:sz w:val="21"/>
                <w:szCs w:val="21"/>
              </w:rPr>
              <w:t xml:space="preserve"> notification</w:t>
            </w:r>
          </w:p>
        </w:tc>
      </w:tr>
      <w:tr w:rsidR="0045311A">
        <w:tblPrEx>
          <w:tblCellMar>
            <w:top w:w="0" w:type="dxa"/>
            <w:bottom w:w="0" w:type="dxa"/>
          </w:tblCellMar>
        </w:tblPrEx>
        <w:tc>
          <w:tcPr>
            <w:tcW w:w="1650" w:type="dxa"/>
            <w:tcBorders>
              <w:left w:val="single" w:sz="2" w:space="0" w:color="000000"/>
              <w:bottom w:val="single" w:sz="2" w:space="0" w:color="000000"/>
            </w:tcBorders>
            <w:tcMar>
              <w:top w:w="55" w:type="dxa"/>
              <w:left w:w="55" w:type="dxa"/>
              <w:bottom w:w="55" w:type="dxa"/>
              <w:right w:w="55" w:type="dxa"/>
            </w:tcMar>
            <w:vAlign w:val="center"/>
          </w:tcPr>
          <w:p w:rsidR="0045311A" w:rsidRDefault="0056238B">
            <w:pPr>
              <w:pStyle w:val="Table"/>
              <w:jc w:val="center"/>
              <w:rPr>
                <w:rFonts w:ascii="Calibri" w:hAnsi="Calibri"/>
                <w:sz w:val="21"/>
                <w:szCs w:val="21"/>
              </w:rPr>
            </w:pPr>
            <w:r>
              <w:rPr>
                <w:rFonts w:ascii="Calibri" w:hAnsi="Calibri"/>
                <w:sz w:val="21"/>
                <w:szCs w:val="21"/>
              </w:rPr>
              <w:t>2</w:t>
            </w:r>
          </w:p>
        </w:tc>
        <w:tc>
          <w:tcPr>
            <w:tcW w:w="6645" w:type="dxa"/>
            <w:tcBorders>
              <w:left w:val="single" w:sz="2" w:space="0" w:color="000000"/>
              <w:bottom w:val="single" w:sz="2" w:space="0" w:color="000000"/>
              <w:right w:val="single" w:sz="2" w:space="0" w:color="000000"/>
            </w:tcBorders>
            <w:tcMar>
              <w:top w:w="55" w:type="dxa"/>
              <w:left w:w="55" w:type="dxa"/>
              <w:bottom w:w="55" w:type="dxa"/>
              <w:right w:w="55" w:type="dxa"/>
            </w:tcMar>
          </w:tcPr>
          <w:p w:rsidR="0045311A" w:rsidRDefault="0056238B">
            <w:pPr>
              <w:pStyle w:val="Table"/>
              <w:jc w:val="left"/>
              <w:rPr>
                <w:rFonts w:ascii="Calibri" w:hAnsi="Calibri"/>
                <w:sz w:val="21"/>
                <w:szCs w:val="21"/>
              </w:rPr>
            </w:pPr>
            <w:r>
              <w:rPr>
                <w:rFonts w:ascii="Calibri" w:hAnsi="Calibri"/>
                <w:sz w:val="21"/>
                <w:szCs w:val="21"/>
              </w:rPr>
              <w:t xml:space="preserve">1 an à compter de sa </w:t>
            </w:r>
            <w:r w:rsidR="003654AF">
              <w:rPr>
                <w:rFonts w:ascii="Calibri" w:hAnsi="Calibri"/>
                <w:sz w:val="21"/>
                <w:szCs w:val="21"/>
              </w:rPr>
              <w:t xml:space="preserve">date </w:t>
            </w:r>
            <w:r>
              <w:rPr>
                <w:rFonts w:ascii="Calibri" w:hAnsi="Calibri"/>
                <w:sz w:val="21"/>
                <w:szCs w:val="21"/>
              </w:rPr>
              <w:t>notification</w:t>
            </w:r>
          </w:p>
        </w:tc>
      </w:tr>
    </w:tbl>
    <w:p w:rsidR="0045311A" w:rsidRDefault="0056238B">
      <w:pPr>
        <w:pStyle w:val="Standard"/>
        <w:rPr>
          <w:szCs w:val="21"/>
        </w:rPr>
      </w:pPr>
      <w:r>
        <w:rPr>
          <w:szCs w:val="21"/>
        </w:rPr>
        <w:t>La marché est reconductible par période d'un an, dans la limite de 1 reconduction.</w:t>
      </w:r>
    </w:p>
    <w:p w:rsidR="0045311A" w:rsidRDefault="0045311A">
      <w:pPr>
        <w:pStyle w:val="Standard"/>
        <w:rPr>
          <w:szCs w:val="21"/>
        </w:rPr>
      </w:pPr>
    </w:p>
    <w:p w:rsidR="0045311A" w:rsidRDefault="0056238B">
      <w:pPr>
        <w:pStyle w:val="Standard"/>
        <w:rPr>
          <w:szCs w:val="21"/>
        </w:rPr>
      </w:pPr>
      <w:r>
        <w:rPr>
          <w:szCs w:val="21"/>
        </w:rPr>
        <w:t>La reconduction du marché se fera de manière tacite.</w:t>
      </w:r>
    </w:p>
    <w:p w:rsidR="0045311A" w:rsidRDefault="0045311A">
      <w:pPr>
        <w:pStyle w:val="Standard"/>
        <w:rPr>
          <w:szCs w:val="21"/>
        </w:rPr>
      </w:pPr>
    </w:p>
    <w:p w:rsidR="0045311A" w:rsidRDefault="0056238B">
      <w:pPr>
        <w:pStyle w:val="Standard"/>
        <w:rPr>
          <w:szCs w:val="21"/>
        </w:rPr>
      </w:pPr>
      <w:r>
        <w:rPr>
          <w:szCs w:val="21"/>
        </w:rPr>
        <w:t xml:space="preserve">En cas de décision de non reconduction du marché, le </w:t>
      </w:r>
      <w:r>
        <w:rPr>
          <w:szCs w:val="21"/>
        </w:rPr>
        <w:t>représentant du pouvoir adjudicateur transmet sa décision au titulaire par lettre recommandée avec accusé de réception au plus tard 2 mois avant la fin de la durée de validité du marché.</w:t>
      </w:r>
    </w:p>
    <w:p w:rsidR="0045311A" w:rsidRDefault="0056238B">
      <w:pPr>
        <w:pStyle w:val="Standard"/>
        <w:rPr>
          <w:szCs w:val="21"/>
        </w:rPr>
      </w:pPr>
      <w:r>
        <w:rPr>
          <w:szCs w:val="21"/>
        </w:rPr>
        <w:t xml:space="preserve"> </w:t>
      </w:r>
    </w:p>
    <w:p w:rsidR="0045311A" w:rsidRDefault="0056238B">
      <w:pPr>
        <w:pStyle w:val="Standard"/>
        <w:rPr>
          <w:szCs w:val="21"/>
        </w:rPr>
      </w:pPr>
      <w:r>
        <w:rPr>
          <w:szCs w:val="21"/>
        </w:rPr>
        <w:t>Les bons de commande émis en fin de marché ne pourront voir leur ex</w:t>
      </w:r>
      <w:r>
        <w:rPr>
          <w:szCs w:val="21"/>
        </w:rPr>
        <w:t>écution se prolonger de plus de 3 mois après la date d'expiration du marché.</w:t>
      </w:r>
    </w:p>
    <w:p w:rsidR="0045311A" w:rsidRDefault="0045311A">
      <w:pPr>
        <w:pStyle w:val="Standard"/>
        <w:rPr>
          <w:szCs w:val="21"/>
        </w:rPr>
      </w:pPr>
    </w:p>
    <w:p w:rsidR="0045311A" w:rsidRDefault="0056238B">
      <w:pPr>
        <w:pStyle w:val="Standard"/>
        <w:rPr>
          <w:szCs w:val="21"/>
        </w:rPr>
      </w:pPr>
      <w:r>
        <w:rPr>
          <w:szCs w:val="21"/>
        </w:rPr>
        <w:t>Les bons de commandes pourront être émis jusqu'au dernier jour de la période de validité du marché.</w:t>
      </w:r>
    </w:p>
    <w:p w:rsidR="0045311A" w:rsidRDefault="0056238B">
      <w:pPr>
        <w:pStyle w:val="Titre2"/>
      </w:pPr>
      <w:r>
        <w:t>Options</w:t>
      </w:r>
    </w:p>
    <w:p w:rsidR="0045311A" w:rsidRDefault="0056238B">
      <w:pPr>
        <w:pStyle w:val="Standard"/>
        <w:rPr>
          <w:b/>
          <w:szCs w:val="21"/>
        </w:rPr>
      </w:pPr>
      <w:r>
        <w:rPr>
          <w:b/>
          <w:szCs w:val="21"/>
        </w:rPr>
        <w:t>Prestations supplémentaires éventuelles (PSE)</w:t>
      </w:r>
    </w:p>
    <w:p w:rsidR="0045311A" w:rsidRDefault="0045311A">
      <w:pPr>
        <w:pStyle w:val="Standard"/>
        <w:rPr>
          <w:szCs w:val="21"/>
        </w:rPr>
      </w:pPr>
    </w:p>
    <w:p w:rsidR="0045311A" w:rsidRDefault="0056238B">
      <w:pPr>
        <w:pStyle w:val="Standard"/>
        <w:rPr>
          <w:szCs w:val="21"/>
        </w:rPr>
      </w:pPr>
      <w:r>
        <w:rPr>
          <w:szCs w:val="21"/>
        </w:rPr>
        <w:t>La présente consultati</w:t>
      </w:r>
      <w:r>
        <w:rPr>
          <w:szCs w:val="21"/>
        </w:rPr>
        <w:t>on n'impose pas de prestations supplémentaires éventuelles.</w:t>
      </w:r>
    </w:p>
    <w:p w:rsidR="0045311A" w:rsidRDefault="0056238B">
      <w:pPr>
        <w:pStyle w:val="Titre2"/>
      </w:pPr>
      <w:r>
        <w:t>Clause obligatoire d'insertion par l'activité économique</w:t>
      </w:r>
    </w:p>
    <w:p w:rsidR="0045311A" w:rsidRDefault="0056238B">
      <w:pPr>
        <w:pStyle w:val="Standard"/>
        <w:rPr>
          <w:szCs w:val="21"/>
        </w:rPr>
      </w:pPr>
      <w:r>
        <w:rPr>
          <w:szCs w:val="21"/>
        </w:rPr>
        <w:t>Le marché ne prévoit pas la mise en place d'une clause obligatoire d'insertion par l'activité économique.</w:t>
      </w:r>
    </w:p>
    <w:p w:rsidR="0045311A" w:rsidRDefault="0056238B">
      <w:pPr>
        <w:pStyle w:val="Titre2"/>
      </w:pPr>
      <w:r>
        <w:lastRenderedPageBreak/>
        <w:t>Groupements d'opérateurs économ</w:t>
      </w:r>
      <w:r>
        <w:t>iques</w:t>
      </w:r>
    </w:p>
    <w:p w:rsidR="0045311A" w:rsidRDefault="0056238B">
      <w:pPr>
        <w:pStyle w:val="Standard"/>
        <w:rPr>
          <w:szCs w:val="21"/>
        </w:rPr>
      </w:pPr>
      <w:r>
        <w:rPr>
          <w:szCs w:val="21"/>
        </w:rPr>
        <w:t>Les opérateurs économiques peuvent se porter candidats individuellement ou sous forme de groupement solidaire ou de groupement conjoint.</w:t>
      </w:r>
    </w:p>
    <w:p w:rsidR="0045311A" w:rsidRDefault="0045311A">
      <w:pPr>
        <w:pStyle w:val="Standard"/>
        <w:rPr>
          <w:szCs w:val="21"/>
        </w:rPr>
      </w:pPr>
    </w:p>
    <w:p w:rsidR="0045311A" w:rsidRDefault="0056238B">
      <w:pPr>
        <w:pStyle w:val="Standard"/>
        <w:rPr>
          <w:szCs w:val="21"/>
        </w:rPr>
      </w:pPr>
      <w:r>
        <w:rPr>
          <w:szCs w:val="21"/>
        </w:rPr>
        <w:t xml:space="preserve"> Ils ne peuvent modifier la composition de leur groupement entre la date de remise des candidatures et la date </w:t>
      </w:r>
      <w:r>
        <w:rPr>
          <w:szCs w:val="21"/>
        </w:rPr>
        <w:t>de signature du marché. L'entreprise mandataire d'un groupement ne pourra représenter, en cette qualité, plus d'un groupement pour un même marché.</w:t>
      </w:r>
    </w:p>
    <w:p w:rsidR="0045311A" w:rsidRDefault="0045311A">
      <w:pPr>
        <w:pStyle w:val="Standard"/>
        <w:rPr>
          <w:szCs w:val="21"/>
        </w:rPr>
      </w:pPr>
    </w:p>
    <w:p w:rsidR="0045311A" w:rsidRDefault="0056238B">
      <w:pPr>
        <w:pStyle w:val="Standard"/>
        <w:rPr>
          <w:szCs w:val="21"/>
          <w:u w:val="single"/>
        </w:rPr>
      </w:pPr>
      <w:r>
        <w:rPr>
          <w:szCs w:val="21"/>
          <w:u w:val="single"/>
        </w:rPr>
        <w:t>Forme juridique que devra revêtir le groupement attributaire :</w:t>
      </w:r>
    </w:p>
    <w:p w:rsidR="0045311A" w:rsidRDefault="0056238B">
      <w:pPr>
        <w:pStyle w:val="Standard"/>
        <w:rPr>
          <w:szCs w:val="21"/>
        </w:rPr>
      </w:pPr>
      <w:r>
        <w:rPr>
          <w:b/>
          <w:szCs w:val="21"/>
        </w:rPr>
        <w:t>Aucune forme</w:t>
      </w:r>
      <w:r>
        <w:rPr>
          <w:szCs w:val="21"/>
        </w:rPr>
        <w:t xml:space="preserve"> de groupement, conjoint ou solidaire, n'est exigée après attribution du marché.</w:t>
      </w:r>
    </w:p>
    <w:p w:rsidR="0045311A" w:rsidRDefault="0045311A">
      <w:pPr>
        <w:pStyle w:val="Standard"/>
        <w:rPr>
          <w:szCs w:val="21"/>
        </w:rPr>
      </w:pPr>
    </w:p>
    <w:p w:rsidR="0045311A" w:rsidRDefault="0045311A">
      <w:pPr>
        <w:pStyle w:val="Standard"/>
        <w:rPr>
          <w:szCs w:val="21"/>
        </w:rPr>
      </w:pPr>
    </w:p>
    <w:p w:rsidR="0045311A" w:rsidRDefault="0056238B">
      <w:pPr>
        <w:pStyle w:val="Titre2"/>
      </w:pPr>
      <w:r>
        <w:t>Conditions relatives au marché</w:t>
      </w:r>
    </w:p>
    <w:p w:rsidR="0045311A" w:rsidRDefault="0056238B">
      <w:pPr>
        <w:pStyle w:val="Titre3"/>
      </w:pPr>
      <w:r>
        <w:t>Cautionnement et garanties exigées</w:t>
      </w:r>
    </w:p>
    <w:p w:rsidR="0045311A" w:rsidRDefault="0056238B">
      <w:pPr>
        <w:pStyle w:val="Standard"/>
        <w:rPr>
          <w:szCs w:val="21"/>
        </w:rPr>
      </w:pPr>
      <w:r>
        <w:rPr>
          <w:szCs w:val="21"/>
        </w:rPr>
        <w:t>Pas de cautionnement, ni de garantie demandés au titre des articles R2191-32 à 42 du Code de la commande p</w:t>
      </w:r>
      <w:r>
        <w:rPr>
          <w:szCs w:val="21"/>
        </w:rPr>
        <w:t>ublique.</w:t>
      </w:r>
    </w:p>
    <w:p w:rsidR="0045311A" w:rsidRDefault="0056238B">
      <w:pPr>
        <w:pStyle w:val="Titre3"/>
      </w:pPr>
      <w:r>
        <w:t>Modalités essentielles de financement et de paiement</w:t>
      </w:r>
    </w:p>
    <w:p w:rsidR="0045311A" w:rsidRDefault="0045311A">
      <w:pPr>
        <w:pStyle w:val="Textbody"/>
        <w:rPr>
          <w:rFonts w:ascii="Calibri" w:hAnsi="Calibri"/>
          <w:szCs w:val="21"/>
        </w:rPr>
      </w:pPr>
    </w:p>
    <w:p w:rsidR="0045311A" w:rsidRDefault="0056238B">
      <w:pPr>
        <w:pStyle w:val="Standard"/>
        <w:rPr>
          <w:szCs w:val="21"/>
        </w:rPr>
      </w:pPr>
      <w:r>
        <w:rPr>
          <w:szCs w:val="21"/>
        </w:rPr>
        <w:t>Le marché est financé par ressources budgétaires propres.</w:t>
      </w:r>
    </w:p>
    <w:p w:rsidR="0045311A" w:rsidRDefault="0045311A">
      <w:pPr>
        <w:pStyle w:val="Standard"/>
        <w:rPr>
          <w:szCs w:val="21"/>
        </w:rPr>
      </w:pPr>
    </w:p>
    <w:p w:rsidR="0045311A" w:rsidRDefault="0056238B">
      <w:pPr>
        <w:pStyle w:val="Standard"/>
        <w:rPr>
          <w:szCs w:val="21"/>
        </w:rPr>
      </w:pPr>
      <w:r>
        <w:rPr>
          <w:szCs w:val="21"/>
        </w:rPr>
        <w:t>Les règlements seront effectués par virement bancaire dans un délai de 30 jours.</w:t>
      </w:r>
    </w:p>
    <w:p w:rsidR="0045311A" w:rsidRDefault="0045311A">
      <w:pPr>
        <w:pStyle w:val="Standard"/>
        <w:rPr>
          <w:szCs w:val="21"/>
        </w:rPr>
      </w:pPr>
    </w:p>
    <w:p w:rsidR="0045311A" w:rsidRDefault="0056238B">
      <w:pPr>
        <w:pStyle w:val="Standard"/>
        <w:rPr>
          <w:szCs w:val="21"/>
        </w:rPr>
      </w:pPr>
      <w:r>
        <w:rPr>
          <w:szCs w:val="21"/>
        </w:rPr>
        <w:t>La référence du ou des comptes bancaires où les pai</w:t>
      </w:r>
      <w:r>
        <w:rPr>
          <w:szCs w:val="21"/>
        </w:rPr>
        <w:t>ements devront être effectués, doit être précisée dans l'acte d'engagement.</w:t>
      </w:r>
    </w:p>
    <w:p w:rsidR="0045311A" w:rsidRDefault="0045311A">
      <w:pPr>
        <w:pStyle w:val="Standard"/>
        <w:rPr>
          <w:szCs w:val="21"/>
        </w:rPr>
      </w:pPr>
    </w:p>
    <w:p w:rsidR="0045311A" w:rsidRDefault="0056238B">
      <w:pPr>
        <w:pStyle w:val="Standard"/>
        <w:rPr>
          <w:szCs w:val="21"/>
        </w:rPr>
      </w:pPr>
      <w:r>
        <w:rPr>
          <w:szCs w:val="21"/>
        </w:rPr>
        <w:t>Le marché est à prix unitaire.</w:t>
      </w:r>
    </w:p>
    <w:p w:rsidR="0045311A" w:rsidRDefault="0045311A">
      <w:pPr>
        <w:pStyle w:val="Standard"/>
        <w:rPr>
          <w:szCs w:val="21"/>
        </w:rPr>
      </w:pPr>
    </w:p>
    <w:p w:rsidR="0045311A" w:rsidRDefault="0056238B">
      <w:pPr>
        <w:pStyle w:val="Standard"/>
        <w:rPr>
          <w:szCs w:val="21"/>
        </w:rPr>
      </w:pPr>
      <w:r>
        <w:rPr>
          <w:szCs w:val="21"/>
        </w:rPr>
        <w:t>Le marché est conclu à pr</w:t>
      </w:r>
      <w:r>
        <w:rPr>
          <w:szCs w:val="21"/>
        </w:rPr>
        <w:t>ix révisables.</w:t>
      </w:r>
    </w:p>
    <w:p w:rsidR="0045311A" w:rsidRDefault="0056238B">
      <w:pPr>
        <w:pStyle w:val="Titre1"/>
      </w:pPr>
      <w:r>
        <w:t>DOSSIER DE CONSULTATION DES ENTREPRISES (DCE)</w:t>
      </w:r>
    </w:p>
    <w:p w:rsidR="0045311A" w:rsidRDefault="0056238B">
      <w:pPr>
        <w:pStyle w:val="Standard"/>
        <w:rPr>
          <w:szCs w:val="21"/>
        </w:rPr>
      </w:pPr>
      <w:r>
        <w:rPr>
          <w:szCs w:val="21"/>
        </w:rPr>
        <w:t xml:space="preserve">Le Dossier de Consultation des Entreprises (DCE) est remis </w:t>
      </w:r>
      <w:r>
        <w:rPr>
          <w:szCs w:val="21"/>
        </w:rPr>
        <w:t>gratuitement à chaque candidat. Il est disponible à l'adresse électronique suivante : marchespublics.mairie-marseille.fr</w:t>
      </w:r>
    </w:p>
    <w:p w:rsidR="0045311A" w:rsidRDefault="0045311A">
      <w:pPr>
        <w:pStyle w:val="Standard"/>
        <w:rPr>
          <w:szCs w:val="21"/>
        </w:rPr>
      </w:pPr>
    </w:p>
    <w:p w:rsidR="0045311A" w:rsidRDefault="0056238B">
      <w:pPr>
        <w:pStyle w:val="Standard"/>
        <w:rPr>
          <w:szCs w:val="21"/>
        </w:rPr>
      </w:pPr>
      <w:r>
        <w:rPr>
          <w:szCs w:val="21"/>
        </w:rPr>
        <w:t xml:space="preserve">Il ne sera transmis aucun DCE sur support physique. </w:t>
      </w:r>
      <w:r>
        <w:rPr>
          <w:color w:val="000000"/>
          <w:szCs w:val="21"/>
        </w:rPr>
        <w:t>Le pouvoir adjudicateur se réserve le droit d'apporter des modifications de détail</w:t>
      </w:r>
      <w:r>
        <w:rPr>
          <w:color w:val="000000"/>
          <w:szCs w:val="21"/>
        </w:rPr>
        <w:t xml:space="preserve"> au dossier de consultation au plus tard </w:t>
      </w:r>
      <w:r>
        <w:rPr>
          <w:b/>
          <w:color w:val="0000FF"/>
          <w:szCs w:val="21"/>
        </w:rPr>
        <w:t>7 (sept)</w:t>
      </w:r>
      <w:r>
        <w:rPr>
          <w:color w:val="000000"/>
          <w:szCs w:val="21"/>
        </w:rPr>
        <w:t xml:space="preserve"> jours avant la date limite de réception des offres.</w:t>
      </w:r>
    </w:p>
    <w:p w:rsidR="0045311A" w:rsidRDefault="0045311A">
      <w:pPr>
        <w:pStyle w:val="Standard"/>
        <w:rPr>
          <w:color w:val="000000"/>
          <w:szCs w:val="21"/>
        </w:rPr>
      </w:pPr>
    </w:p>
    <w:p w:rsidR="0045311A" w:rsidRDefault="0056238B">
      <w:pPr>
        <w:pStyle w:val="Standard"/>
        <w:rPr>
          <w:color w:val="000000"/>
          <w:szCs w:val="21"/>
        </w:rPr>
      </w:pPr>
      <w:r>
        <w:rPr>
          <w:color w:val="000000"/>
          <w:szCs w:val="21"/>
        </w:rPr>
        <w:t xml:space="preserve"> Ce délai est décompté à partir de la date d'envoi, par l'administration, du dossier modifié aux personnes ayant retiré le dossier initial. Les candidat</w:t>
      </w:r>
      <w:r>
        <w:rPr>
          <w:color w:val="000000"/>
          <w:szCs w:val="21"/>
        </w:rPr>
        <w:t>s devront alors répondre sur la base du dossier modifié sans pouvoir élever de réclamation à ce sujet. En cas de report, par l'administration, de la date limite de remise des plis, c'est en fonction de la nouvelle date fixée que sera calculé le délai susme</w:t>
      </w:r>
      <w:r>
        <w:rPr>
          <w:color w:val="000000"/>
          <w:szCs w:val="21"/>
        </w:rPr>
        <w:t>ntionné.</w:t>
      </w:r>
    </w:p>
    <w:p w:rsidR="0045311A" w:rsidRDefault="0056238B">
      <w:pPr>
        <w:pStyle w:val="Standard"/>
        <w:rPr>
          <w:szCs w:val="21"/>
        </w:rPr>
      </w:pPr>
      <w:r>
        <w:rPr>
          <w:szCs w:val="21"/>
        </w:rPr>
        <w:t>Le DCE comporte les documents suivants :</w:t>
      </w:r>
    </w:p>
    <w:p w:rsidR="0045311A" w:rsidRDefault="0045311A">
      <w:pPr>
        <w:pStyle w:val="Standard"/>
        <w:rPr>
          <w:szCs w:val="21"/>
        </w:rPr>
      </w:pPr>
    </w:p>
    <w:p w:rsidR="0045311A" w:rsidRDefault="0056238B">
      <w:pPr>
        <w:pStyle w:val="Standard"/>
        <w:rPr>
          <w:szCs w:val="21"/>
        </w:rPr>
      </w:pPr>
      <w:r>
        <w:rPr>
          <w:szCs w:val="21"/>
        </w:rPr>
        <w:t>- le Règlement de la Consultation (RC)</w:t>
      </w:r>
    </w:p>
    <w:p w:rsidR="0045311A" w:rsidRDefault="0056238B">
      <w:pPr>
        <w:pStyle w:val="Standard"/>
        <w:rPr>
          <w:szCs w:val="21"/>
        </w:rPr>
      </w:pPr>
      <w:r>
        <w:rPr>
          <w:szCs w:val="21"/>
        </w:rPr>
        <w:t>- l'annexe n°1 au RC relative au Guide de la dématérialisation des marchés publics</w:t>
      </w:r>
    </w:p>
    <w:p w:rsidR="0045311A" w:rsidRDefault="0056238B">
      <w:pPr>
        <w:pStyle w:val="Standard"/>
        <w:rPr>
          <w:szCs w:val="21"/>
        </w:rPr>
      </w:pPr>
      <w:r>
        <w:rPr>
          <w:szCs w:val="21"/>
        </w:rPr>
        <w:lastRenderedPageBreak/>
        <w:t>- le Cahier des Clauses Administratives Particulières (CCAP)</w:t>
      </w:r>
    </w:p>
    <w:p w:rsidR="0045311A" w:rsidRDefault="0056238B">
      <w:pPr>
        <w:pStyle w:val="Standard"/>
        <w:rPr>
          <w:szCs w:val="21"/>
        </w:rPr>
      </w:pPr>
      <w:r>
        <w:rPr>
          <w:szCs w:val="21"/>
        </w:rPr>
        <w:t xml:space="preserve">- le Cahier des </w:t>
      </w:r>
      <w:r>
        <w:rPr>
          <w:szCs w:val="21"/>
        </w:rPr>
        <w:t>Clauses Techniques Particulières (CCTP) pour les lots 1 et 2</w:t>
      </w:r>
    </w:p>
    <w:p w:rsidR="0045311A" w:rsidRDefault="0056238B">
      <w:pPr>
        <w:pStyle w:val="Standard"/>
        <w:rPr>
          <w:szCs w:val="21"/>
        </w:rPr>
      </w:pPr>
      <w:r>
        <w:rPr>
          <w:szCs w:val="21"/>
        </w:rPr>
        <w:t>- l'Acte d'Engagement (AE) - cadre de réponse pour les lots 1 et 2.</w:t>
      </w:r>
    </w:p>
    <w:p w:rsidR="0045311A" w:rsidRDefault="0056238B">
      <w:pPr>
        <w:pStyle w:val="Standard"/>
        <w:rPr>
          <w:szCs w:val="21"/>
        </w:rPr>
      </w:pPr>
      <w:r>
        <w:rPr>
          <w:szCs w:val="21"/>
        </w:rPr>
        <w:t>- l'Annexe 1 à l'Acte d'Engagement concernant le taux de remise pour chaque lot</w:t>
      </w:r>
    </w:p>
    <w:p w:rsidR="0045311A" w:rsidRDefault="0056238B">
      <w:pPr>
        <w:pStyle w:val="Standard"/>
        <w:rPr>
          <w:szCs w:val="21"/>
        </w:rPr>
      </w:pPr>
      <w:r>
        <w:rPr>
          <w:szCs w:val="21"/>
        </w:rPr>
        <w:t>- le Bordereau de Prix Unitaires  - cadre de ré</w:t>
      </w:r>
      <w:r>
        <w:rPr>
          <w:szCs w:val="21"/>
        </w:rPr>
        <w:t>ponse pour le lot 1 et le lot 2</w:t>
      </w:r>
    </w:p>
    <w:p w:rsidR="0045311A" w:rsidRDefault="0056238B">
      <w:pPr>
        <w:pStyle w:val="Standard"/>
        <w:rPr>
          <w:szCs w:val="21"/>
        </w:rPr>
      </w:pPr>
      <w:r>
        <w:rPr>
          <w:szCs w:val="21"/>
        </w:rPr>
        <w:t>- le Détail quantitatif et Estimatif (DQE)  - cadre de réponse pour le lot 1 et le lot 2.</w:t>
      </w:r>
    </w:p>
    <w:p w:rsidR="0045311A" w:rsidRDefault="0056238B">
      <w:pPr>
        <w:pStyle w:val="Standard"/>
        <w:rPr>
          <w:szCs w:val="21"/>
        </w:rPr>
      </w:pPr>
      <w:r>
        <w:rPr>
          <w:szCs w:val="21"/>
        </w:rPr>
        <w:t>- le formulaire de lettre de candidature DC1 (établi par le MINEFE, téléchargeable à l'adresse suivante : https://www.economie.gouv.</w:t>
      </w:r>
      <w:r>
        <w:rPr>
          <w:szCs w:val="21"/>
        </w:rPr>
        <w:t>fr/daj/formulaires-marches-publics)</w:t>
      </w:r>
    </w:p>
    <w:p w:rsidR="0045311A" w:rsidRDefault="0056238B">
      <w:pPr>
        <w:pStyle w:val="Standard"/>
        <w:rPr>
          <w:szCs w:val="21"/>
        </w:rPr>
      </w:pPr>
      <w:r>
        <w:rPr>
          <w:szCs w:val="21"/>
        </w:rPr>
        <w:t>- le formulaire de déclaration de candidature DC2 (établi par le MINEFE, téléchargeable à l'adresse suivante : https://www.economie.gouv.fr/daj/formulaires-marches-publics)</w:t>
      </w:r>
    </w:p>
    <w:p w:rsidR="0045311A" w:rsidRDefault="0045311A">
      <w:pPr>
        <w:pStyle w:val="Standard"/>
        <w:rPr>
          <w:szCs w:val="21"/>
        </w:rPr>
      </w:pPr>
    </w:p>
    <w:p w:rsidR="0045311A" w:rsidRDefault="0056238B">
      <w:pPr>
        <w:pStyle w:val="Titre1"/>
      </w:pPr>
      <w:r>
        <w:t>ELEMENTS EXIGES DU CANDIDAT</w:t>
      </w:r>
    </w:p>
    <w:p w:rsidR="0045311A" w:rsidRDefault="0056238B">
      <w:pPr>
        <w:pStyle w:val="Standard"/>
        <w:rPr>
          <w:szCs w:val="21"/>
        </w:rPr>
      </w:pPr>
      <w:r>
        <w:rPr>
          <w:szCs w:val="21"/>
        </w:rPr>
        <w:t>Tous les docume</w:t>
      </w:r>
      <w:r>
        <w:rPr>
          <w:szCs w:val="21"/>
        </w:rPr>
        <w:t>nts, pièces et attestations remis au titre de la candidature ou de l'offre par le candidat sont établis en langue française et exprimées en EURO. A défaut, ils doivent être accompagnés d'une traduction en langue française.</w:t>
      </w:r>
    </w:p>
    <w:p w:rsidR="0045311A" w:rsidRDefault="0056238B">
      <w:pPr>
        <w:pStyle w:val="Titre2"/>
      </w:pPr>
      <w:r>
        <w:t>Renseignements et documents deman</w:t>
      </w:r>
      <w:r>
        <w:t>dés à l'appui des candidatures</w:t>
      </w:r>
    </w:p>
    <w:p w:rsidR="0045311A" w:rsidRDefault="0056238B">
      <w:pPr>
        <w:pStyle w:val="Standard"/>
        <w:rPr>
          <w:szCs w:val="21"/>
        </w:rPr>
      </w:pPr>
      <w:r>
        <w:rPr>
          <w:szCs w:val="21"/>
        </w:rPr>
        <w:t>Pour présenter leur candidature, le(s) candidat(s) peuvent utiliser soit :</w:t>
      </w:r>
    </w:p>
    <w:p w:rsidR="0045311A" w:rsidRDefault="0056238B">
      <w:pPr>
        <w:pStyle w:val="Standard"/>
        <w:rPr>
          <w:szCs w:val="21"/>
        </w:rPr>
      </w:pPr>
      <w:r>
        <w:rPr>
          <w:szCs w:val="21"/>
        </w:rPr>
        <w:t>- les formulaires DC1 (lettre de candidature) et DC2 (déclaration du candidat) ;</w:t>
      </w:r>
    </w:p>
    <w:p w:rsidR="0045311A" w:rsidRDefault="0056238B">
      <w:pPr>
        <w:pStyle w:val="Standard"/>
        <w:rPr>
          <w:szCs w:val="21"/>
        </w:rPr>
      </w:pPr>
      <w:r>
        <w:rPr>
          <w:szCs w:val="21"/>
        </w:rPr>
        <w:t>- le DUME (Document Unique de Marché Européen).</w:t>
      </w:r>
    </w:p>
    <w:p w:rsidR="0045311A" w:rsidRDefault="0045311A">
      <w:pPr>
        <w:pStyle w:val="Standard"/>
        <w:rPr>
          <w:szCs w:val="21"/>
        </w:rPr>
      </w:pPr>
    </w:p>
    <w:p w:rsidR="0045311A" w:rsidRDefault="0056238B">
      <w:pPr>
        <w:pStyle w:val="Standard"/>
        <w:rPr>
          <w:szCs w:val="21"/>
        </w:rPr>
      </w:pPr>
      <w:r>
        <w:rPr>
          <w:szCs w:val="21"/>
        </w:rPr>
        <w:t>Les informations co</w:t>
      </w:r>
      <w:r>
        <w:rPr>
          <w:szCs w:val="21"/>
        </w:rPr>
        <w:t>ncernant ces supports sont détaillées dans l'annexe n°1 au présent RC relative au Guide de la dématérialisation des marchés publics.</w:t>
      </w:r>
    </w:p>
    <w:p w:rsidR="0045311A" w:rsidRDefault="0045311A">
      <w:pPr>
        <w:pStyle w:val="Standard"/>
        <w:rPr>
          <w:szCs w:val="21"/>
        </w:rPr>
      </w:pPr>
    </w:p>
    <w:p w:rsidR="0045311A" w:rsidRDefault="0056238B">
      <w:pPr>
        <w:pStyle w:val="Standard"/>
        <w:rPr>
          <w:szCs w:val="21"/>
        </w:rPr>
      </w:pPr>
      <w:r>
        <w:rPr>
          <w:szCs w:val="21"/>
        </w:rPr>
        <w:t>Chaque candidat doit produire un dossier complet comprenant les pièces décrites ci-après.</w:t>
      </w:r>
    </w:p>
    <w:p w:rsidR="0045311A" w:rsidRDefault="0045311A">
      <w:pPr>
        <w:pStyle w:val="Standard"/>
        <w:rPr>
          <w:szCs w:val="21"/>
        </w:rPr>
      </w:pPr>
    </w:p>
    <w:p w:rsidR="0045311A" w:rsidRDefault="0056238B">
      <w:pPr>
        <w:pStyle w:val="Standard"/>
        <w:rPr>
          <w:b/>
          <w:szCs w:val="21"/>
          <w:u w:val="single"/>
        </w:rPr>
      </w:pPr>
      <w:r>
        <w:rPr>
          <w:b/>
          <w:szCs w:val="21"/>
          <w:u w:val="single"/>
        </w:rPr>
        <w:t>1° - Renseignements concernant</w:t>
      </w:r>
      <w:r>
        <w:rPr>
          <w:b/>
          <w:szCs w:val="21"/>
          <w:u w:val="single"/>
        </w:rPr>
        <w:t xml:space="preserve"> la situation juridique du candidat</w:t>
      </w:r>
    </w:p>
    <w:p w:rsidR="0045311A" w:rsidRDefault="0045311A">
      <w:pPr>
        <w:pStyle w:val="Standard"/>
        <w:rPr>
          <w:szCs w:val="21"/>
        </w:rPr>
      </w:pPr>
    </w:p>
    <w:p w:rsidR="0045311A" w:rsidRDefault="0056238B">
      <w:pPr>
        <w:pStyle w:val="Standard"/>
        <w:rPr>
          <w:szCs w:val="21"/>
        </w:rPr>
      </w:pPr>
      <w:r>
        <w:rPr>
          <w:szCs w:val="21"/>
        </w:rPr>
        <w:t>Lettre de candidature dûment remplie et comprenant la déclaration sur l'honneur justifiant qu'il n'entre dans aucun des cas d'interdiction de soumissionner obligatoires prévus aux articles L2141-1 à 11 du Code de la com</w:t>
      </w:r>
      <w:r>
        <w:rPr>
          <w:szCs w:val="21"/>
        </w:rPr>
        <w:t>mande publique.</w:t>
      </w:r>
    </w:p>
    <w:p w:rsidR="0045311A" w:rsidRDefault="0045311A">
      <w:pPr>
        <w:pStyle w:val="Standard"/>
        <w:rPr>
          <w:szCs w:val="21"/>
        </w:rPr>
      </w:pPr>
    </w:p>
    <w:p w:rsidR="0045311A" w:rsidRDefault="0056238B">
      <w:pPr>
        <w:pStyle w:val="Standard"/>
        <w:rPr>
          <w:szCs w:val="21"/>
        </w:rPr>
      </w:pPr>
      <w:r>
        <w:rPr>
          <w:szCs w:val="21"/>
        </w:rPr>
        <w:t>Le cas échéant, en cas de redressement judiciaire, la copie du ou des jugements prononcés à cet effet justifiant que le candidat a bien été habilité à poursuivre son activité pendant la durée prévisible d'exécution du marché.</w:t>
      </w:r>
    </w:p>
    <w:p w:rsidR="0045311A" w:rsidRDefault="0045311A">
      <w:pPr>
        <w:pStyle w:val="Standard"/>
        <w:rPr>
          <w:b/>
          <w:szCs w:val="21"/>
          <w:u w:val="single"/>
        </w:rPr>
      </w:pPr>
    </w:p>
    <w:p w:rsidR="0045311A" w:rsidRDefault="0056238B">
      <w:pPr>
        <w:pStyle w:val="Standard"/>
        <w:rPr>
          <w:b/>
          <w:szCs w:val="21"/>
          <w:u w:val="single"/>
        </w:rPr>
      </w:pPr>
      <w:r>
        <w:rPr>
          <w:b/>
          <w:szCs w:val="21"/>
          <w:u w:val="single"/>
        </w:rPr>
        <w:t xml:space="preserve">2° - </w:t>
      </w:r>
      <w:r>
        <w:rPr>
          <w:b/>
          <w:szCs w:val="21"/>
          <w:u w:val="single"/>
        </w:rPr>
        <w:t>Renseignements concernant la capacité économique et financière de l'entreprise</w:t>
      </w:r>
    </w:p>
    <w:p w:rsidR="0045311A" w:rsidRDefault="0045311A">
      <w:pPr>
        <w:pStyle w:val="Standard"/>
        <w:rPr>
          <w:szCs w:val="21"/>
        </w:rPr>
      </w:pPr>
    </w:p>
    <w:p w:rsidR="0045311A" w:rsidRDefault="0056238B">
      <w:pPr>
        <w:pStyle w:val="Standard"/>
        <w:rPr>
          <w:szCs w:val="21"/>
        </w:rPr>
      </w:pPr>
      <w:r>
        <w:rPr>
          <w:szCs w:val="21"/>
        </w:rPr>
        <w:t xml:space="preserve"> - Déclaration concernant</w:t>
      </w:r>
      <w:r>
        <w:rPr>
          <w:szCs w:val="21"/>
          <w:u w:val="single"/>
        </w:rPr>
        <w:t xml:space="preserve"> le chiffre d'affaires</w:t>
      </w:r>
      <w:r>
        <w:rPr>
          <w:szCs w:val="21"/>
        </w:rPr>
        <w:t xml:space="preserve"> global et le chiffre d'affaires du domaine d'activité faisant l'objet du marché, réalisés au cours des trois derniers exercices </w:t>
      </w:r>
      <w:r>
        <w:rPr>
          <w:szCs w:val="21"/>
        </w:rPr>
        <w:t>disponibles.</w:t>
      </w:r>
    </w:p>
    <w:p w:rsidR="0045311A" w:rsidRDefault="0056238B">
      <w:pPr>
        <w:pStyle w:val="Standard"/>
        <w:rPr>
          <w:szCs w:val="21"/>
        </w:rPr>
      </w:pPr>
      <w:r>
        <w:rPr>
          <w:szCs w:val="21"/>
        </w:rPr>
        <w:t>Les entreprises nouvellement créées ne pouvant produire les chiffres d'affaires des trois derniers exercices devront fournir :</w:t>
      </w:r>
    </w:p>
    <w:p w:rsidR="0045311A" w:rsidRDefault="0056238B">
      <w:pPr>
        <w:pStyle w:val="Standard"/>
        <w:rPr>
          <w:szCs w:val="21"/>
        </w:rPr>
      </w:pPr>
      <w:r>
        <w:rPr>
          <w:szCs w:val="21"/>
        </w:rPr>
        <w:t>- une copie certifiée du récépissé de dépôt du centre de formalités des entreprises (pour vérifier la date de créat</w:t>
      </w:r>
      <w:r>
        <w:rPr>
          <w:szCs w:val="21"/>
        </w:rPr>
        <w:t>ion de l'entreprise),</w:t>
      </w:r>
    </w:p>
    <w:p w:rsidR="0045311A" w:rsidRDefault="0056238B">
      <w:pPr>
        <w:pStyle w:val="Standard"/>
        <w:rPr>
          <w:szCs w:val="21"/>
        </w:rPr>
      </w:pPr>
      <w:r>
        <w:rPr>
          <w:szCs w:val="21"/>
        </w:rPr>
        <w:t>- le montant de leur capital social (pour justifier de leurs capacités économiques et financières).</w:t>
      </w:r>
    </w:p>
    <w:p w:rsidR="0045311A" w:rsidRDefault="0056238B">
      <w:pPr>
        <w:pStyle w:val="Standard"/>
        <w:rPr>
          <w:szCs w:val="21"/>
        </w:rPr>
      </w:pPr>
      <w:r>
        <w:rPr>
          <w:szCs w:val="21"/>
        </w:rPr>
        <w:t xml:space="preserve"> </w:t>
      </w:r>
    </w:p>
    <w:p w:rsidR="0045311A" w:rsidRDefault="0056238B">
      <w:pPr>
        <w:pStyle w:val="Standard"/>
        <w:rPr>
          <w:b/>
          <w:szCs w:val="21"/>
          <w:u w:val="single"/>
        </w:rPr>
      </w:pPr>
      <w:r>
        <w:rPr>
          <w:b/>
          <w:szCs w:val="21"/>
          <w:u w:val="single"/>
        </w:rPr>
        <w:t>3° - Renseignements concernant les références professionnelles et la capacité technique du candidat</w:t>
      </w:r>
    </w:p>
    <w:p w:rsidR="0045311A" w:rsidRDefault="0045311A">
      <w:pPr>
        <w:pStyle w:val="Standard"/>
        <w:rPr>
          <w:szCs w:val="21"/>
        </w:rPr>
      </w:pPr>
    </w:p>
    <w:p w:rsidR="0045311A" w:rsidRDefault="0056238B">
      <w:pPr>
        <w:pStyle w:val="Standard"/>
        <w:rPr>
          <w:b/>
          <w:szCs w:val="21"/>
          <w:u w:val="single"/>
        </w:rPr>
      </w:pPr>
      <w:r>
        <w:rPr>
          <w:szCs w:val="21"/>
        </w:rPr>
        <w:lastRenderedPageBreak/>
        <w:t xml:space="preserve">- Présentation d'une </w:t>
      </w:r>
      <w:r>
        <w:rPr>
          <w:szCs w:val="21"/>
          <w:u w:val="single"/>
        </w:rPr>
        <w:t xml:space="preserve">liste des </w:t>
      </w:r>
      <w:r>
        <w:rPr>
          <w:szCs w:val="21"/>
          <w:u w:val="single"/>
        </w:rPr>
        <w:t>principales livraisons effectuées ou des principaux services fournis</w:t>
      </w:r>
      <w:r>
        <w:rPr>
          <w:szCs w:val="21"/>
        </w:rPr>
        <w:t xml:space="preserve"> au cours des trois dernières années, indiquant le montant, la date et le destinataire public ou privé. Les livraisons et les prestations de services sont prouvées par des attestations du </w:t>
      </w:r>
      <w:r>
        <w:rPr>
          <w:szCs w:val="21"/>
        </w:rPr>
        <w:t>destinataire, ou, à défaut, par une déclaration de l'opérateur économique.</w:t>
      </w:r>
    </w:p>
    <w:p w:rsidR="0045311A" w:rsidRDefault="0045311A">
      <w:pPr>
        <w:pStyle w:val="Standard"/>
        <w:rPr>
          <w:b/>
          <w:szCs w:val="21"/>
          <w:u w:val="single"/>
        </w:rPr>
      </w:pPr>
    </w:p>
    <w:p w:rsidR="0045311A" w:rsidRDefault="0045311A">
      <w:pPr>
        <w:pStyle w:val="Standard"/>
        <w:rPr>
          <w:b/>
          <w:szCs w:val="21"/>
          <w:u w:val="single"/>
        </w:rPr>
      </w:pPr>
    </w:p>
    <w:p w:rsidR="0045311A" w:rsidRDefault="0056238B">
      <w:pPr>
        <w:pStyle w:val="Standard"/>
        <w:rPr>
          <w:szCs w:val="21"/>
        </w:rPr>
      </w:pPr>
      <w:r>
        <w:rPr>
          <w:b/>
          <w:szCs w:val="21"/>
          <w:u w:val="single"/>
        </w:rPr>
        <w:t>Précisions complémentaires</w:t>
      </w:r>
      <w:r>
        <w:rPr>
          <w:szCs w:val="21"/>
        </w:rPr>
        <w:t xml:space="preserve"> :</w:t>
      </w:r>
    </w:p>
    <w:p w:rsidR="0045311A" w:rsidRDefault="0056238B">
      <w:pPr>
        <w:pStyle w:val="Standard"/>
        <w:rPr>
          <w:szCs w:val="21"/>
        </w:rPr>
      </w:pPr>
      <w:r>
        <w:rPr>
          <w:szCs w:val="21"/>
        </w:rPr>
        <w:t>Lorsque le candidat se présente sous la forme d'un groupement, chaque membre du groupement doit fournir les pièces et documents mentionnés ci-dessus (</w:t>
      </w:r>
      <w:r>
        <w:rPr>
          <w:szCs w:val="21"/>
        </w:rPr>
        <w:t>DC2 et annexes ou DUME).</w:t>
      </w:r>
    </w:p>
    <w:p w:rsidR="0045311A" w:rsidRDefault="0056238B">
      <w:pPr>
        <w:pStyle w:val="Standard"/>
        <w:rPr>
          <w:szCs w:val="21"/>
        </w:rPr>
      </w:pPr>
      <w:r>
        <w:rPr>
          <w:szCs w:val="21"/>
        </w:rPr>
        <w:t xml:space="preserve">Si le candidat s'appuie sur d'autres opérateurs économiques pour présenter sa candidature, il doit les mentionner dans son formulaire DC2 (rubrique G) et produire, pour chacun d'eux, les mêmes documents que ceux qui sont exigés de </w:t>
      </w:r>
      <w:r>
        <w:rPr>
          <w:szCs w:val="21"/>
        </w:rPr>
        <w:t>lui pour justifier de ses capacités,</w:t>
      </w:r>
      <w:r>
        <w:rPr>
          <w:szCs w:val="21"/>
          <w:u w:val="single"/>
        </w:rPr>
        <w:t xml:space="preserve"> ainsi qu'un engagement écrit de chacun d'eux justifiant que le titulaire dispose de leurs capacités pour l'exécution des prestations</w:t>
      </w:r>
      <w:r>
        <w:rPr>
          <w:szCs w:val="21"/>
        </w:rPr>
        <w:t>. En cas de déclaration de sous-traitance (formulaire DC4), la signature électronique e</w:t>
      </w:r>
      <w:r>
        <w:rPr>
          <w:szCs w:val="21"/>
        </w:rPr>
        <w:t>st facultative à ce stade.</w:t>
      </w:r>
    </w:p>
    <w:p w:rsidR="0045311A" w:rsidRDefault="0056238B">
      <w:pPr>
        <w:pStyle w:val="Titre2"/>
      </w:pPr>
      <w:r>
        <w:t>Eléments exigés au titre de l'offre</w:t>
      </w:r>
    </w:p>
    <w:p w:rsidR="0045311A" w:rsidRDefault="0056238B">
      <w:pPr>
        <w:pStyle w:val="Titre3"/>
      </w:pPr>
      <w:r>
        <w:t>Présentation des offres</w:t>
      </w:r>
    </w:p>
    <w:p w:rsidR="0045311A" w:rsidRDefault="0056238B">
      <w:pPr>
        <w:pStyle w:val="Standard"/>
        <w:rPr>
          <w:szCs w:val="21"/>
        </w:rPr>
      </w:pPr>
      <w:r>
        <w:rPr>
          <w:szCs w:val="21"/>
        </w:rPr>
        <w:t>L'offre du candidat comporte les pièces ou documents suivants :</w:t>
      </w:r>
    </w:p>
    <w:p w:rsidR="0045311A" w:rsidRDefault="0045311A">
      <w:pPr>
        <w:pStyle w:val="Standard"/>
        <w:rPr>
          <w:szCs w:val="21"/>
        </w:rPr>
      </w:pPr>
    </w:p>
    <w:p w:rsidR="0045311A" w:rsidRDefault="0056238B">
      <w:pPr>
        <w:pStyle w:val="Standard"/>
        <w:rPr>
          <w:szCs w:val="21"/>
        </w:rPr>
      </w:pPr>
      <w:r>
        <w:rPr>
          <w:szCs w:val="21"/>
        </w:rPr>
        <w:t>- un Acte d'Engagement par lot, dûment complété et son annexe n°1</w:t>
      </w:r>
    </w:p>
    <w:p w:rsidR="0045311A" w:rsidRDefault="0056238B">
      <w:pPr>
        <w:pStyle w:val="Standard"/>
        <w:rPr>
          <w:szCs w:val="21"/>
        </w:rPr>
      </w:pPr>
      <w:r>
        <w:rPr>
          <w:szCs w:val="21"/>
        </w:rPr>
        <w:t xml:space="preserve">Rappel : La signature de l'AE n'est </w:t>
      </w:r>
      <w:r>
        <w:rPr>
          <w:szCs w:val="21"/>
        </w:rPr>
        <w:t>que facultative au moment du dépôt de l'offre, mais sera exigée pour l'attributaire.</w:t>
      </w:r>
    </w:p>
    <w:p w:rsidR="0045311A" w:rsidRDefault="0045311A">
      <w:pPr>
        <w:pStyle w:val="Standard"/>
        <w:rPr>
          <w:szCs w:val="21"/>
        </w:rPr>
      </w:pPr>
    </w:p>
    <w:p w:rsidR="0045311A" w:rsidRDefault="0056238B">
      <w:pPr>
        <w:pStyle w:val="Standard"/>
        <w:rPr>
          <w:szCs w:val="21"/>
        </w:rPr>
      </w:pPr>
      <w:r>
        <w:rPr>
          <w:szCs w:val="21"/>
        </w:rPr>
        <w:t>- le Bordereau de Prix Unitaires (BPU) intégralement complété, concernant le ou les lots pour le(s)quel(s) le candidat souhaite soumissionner</w:t>
      </w:r>
    </w:p>
    <w:p w:rsidR="0045311A" w:rsidRDefault="0045311A">
      <w:pPr>
        <w:pStyle w:val="Standard"/>
        <w:rPr>
          <w:szCs w:val="21"/>
        </w:rPr>
      </w:pPr>
    </w:p>
    <w:p w:rsidR="0045311A" w:rsidRDefault="0056238B">
      <w:pPr>
        <w:pStyle w:val="Standard"/>
        <w:rPr>
          <w:szCs w:val="21"/>
        </w:rPr>
      </w:pPr>
      <w:r>
        <w:rPr>
          <w:szCs w:val="21"/>
        </w:rPr>
        <w:t xml:space="preserve">- le Détail Quantitatif et </w:t>
      </w:r>
      <w:r>
        <w:rPr>
          <w:szCs w:val="21"/>
        </w:rPr>
        <w:t>Estimatif (DQE) concernant le ou les lots pour le(s)quel(s) le candidat souhaite soumissionner</w:t>
      </w:r>
    </w:p>
    <w:p w:rsidR="0045311A" w:rsidRDefault="0045311A">
      <w:pPr>
        <w:pStyle w:val="Standard"/>
        <w:rPr>
          <w:szCs w:val="21"/>
        </w:rPr>
      </w:pPr>
    </w:p>
    <w:p w:rsidR="0045311A" w:rsidRDefault="0056238B">
      <w:pPr>
        <w:pStyle w:val="Standard"/>
        <w:rPr>
          <w:szCs w:val="21"/>
        </w:rPr>
      </w:pPr>
      <w:r>
        <w:rPr>
          <w:szCs w:val="21"/>
        </w:rPr>
        <w:t>- Échantillons des matériels suivants :</w:t>
      </w:r>
    </w:p>
    <w:p w:rsidR="0045311A" w:rsidRDefault="0056238B">
      <w:pPr>
        <w:pStyle w:val="Standard"/>
        <w:rPr>
          <w:szCs w:val="21"/>
        </w:rPr>
      </w:pPr>
      <w:r>
        <w:rPr>
          <w:szCs w:val="21"/>
        </w:rPr>
        <w:t>Lot 1 : Casque entrainement boxe, sur-lunette de protection, combinaison de protection, bâton d'entrainement, couteau, p</w:t>
      </w:r>
      <w:r>
        <w:rPr>
          <w:szCs w:val="21"/>
        </w:rPr>
        <w:t>istolet type Glock.</w:t>
      </w:r>
    </w:p>
    <w:p w:rsidR="0045311A" w:rsidRDefault="0045311A">
      <w:pPr>
        <w:pStyle w:val="Standard"/>
        <w:rPr>
          <w:szCs w:val="21"/>
        </w:rPr>
      </w:pPr>
    </w:p>
    <w:p w:rsidR="0045311A" w:rsidRDefault="0056238B">
      <w:pPr>
        <w:pStyle w:val="Standard"/>
        <w:rPr>
          <w:szCs w:val="21"/>
        </w:rPr>
      </w:pPr>
      <w:r>
        <w:rPr>
          <w:szCs w:val="21"/>
        </w:rPr>
        <w:t xml:space="preserve">Lot 2 : Bâton télescopique, casque de maintien de l'ordre, étui pour PIE X2 et X26, plaque tactique de hanche modulable Glock, porte chargeur Glock horizontal, plaque tactique de cuisse modulable de GAIL, zone froide, étui pour </w:t>
      </w:r>
      <w:r>
        <w:rPr>
          <w:szCs w:val="21"/>
        </w:rPr>
        <w:t>PSA-Glock.</w:t>
      </w:r>
    </w:p>
    <w:p w:rsidR="0045311A" w:rsidRDefault="0045311A">
      <w:pPr>
        <w:pStyle w:val="Standard"/>
        <w:rPr>
          <w:szCs w:val="21"/>
        </w:rPr>
      </w:pPr>
    </w:p>
    <w:p w:rsidR="0045311A" w:rsidRDefault="0056238B">
      <w:pPr>
        <w:pStyle w:val="Standard"/>
        <w:rPr>
          <w:szCs w:val="21"/>
        </w:rPr>
      </w:pPr>
      <w:r>
        <w:rPr>
          <w:szCs w:val="21"/>
        </w:rPr>
        <w:t>- Les fiches techniques uniquement des matériels pour lesquels il est demandé un échantillon.</w:t>
      </w:r>
    </w:p>
    <w:p w:rsidR="0045311A" w:rsidRDefault="0045311A">
      <w:pPr>
        <w:pStyle w:val="Standard"/>
        <w:rPr>
          <w:szCs w:val="21"/>
        </w:rPr>
      </w:pPr>
    </w:p>
    <w:p w:rsidR="0045311A" w:rsidRDefault="0056238B">
      <w:pPr>
        <w:pStyle w:val="Standard"/>
        <w:rPr>
          <w:szCs w:val="21"/>
        </w:rPr>
      </w:pPr>
      <w:r>
        <w:rPr>
          <w:szCs w:val="21"/>
        </w:rPr>
        <w:t>- Le mémoire technique : se référer à l'article 6.2</w:t>
      </w:r>
    </w:p>
    <w:p w:rsidR="0045311A" w:rsidRDefault="0056238B">
      <w:pPr>
        <w:pStyle w:val="Standard"/>
        <w:rPr>
          <w:color w:val="111111"/>
          <w:szCs w:val="21"/>
        </w:rPr>
      </w:pPr>
      <w:r>
        <w:rPr>
          <w:color w:val="111111"/>
          <w:szCs w:val="21"/>
          <w:u w:val="single"/>
        </w:rPr>
        <w:t>Dans le cadre du lot n°2,</w:t>
      </w:r>
      <w:r>
        <w:rPr>
          <w:color w:val="111111"/>
          <w:szCs w:val="21"/>
        </w:rPr>
        <w:t xml:space="preserve"> le mémoire technique décrira également le processus de récupération et destruction des bombes aérosols anti-agression usagées et périmées, des bâtons téléscopique ainsi que des tonfa, jusqu'a la transmission des certificats de destruction</w:t>
      </w:r>
    </w:p>
    <w:p w:rsidR="0045311A" w:rsidRDefault="0045311A">
      <w:pPr>
        <w:pStyle w:val="Standard"/>
        <w:rPr>
          <w:szCs w:val="21"/>
        </w:rPr>
      </w:pPr>
    </w:p>
    <w:p w:rsidR="0045311A" w:rsidRDefault="0056238B">
      <w:pPr>
        <w:pStyle w:val="Standard"/>
        <w:rPr>
          <w:szCs w:val="21"/>
        </w:rPr>
      </w:pPr>
      <w:r>
        <w:rPr>
          <w:szCs w:val="21"/>
        </w:rPr>
        <w:t>- Le mémoire en</w:t>
      </w:r>
      <w:r>
        <w:rPr>
          <w:szCs w:val="21"/>
        </w:rPr>
        <w:t>vironnemental : se référer à l'article 6.2</w:t>
      </w:r>
    </w:p>
    <w:p w:rsidR="0045311A" w:rsidRDefault="0045311A">
      <w:pPr>
        <w:pStyle w:val="Standard"/>
        <w:rPr>
          <w:szCs w:val="21"/>
        </w:rPr>
      </w:pPr>
    </w:p>
    <w:p w:rsidR="0045311A" w:rsidRDefault="0056238B">
      <w:pPr>
        <w:pStyle w:val="Standard"/>
        <w:rPr>
          <w:szCs w:val="21"/>
        </w:rPr>
      </w:pPr>
      <w:r>
        <w:rPr>
          <w:szCs w:val="21"/>
        </w:rPr>
        <w:t>- Le (s)  catalogue (s)</w:t>
      </w:r>
    </w:p>
    <w:p w:rsidR="0045311A" w:rsidRDefault="0045311A">
      <w:pPr>
        <w:pStyle w:val="Standard"/>
        <w:rPr>
          <w:szCs w:val="21"/>
        </w:rPr>
      </w:pPr>
    </w:p>
    <w:p w:rsidR="0045311A" w:rsidRDefault="0045311A">
      <w:pPr>
        <w:pStyle w:val="Standard"/>
        <w:rPr>
          <w:color w:val="111111"/>
          <w:szCs w:val="21"/>
        </w:rPr>
      </w:pPr>
    </w:p>
    <w:p w:rsidR="0045311A" w:rsidRDefault="0056238B">
      <w:pPr>
        <w:pStyle w:val="Standard"/>
        <w:rPr>
          <w:color w:val="111111"/>
          <w:szCs w:val="21"/>
        </w:rPr>
      </w:pPr>
      <w:r>
        <w:rPr>
          <w:color w:val="111111"/>
          <w:szCs w:val="21"/>
        </w:rPr>
        <w:lastRenderedPageBreak/>
        <w:t>.</w:t>
      </w:r>
    </w:p>
    <w:p w:rsidR="0045311A" w:rsidRDefault="0056238B">
      <w:pPr>
        <w:pStyle w:val="Standard"/>
        <w:rPr>
          <w:szCs w:val="21"/>
        </w:rPr>
      </w:pPr>
      <w:r>
        <w:rPr>
          <w:szCs w:val="21"/>
        </w:rPr>
        <w:t xml:space="preserve"> </w:t>
      </w:r>
    </w:p>
    <w:p w:rsidR="0045311A" w:rsidRDefault="0056238B">
      <w:pPr>
        <w:pStyle w:val="Titre3"/>
      </w:pPr>
      <w:r>
        <w:t>Présentation de variantes</w:t>
      </w:r>
    </w:p>
    <w:p w:rsidR="0045311A" w:rsidRDefault="0056238B">
      <w:pPr>
        <w:pStyle w:val="Standard"/>
        <w:rPr>
          <w:szCs w:val="21"/>
        </w:rPr>
      </w:pPr>
      <w:r>
        <w:rPr>
          <w:szCs w:val="21"/>
        </w:rPr>
        <w:t>Les candidats ne sont pas autorisés à proposer des variantes de leur propre initiative.</w:t>
      </w:r>
    </w:p>
    <w:p w:rsidR="0045311A" w:rsidRDefault="0056238B">
      <w:pPr>
        <w:pStyle w:val="Titre2"/>
      </w:pPr>
      <w:r>
        <w:t>Visite sur site</w:t>
      </w:r>
    </w:p>
    <w:p w:rsidR="0045311A" w:rsidRDefault="0056238B">
      <w:pPr>
        <w:pStyle w:val="Standard"/>
        <w:rPr>
          <w:szCs w:val="21"/>
        </w:rPr>
      </w:pPr>
      <w:r>
        <w:rPr>
          <w:szCs w:val="21"/>
        </w:rPr>
        <w:t xml:space="preserve"> Il n'est pas prévu de visite sur site.</w:t>
      </w:r>
    </w:p>
    <w:p w:rsidR="0045311A" w:rsidRDefault="0056238B">
      <w:pPr>
        <w:pStyle w:val="Titre1"/>
      </w:pPr>
      <w:r>
        <w:t>REMISE DES</w:t>
      </w:r>
      <w:r>
        <w:t xml:space="preserve"> PLIS PAR LES CANDIDATS</w:t>
      </w:r>
    </w:p>
    <w:p w:rsidR="0045311A" w:rsidRDefault="0056238B">
      <w:pPr>
        <w:pStyle w:val="Titre2"/>
      </w:pPr>
      <w:r>
        <w:t>Remise électronique</w:t>
      </w:r>
    </w:p>
    <w:p w:rsidR="0045311A" w:rsidRDefault="0056238B">
      <w:pPr>
        <w:pStyle w:val="Standard"/>
        <w:rPr>
          <w:szCs w:val="21"/>
        </w:rPr>
      </w:pPr>
      <w:r>
        <w:rPr>
          <w:szCs w:val="21"/>
        </w:rPr>
        <w:t>Le pouvoir adjudicateur impose la transmission des plis par voie électronique sur son profil acheteur marchespublics.mairie-marseille.fr. La transmission par voie papier n'est pas autorisée.</w:t>
      </w:r>
    </w:p>
    <w:p w:rsidR="0045311A" w:rsidRDefault="0045311A">
      <w:pPr>
        <w:pStyle w:val="Standard"/>
        <w:rPr>
          <w:szCs w:val="21"/>
        </w:rPr>
      </w:pPr>
    </w:p>
    <w:p w:rsidR="0045311A" w:rsidRDefault="0056238B">
      <w:pPr>
        <w:pStyle w:val="Standard"/>
        <w:rPr>
          <w:szCs w:val="21"/>
        </w:rPr>
      </w:pPr>
      <w:r>
        <w:rPr>
          <w:szCs w:val="21"/>
        </w:rPr>
        <w:t>Le soumissionnaire t</w:t>
      </w:r>
      <w:r>
        <w:rPr>
          <w:szCs w:val="21"/>
        </w:rPr>
        <w:t>ransmet son pli en une seule fois. Si plusieurs offres sont successivement transmises par un même soumissionnaire, seule est ouverte la dernière offre reçue par l'acheteur dans le délai fixé pour la remise des plis. Ainsi, toute modification ou tout complé</w:t>
      </w:r>
      <w:r>
        <w:rPr>
          <w:szCs w:val="21"/>
        </w:rPr>
        <w:t>ment du soumissionnaire en cours de consultation doit donner lieu à la transmission de l'intégralité des éléments exigés au Règlement de consultation.</w:t>
      </w:r>
    </w:p>
    <w:p w:rsidR="0045311A" w:rsidRDefault="0045311A">
      <w:pPr>
        <w:pStyle w:val="Standard"/>
        <w:rPr>
          <w:szCs w:val="21"/>
        </w:rPr>
      </w:pPr>
    </w:p>
    <w:p w:rsidR="0045311A" w:rsidRDefault="0056238B">
      <w:pPr>
        <w:pStyle w:val="Standard"/>
        <w:rPr>
          <w:szCs w:val="21"/>
        </w:rPr>
      </w:pPr>
      <w:r>
        <w:rPr>
          <w:szCs w:val="21"/>
        </w:rPr>
        <w:t xml:space="preserve">Les modalités relatives à la réponse par voie électronique sont détaillées dans l'annexe n°1 au présent </w:t>
      </w:r>
      <w:r>
        <w:rPr>
          <w:szCs w:val="21"/>
        </w:rPr>
        <w:t>RC intitulée Guide de la dématérialisation des marchés publics.</w:t>
      </w:r>
    </w:p>
    <w:p w:rsidR="0045311A" w:rsidRDefault="0056238B">
      <w:pPr>
        <w:pStyle w:val="Titre2"/>
      </w:pPr>
      <w:r>
        <w:t>Copie de sauvegarde</w:t>
      </w:r>
    </w:p>
    <w:p w:rsidR="0045311A" w:rsidRDefault="0056238B">
      <w:pPr>
        <w:pStyle w:val="Standard"/>
        <w:rPr>
          <w:szCs w:val="21"/>
        </w:rPr>
      </w:pPr>
      <w:r>
        <w:rPr>
          <w:szCs w:val="21"/>
        </w:rPr>
        <w:t>Le pli électronique peut être doublé d'une copie de sauvegarde transmise dans les délais impartis, sur support physique électronique ou sur support papier.</w:t>
      </w:r>
    </w:p>
    <w:p w:rsidR="0045311A" w:rsidRDefault="0056238B">
      <w:pPr>
        <w:pStyle w:val="Standard"/>
        <w:rPr>
          <w:szCs w:val="21"/>
        </w:rPr>
      </w:pPr>
      <w:r>
        <w:rPr>
          <w:szCs w:val="21"/>
        </w:rPr>
        <w:t>Cette copie de</w:t>
      </w:r>
      <w:r>
        <w:rPr>
          <w:szCs w:val="21"/>
        </w:rPr>
        <w:t xml:space="preserve"> sauvegarde devra comporter l'intégralité des éléments exigés au Règlement de consultation.</w:t>
      </w:r>
    </w:p>
    <w:p w:rsidR="0045311A" w:rsidRDefault="0045311A">
      <w:pPr>
        <w:pStyle w:val="Standard"/>
        <w:rPr>
          <w:szCs w:val="21"/>
        </w:rPr>
      </w:pPr>
    </w:p>
    <w:p w:rsidR="0045311A" w:rsidRDefault="0056238B">
      <w:pPr>
        <w:pStyle w:val="Standard"/>
        <w:rPr>
          <w:szCs w:val="21"/>
          <w:u w:val="single"/>
        </w:rPr>
      </w:pPr>
      <w:r>
        <w:rPr>
          <w:szCs w:val="21"/>
          <w:u w:val="single"/>
        </w:rPr>
        <w:t xml:space="preserve">Cette copie est transmise sous pli scellé et comporte obligatoirement la mention « copie de sauvegarde », ainsi que le nom du candidat, l'objet et le numéro de la </w:t>
      </w:r>
      <w:r>
        <w:rPr>
          <w:szCs w:val="21"/>
          <w:u w:val="single"/>
        </w:rPr>
        <w:t>consultation concernée.</w:t>
      </w:r>
    </w:p>
    <w:p w:rsidR="0045311A" w:rsidRDefault="0045311A">
      <w:pPr>
        <w:pStyle w:val="Standard"/>
        <w:rPr>
          <w:szCs w:val="21"/>
        </w:rPr>
      </w:pPr>
    </w:p>
    <w:p w:rsidR="0045311A" w:rsidRDefault="0056238B">
      <w:pPr>
        <w:pStyle w:val="Standard"/>
        <w:rPr>
          <w:szCs w:val="21"/>
        </w:rPr>
      </w:pPr>
      <w:r>
        <w:rPr>
          <w:szCs w:val="21"/>
        </w:rPr>
        <w:t>Les dossiers des candidats sont transmis par tout moyen permettant de déterminer de façon certaine la date et l'heure de leur réception et de garantir la confidentialité.</w:t>
      </w:r>
    </w:p>
    <w:p w:rsidR="0045311A" w:rsidRDefault="0045311A">
      <w:pPr>
        <w:pStyle w:val="Standard"/>
        <w:rPr>
          <w:szCs w:val="21"/>
        </w:rPr>
      </w:pPr>
    </w:p>
    <w:p w:rsidR="0045311A" w:rsidRDefault="0056238B">
      <w:pPr>
        <w:pStyle w:val="Standard"/>
        <w:rPr>
          <w:szCs w:val="21"/>
        </w:rPr>
      </w:pPr>
      <w:r>
        <w:rPr>
          <w:szCs w:val="21"/>
        </w:rPr>
        <w:t>ENVOI POSTAL :</w:t>
      </w:r>
    </w:p>
    <w:p w:rsidR="0045311A" w:rsidRDefault="0056238B">
      <w:pPr>
        <w:pStyle w:val="Standard"/>
        <w:rPr>
          <w:szCs w:val="21"/>
        </w:rPr>
      </w:pPr>
      <w:r>
        <w:rPr>
          <w:szCs w:val="21"/>
        </w:rPr>
        <w:t>En cas d'envoi postal, les copies de sauveg</w:t>
      </w:r>
      <w:r>
        <w:rPr>
          <w:szCs w:val="21"/>
        </w:rPr>
        <w:t>arde doivent être adressées à l'adresse suivante :</w:t>
      </w:r>
    </w:p>
    <w:p w:rsidR="0045311A" w:rsidRDefault="0056238B">
      <w:pPr>
        <w:pStyle w:val="Standard"/>
        <w:rPr>
          <w:szCs w:val="21"/>
        </w:rPr>
      </w:pPr>
      <w:r>
        <w:rPr>
          <w:szCs w:val="21"/>
        </w:rPr>
        <w:t>Ville de Marseille</w:t>
      </w:r>
    </w:p>
    <w:p w:rsidR="0045311A" w:rsidRDefault="0056238B">
      <w:pPr>
        <w:pStyle w:val="Standard"/>
        <w:rPr>
          <w:szCs w:val="21"/>
        </w:rPr>
      </w:pPr>
      <w:r>
        <w:rPr>
          <w:szCs w:val="21"/>
        </w:rPr>
        <w:t>Direction Générale Adjointe Ville plus Juste, plus Sûre, plus Proche</w:t>
      </w:r>
    </w:p>
    <w:p w:rsidR="0045311A" w:rsidRDefault="0056238B">
      <w:pPr>
        <w:pStyle w:val="Standard"/>
        <w:rPr>
          <w:szCs w:val="21"/>
        </w:rPr>
      </w:pPr>
      <w:r>
        <w:rPr>
          <w:szCs w:val="21"/>
        </w:rPr>
        <w:t>Direction d'Appui Fonctionnel</w:t>
      </w:r>
    </w:p>
    <w:p w:rsidR="0045311A" w:rsidRDefault="0056238B">
      <w:pPr>
        <w:pStyle w:val="Standard"/>
        <w:rPr>
          <w:szCs w:val="21"/>
        </w:rPr>
      </w:pPr>
      <w:r>
        <w:rPr>
          <w:szCs w:val="21"/>
        </w:rPr>
        <w:t>Division Finances - Marchés</w:t>
      </w:r>
    </w:p>
    <w:p w:rsidR="0045311A" w:rsidRDefault="0056238B">
      <w:pPr>
        <w:pStyle w:val="Standard"/>
        <w:rPr>
          <w:szCs w:val="21"/>
        </w:rPr>
      </w:pPr>
      <w:r>
        <w:rPr>
          <w:szCs w:val="21"/>
        </w:rPr>
        <w:t>2 Place François Mireur</w:t>
      </w:r>
    </w:p>
    <w:p w:rsidR="0045311A" w:rsidRDefault="0056238B">
      <w:pPr>
        <w:pStyle w:val="Standard"/>
        <w:rPr>
          <w:szCs w:val="21"/>
        </w:rPr>
      </w:pPr>
      <w:r>
        <w:rPr>
          <w:szCs w:val="21"/>
        </w:rPr>
        <w:t>13001 MARSEILLE</w:t>
      </w:r>
    </w:p>
    <w:p w:rsidR="0045311A" w:rsidRDefault="0045311A">
      <w:pPr>
        <w:pStyle w:val="Standard"/>
        <w:rPr>
          <w:szCs w:val="21"/>
        </w:rPr>
      </w:pPr>
    </w:p>
    <w:p w:rsidR="0045311A" w:rsidRDefault="0056238B">
      <w:pPr>
        <w:pStyle w:val="Standard"/>
        <w:rPr>
          <w:szCs w:val="21"/>
        </w:rPr>
      </w:pPr>
      <w:r>
        <w:rPr>
          <w:szCs w:val="21"/>
        </w:rPr>
        <w:t>REMISE CONTRE RE</w:t>
      </w:r>
      <w:r>
        <w:rPr>
          <w:szCs w:val="21"/>
        </w:rPr>
        <w:t>CEPISSE :</w:t>
      </w:r>
    </w:p>
    <w:p w:rsidR="0045311A" w:rsidRDefault="0056238B">
      <w:pPr>
        <w:pStyle w:val="Standard"/>
        <w:rPr>
          <w:szCs w:val="21"/>
        </w:rPr>
      </w:pPr>
      <w:r>
        <w:rPr>
          <w:szCs w:val="21"/>
        </w:rPr>
        <w:t>Les copies de sauvegarde peuvent être remises contre récépissé à l'adresse suivante :</w:t>
      </w:r>
    </w:p>
    <w:p w:rsidR="0045311A" w:rsidRDefault="0056238B">
      <w:pPr>
        <w:pStyle w:val="Standard"/>
        <w:rPr>
          <w:szCs w:val="21"/>
        </w:rPr>
      </w:pPr>
      <w:r>
        <w:rPr>
          <w:szCs w:val="21"/>
        </w:rPr>
        <w:t>Ville de Marseille</w:t>
      </w:r>
    </w:p>
    <w:p w:rsidR="0045311A" w:rsidRDefault="0056238B">
      <w:pPr>
        <w:pStyle w:val="Standard"/>
        <w:rPr>
          <w:szCs w:val="21"/>
        </w:rPr>
      </w:pPr>
      <w:r>
        <w:rPr>
          <w:szCs w:val="21"/>
        </w:rPr>
        <w:t>Direction Générale Adjointe Ville plus Juste, plus Sûre, plus Proche</w:t>
      </w:r>
    </w:p>
    <w:p w:rsidR="0045311A" w:rsidRDefault="0056238B">
      <w:pPr>
        <w:pStyle w:val="Standard"/>
        <w:rPr>
          <w:szCs w:val="21"/>
        </w:rPr>
      </w:pPr>
      <w:r>
        <w:rPr>
          <w:szCs w:val="21"/>
        </w:rPr>
        <w:t>Direction d'Appui Fonctionnel</w:t>
      </w:r>
    </w:p>
    <w:p w:rsidR="0045311A" w:rsidRDefault="0056238B">
      <w:pPr>
        <w:pStyle w:val="Standard"/>
        <w:rPr>
          <w:szCs w:val="21"/>
        </w:rPr>
      </w:pPr>
      <w:r>
        <w:rPr>
          <w:szCs w:val="21"/>
        </w:rPr>
        <w:t>Division Finances - Marchés</w:t>
      </w:r>
    </w:p>
    <w:p w:rsidR="0045311A" w:rsidRDefault="0056238B">
      <w:pPr>
        <w:pStyle w:val="Standard"/>
        <w:rPr>
          <w:szCs w:val="21"/>
        </w:rPr>
      </w:pPr>
      <w:r>
        <w:rPr>
          <w:szCs w:val="21"/>
        </w:rPr>
        <w:lastRenderedPageBreak/>
        <w:t>2 Place Franç</w:t>
      </w:r>
      <w:r>
        <w:rPr>
          <w:szCs w:val="21"/>
        </w:rPr>
        <w:t>ois Mireur</w:t>
      </w:r>
    </w:p>
    <w:p w:rsidR="0045311A" w:rsidRDefault="0056238B">
      <w:pPr>
        <w:pStyle w:val="Standard"/>
        <w:rPr>
          <w:szCs w:val="21"/>
        </w:rPr>
      </w:pPr>
      <w:r>
        <w:rPr>
          <w:szCs w:val="21"/>
        </w:rPr>
        <w:t>13001 MARSEILLE</w:t>
      </w:r>
    </w:p>
    <w:p w:rsidR="0045311A" w:rsidRDefault="0045311A">
      <w:pPr>
        <w:pStyle w:val="Standard"/>
        <w:rPr>
          <w:szCs w:val="21"/>
        </w:rPr>
      </w:pPr>
    </w:p>
    <w:p w:rsidR="0045311A" w:rsidRDefault="0056238B">
      <w:pPr>
        <w:pStyle w:val="Standard"/>
        <w:rPr>
          <w:szCs w:val="21"/>
        </w:rPr>
      </w:pPr>
      <w:r>
        <w:rPr>
          <w:szCs w:val="21"/>
        </w:rPr>
        <w:t>Horaires de réception des plis : du lundi au vendredi, de 9h00 à 12h00 et de 13h00 à 16h00, hors jours fériés et chômés.</w:t>
      </w:r>
    </w:p>
    <w:p w:rsidR="0045311A" w:rsidRDefault="0045311A">
      <w:pPr>
        <w:pStyle w:val="Standard"/>
        <w:rPr>
          <w:szCs w:val="21"/>
        </w:rPr>
      </w:pPr>
    </w:p>
    <w:p w:rsidR="0045311A" w:rsidRDefault="0056238B">
      <w:pPr>
        <w:pStyle w:val="Titre2"/>
      </w:pPr>
      <w:r>
        <w:t>Echantillons, maquettes, prototypes ou modèles réduits</w:t>
      </w:r>
    </w:p>
    <w:p w:rsidR="0045311A" w:rsidRDefault="0045311A">
      <w:pPr>
        <w:pStyle w:val="Standard"/>
        <w:rPr>
          <w:szCs w:val="21"/>
        </w:rPr>
      </w:pPr>
    </w:p>
    <w:p w:rsidR="0045311A" w:rsidRDefault="0056238B">
      <w:pPr>
        <w:pStyle w:val="Standard"/>
        <w:rPr>
          <w:szCs w:val="21"/>
        </w:rPr>
      </w:pPr>
      <w:r>
        <w:rPr>
          <w:szCs w:val="21"/>
        </w:rPr>
        <w:t xml:space="preserve">L'offre du candidat doit être accompagnée des </w:t>
      </w:r>
      <w:r>
        <w:rPr>
          <w:szCs w:val="21"/>
        </w:rPr>
        <w:t>échantillons demandés. Le défaut de transmission de ces échantillons rendra l'offre du candidat irrégulière.</w:t>
      </w:r>
    </w:p>
    <w:p w:rsidR="0045311A" w:rsidRDefault="0045311A">
      <w:pPr>
        <w:pStyle w:val="Standard"/>
        <w:rPr>
          <w:szCs w:val="21"/>
        </w:rPr>
      </w:pPr>
    </w:p>
    <w:p w:rsidR="0045311A" w:rsidRDefault="0056238B">
      <w:pPr>
        <w:pStyle w:val="Standard"/>
        <w:rPr>
          <w:szCs w:val="21"/>
        </w:rPr>
      </w:pPr>
      <w:r>
        <w:rPr>
          <w:szCs w:val="21"/>
        </w:rPr>
        <w:t>Ci-dessous, la liste des échantillons demandés par lot:</w:t>
      </w:r>
    </w:p>
    <w:p w:rsidR="0045311A" w:rsidRDefault="0045311A">
      <w:pPr>
        <w:pStyle w:val="Standard"/>
        <w:rPr>
          <w:szCs w:val="21"/>
        </w:rPr>
      </w:pPr>
    </w:p>
    <w:p w:rsidR="0045311A" w:rsidRDefault="0056238B">
      <w:pPr>
        <w:pStyle w:val="Standard"/>
        <w:rPr>
          <w:szCs w:val="21"/>
        </w:rPr>
      </w:pPr>
      <w:r>
        <w:rPr>
          <w:szCs w:val="21"/>
        </w:rPr>
        <w:t xml:space="preserve">Lot 1 : Casque entrainement boxe, sur-lunette de protection, combinaison de protection, </w:t>
      </w:r>
      <w:r>
        <w:rPr>
          <w:szCs w:val="21"/>
        </w:rPr>
        <w:t>bâton d'entrainement, couteau, pistolet type Glock.</w:t>
      </w:r>
    </w:p>
    <w:p w:rsidR="0045311A" w:rsidRDefault="0045311A">
      <w:pPr>
        <w:pStyle w:val="Standard"/>
        <w:rPr>
          <w:szCs w:val="21"/>
        </w:rPr>
      </w:pPr>
    </w:p>
    <w:p w:rsidR="0045311A" w:rsidRDefault="0056238B">
      <w:pPr>
        <w:pStyle w:val="Standard"/>
        <w:rPr>
          <w:szCs w:val="21"/>
        </w:rPr>
      </w:pPr>
      <w:r>
        <w:rPr>
          <w:szCs w:val="21"/>
        </w:rPr>
        <w:t>Lot 2 : Bâton télescopique, casque de maintien de l'ordre, étui pour PIE X2 et X26, plaque tactique de hanche modulable Glock, porte chargeur Glock horizontal, plaque tactique de cuisse modulable de GAIL</w:t>
      </w:r>
      <w:r>
        <w:rPr>
          <w:szCs w:val="21"/>
        </w:rPr>
        <w:t>, zone froide, étui pour PSA-Glock.</w:t>
      </w:r>
    </w:p>
    <w:p w:rsidR="0045311A" w:rsidRDefault="0045311A">
      <w:pPr>
        <w:pStyle w:val="Standard"/>
        <w:rPr>
          <w:szCs w:val="21"/>
        </w:rPr>
      </w:pPr>
    </w:p>
    <w:p w:rsidR="0045311A" w:rsidRDefault="0045311A">
      <w:pPr>
        <w:pStyle w:val="Standard"/>
        <w:rPr>
          <w:szCs w:val="21"/>
        </w:rPr>
      </w:pPr>
    </w:p>
    <w:p w:rsidR="0045311A" w:rsidRDefault="0056238B">
      <w:pPr>
        <w:pStyle w:val="Standard"/>
        <w:rPr>
          <w:szCs w:val="21"/>
        </w:rPr>
      </w:pPr>
      <w:r>
        <w:rPr>
          <w:szCs w:val="21"/>
        </w:rPr>
        <w:t>Adresse de remise des échantillons :</w:t>
      </w:r>
    </w:p>
    <w:p w:rsidR="0045311A" w:rsidRDefault="0045311A">
      <w:pPr>
        <w:pStyle w:val="Standard"/>
        <w:rPr>
          <w:szCs w:val="21"/>
        </w:rPr>
      </w:pPr>
    </w:p>
    <w:p w:rsidR="0045311A" w:rsidRDefault="0056238B">
      <w:pPr>
        <w:pStyle w:val="Standard"/>
        <w:rPr>
          <w:szCs w:val="21"/>
        </w:rPr>
      </w:pPr>
      <w:r>
        <w:rPr>
          <w:szCs w:val="21"/>
        </w:rPr>
        <w:t>Entité administrative : Direction d'Appui Fonctionnel</w:t>
      </w:r>
    </w:p>
    <w:p w:rsidR="0045311A" w:rsidRDefault="0056238B">
      <w:pPr>
        <w:pStyle w:val="Standard"/>
        <w:rPr>
          <w:szCs w:val="21"/>
        </w:rPr>
      </w:pPr>
      <w:r>
        <w:rPr>
          <w:szCs w:val="21"/>
        </w:rPr>
        <w:t>Point de contact : Division Finances Marchés</w:t>
      </w:r>
    </w:p>
    <w:p w:rsidR="0045311A" w:rsidRDefault="0056238B">
      <w:pPr>
        <w:pStyle w:val="Standard"/>
        <w:rPr>
          <w:szCs w:val="21"/>
        </w:rPr>
      </w:pPr>
      <w:r>
        <w:rPr>
          <w:szCs w:val="21"/>
        </w:rPr>
        <w:t>Courriel(s): hmeil@marseille.fr - cangeli@marseille.fr</w:t>
      </w:r>
    </w:p>
    <w:p w:rsidR="0045311A" w:rsidRDefault="0056238B">
      <w:pPr>
        <w:pStyle w:val="Standard"/>
        <w:rPr>
          <w:szCs w:val="21"/>
        </w:rPr>
      </w:pPr>
      <w:r>
        <w:rPr>
          <w:szCs w:val="21"/>
        </w:rPr>
        <w:t>Adresse postale: 2 place F</w:t>
      </w:r>
      <w:r>
        <w:rPr>
          <w:szCs w:val="21"/>
        </w:rPr>
        <w:t>rancçois Mireur</w:t>
      </w:r>
    </w:p>
    <w:p w:rsidR="0045311A" w:rsidRDefault="0056238B">
      <w:pPr>
        <w:pStyle w:val="Standard"/>
        <w:rPr>
          <w:szCs w:val="21"/>
        </w:rPr>
      </w:pPr>
      <w:r>
        <w:rPr>
          <w:szCs w:val="21"/>
        </w:rPr>
        <w:t>Ville : 13001 Marseille</w:t>
      </w:r>
    </w:p>
    <w:p w:rsidR="0045311A" w:rsidRDefault="0056238B">
      <w:pPr>
        <w:pStyle w:val="Standard"/>
        <w:rPr>
          <w:szCs w:val="21"/>
        </w:rPr>
      </w:pPr>
      <w:r>
        <w:rPr>
          <w:szCs w:val="21"/>
        </w:rPr>
        <w:t>Pays: France</w:t>
      </w:r>
    </w:p>
    <w:p w:rsidR="0045311A" w:rsidRDefault="0056238B">
      <w:pPr>
        <w:pStyle w:val="Standard"/>
        <w:rPr>
          <w:szCs w:val="21"/>
        </w:rPr>
      </w:pPr>
      <w:r>
        <w:rPr>
          <w:szCs w:val="21"/>
        </w:rPr>
        <w:t>Téléphone: 04 91 55 14 20 / 04 91 55 48 74</w:t>
      </w:r>
    </w:p>
    <w:p w:rsidR="0045311A" w:rsidRDefault="0056238B">
      <w:pPr>
        <w:pStyle w:val="Standard"/>
        <w:rPr>
          <w:szCs w:val="21"/>
        </w:rPr>
      </w:pPr>
      <w:r>
        <w:rPr>
          <w:szCs w:val="21"/>
        </w:rPr>
        <w:t>Télécopie:</w:t>
      </w:r>
    </w:p>
    <w:p w:rsidR="0045311A" w:rsidRDefault="0056238B">
      <w:pPr>
        <w:pStyle w:val="Standard"/>
        <w:rPr>
          <w:szCs w:val="21"/>
        </w:rPr>
      </w:pPr>
      <w:r>
        <w:rPr>
          <w:szCs w:val="21"/>
        </w:rPr>
        <w:t>Chaque échantillon devra impérativement mentionner le nom du candidat, l'intitulé du marché et être accompagné de la fiche technique correspondant</w:t>
      </w:r>
      <w:r>
        <w:rPr>
          <w:szCs w:val="21"/>
        </w:rPr>
        <w:t xml:space="preserve">e, détaillant les caractéristiques du matériel. Chaque fiche devra obligatoirement reprendre toutes les caractéristiques exigées dans le CCTP. En cas de manquement à l'une des exigences, l'échantillon sera considéré comme </w:t>
      </w:r>
      <w:r>
        <w:rPr>
          <w:szCs w:val="21"/>
          <w:u w:val="single"/>
        </w:rPr>
        <w:t>non conforme et l'offre ainsi jugé</w:t>
      </w:r>
      <w:r>
        <w:rPr>
          <w:szCs w:val="21"/>
          <w:u w:val="single"/>
        </w:rPr>
        <w:t>e irrégulière.</w:t>
      </w:r>
    </w:p>
    <w:p w:rsidR="0045311A" w:rsidRDefault="0045311A">
      <w:pPr>
        <w:pStyle w:val="Standard"/>
        <w:rPr>
          <w:szCs w:val="21"/>
          <w:u w:val="single"/>
        </w:rPr>
      </w:pPr>
    </w:p>
    <w:p w:rsidR="0045311A" w:rsidRDefault="0056238B">
      <w:pPr>
        <w:pStyle w:val="Standard"/>
        <w:rPr>
          <w:b/>
          <w:szCs w:val="21"/>
        </w:rPr>
      </w:pPr>
      <w:r>
        <w:rPr>
          <w:b/>
          <w:szCs w:val="21"/>
        </w:rPr>
        <w:t>Dans tous les cas, le dépôt devra être effectué au plus tard aux date et heure limite de remise des offres.</w:t>
      </w:r>
    </w:p>
    <w:p w:rsidR="0045311A" w:rsidRDefault="0045311A">
      <w:pPr>
        <w:pStyle w:val="Standard"/>
        <w:rPr>
          <w:b/>
          <w:szCs w:val="21"/>
          <w:u w:val="single"/>
        </w:rPr>
      </w:pPr>
    </w:p>
    <w:p w:rsidR="0045311A" w:rsidRDefault="0056238B">
      <w:pPr>
        <w:pStyle w:val="Standard"/>
        <w:rPr>
          <w:szCs w:val="21"/>
        </w:rPr>
      </w:pPr>
      <w:r>
        <w:rPr>
          <w:szCs w:val="21"/>
        </w:rPr>
        <w:t>La fourniture des échantillons est à la charge de l'entreprise. Il ne sera pas versé de prime.</w:t>
      </w:r>
    </w:p>
    <w:p w:rsidR="0045311A" w:rsidRDefault="0056238B">
      <w:pPr>
        <w:pStyle w:val="Standard"/>
        <w:rPr>
          <w:szCs w:val="21"/>
        </w:rPr>
      </w:pPr>
      <w:r>
        <w:rPr>
          <w:szCs w:val="21"/>
        </w:rPr>
        <w:t>Chaque échantillon du titulaire du m</w:t>
      </w:r>
      <w:r>
        <w:rPr>
          <w:szCs w:val="21"/>
        </w:rPr>
        <w:t>arché servira d'étalon pendant toute la durée du marché et ne sera pas restitué à l'expiration du marché.</w:t>
      </w:r>
    </w:p>
    <w:p w:rsidR="0045311A" w:rsidRDefault="0056238B">
      <w:pPr>
        <w:pStyle w:val="Standard"/>
        <w:rPr>
          <w:szCs w:val="21"/>
        </w:rPr>
      </w:pPr>
      <w:r>
        <w:rPr>
          <w:szCs w:val="21"/>
        </w:rPr>
        <w:t>Les entreprises non retenues pourront dans un délai de 15 jours à compter de la date à laquelle elles auront été informées du rejet de leur offre pour</w:t>
      </w:r>
      <w:r>
        <w:rPr>
          <w:szCs w:val="21"/>
        </w:rPr>
        <w:t xml:space="preserve"> venir retirer les échantillons non détériorés dans les locaux de l'administration.</w:t>
      </w:r>
    </w:p>
    <w:p w:rsidR="0045311A" w:rsidRDefault="0045311A">
      <w:pPr>
        <w:pStyle w:val="Standard"/>
        <w:rPr>
          <w:szCs w:val="21"/>
        </w:rPr>
      </w:pPr>
    </w:p>
    <w:p w:rsidR="0045311A" w:rsidRDefault="0056238B">
      <w:pPr>
        <w:pStyle w:val="Standard"/>
        <w:rPr>
          <w:szCs w:val="21"/>
        </w:rPr>
      </w:pPr>
      <w:r>
        <w:rPr>
          <w:szCs w:val="21"/>
        </w:rPr>
        <w:t>Les échantillons détériorés par l'analyse ne sont pas restitués.</w:t>
      </w:r>
    </w:p>
    <w:p w:rsidR="0045311A" w:rsidRDefault="0045311A">
      <w:pPr>
        <w:pStyle w:val="Standard"/>
        <w:rPr>
          <w:szCs w:val="21"/>
        </w:rPr>
      </w:pPr>
    </w:p>
    <w:p w:rsidR="0045311A" w:rsidRDefault="0056238B">
      <w:pPr>
        <w:pStyle w:val="Standard"/>
        <w:rPr>
          <w:szCs w:val="21"/>
        </w:rPr>
      </w:pPr>
      <w:r>
        <w:rPr>
          <w:szCs w:val="21"/>
        </w:rPr>
        <w:lastRenderedPageBreak/>
        <w:t xml:space="preserve">Les échantillons non demandés dans ce délai seront acquis à la ville de Marseille sans que l'entreprise </w:t>
      </w:r>
      <w:r>
        <w:rPr>
          <w:szCs w:val="21"/>
        </w:rPr>
        <w:t>puisse prétendre à une indemnité.</w:t>
      </w:r>
    </w:p>
    <w:p w:rsidR="0045311A" w:rsidRDefault="0056238B">
      <w:pPr>
        <w:pStyle w:val="Standard"/>
        <w:rPr>
          <w:szCs w:val="21"/>
        </w:rPr>
      </w:pPr>
      <w:r>
        <w:rPr>
          <w:szCs w:val="21"/>
        </w:rPr>
        <w:t xml:space="preserve"> </w:t>
      </w:r>
    </w:p>
    <w:p w:rsidR="0045311A" w:rsidRDefault="0056238B">
      <w:pPr>
        <w:pStyle w:val="Titre2"/>
      </w:pPr>
      <w:r>
        <w:t>Date et heure limites de remise des plis</w:t>
      </w:r>
    </w:p>
    <w:p w:rsidR="0045311A" w:rsidRDefault="0056238B">
      <w:pPr>
        <w:pStyle w:val="Standard"/>
        <w:rPr>
          <w:szCs w:val="21"/>
        </w:rPr>
      </w:pPr>
      <w:r>
        <w:rPr>
          <w:szCs w:val="21"/>
        </w:rPr>
        <w:t xml:space="preserve">Les date et heure limites de réception des plis sont celles indiquées dans l'avis d'appel public à la concurrence, qui valent également pour la transmission des « copies de </w:t>
      </w:r>
      <w:r>
        <w:rPr>
          <w:szCs w:val="21"/>
        </w:rPr>
        <w:t>sauvegarde » des candidats,</w:t>
      </w:r>
      <w:r>
        <w:rPr>
          <w:b/>
          <w:szCs w:val="21"/>
        </w:rPr>
        <w:t xml:space="preserve"> le dépôt des échantillons devra être effectué au plus tard aux date et heure limite de remise des offres.</w:t>
      </w:r>
    </w:p>
    <w:p w:rsidR="0045311A" w:rsidRDefault="0045311A">
      <w:pPr>
        <w:pStyle w:val="Standard"/>
        <w:rPr>
          <w:szCs w:val="21"/>
        </w:rPr>
      </w:pPr>
    </w:p>
    <w:p w:rsidR="0045311A" w:rsidRDefault="0056238B">
      <w:pPr>
        <w:pStyle w:val="Titre2"/>
      </w:pPr>
      <w:r>
        <w:t>Délai de validité des offres</w:t>
      </w:r>
    </w:p>
    <w:p w:rsidR="0045311A" w:rsidRDefault="0056238B">
      <w:pPr>
        <w:pStyle w:val="Standard"/>
        <w:rPr>
          <w:szCs w:val="21"/>
        </w:rPr>
      </w:pPr>
      <w:r>
        <w:rPr>
          <w:szCs w:val="21"/>
        </w:rPr>
        <w:t xml:space="preserve">Le délai de validité des offres est de </w:t>
      </w:r>
      <w:r>
        <w:rPr>
          <w:szCs w:val="21"/>
        </w:rPr>
        <w:t>4 mois à</w:t>
      </w:r>
      <w:r>
        <w:rPr>
          <w:szCs w:val="21"/>
        </w:rPr>
        <w:t xml:space="preserve"> compter de la date limite fixée pour la réc</w:t>
      </w:r>
      <w:r>
        <w:rPr>
          <w:szCs w:val="21"/>
        </w:rPr>
        <w:t>eption des offres.</w:t>
      </w:r>
    </w:p>
    <w:p w:rsidR="0045311A" w:rsidRDefault="0056238B">
      <w:pPr>
        <w:pStyle w:val="Titre1"/>
      </w:pPr>
      <w:r>
        <w:t>EXAMEN DES PLIS</w:t>
      </w:r>
    </w:p>
    <w:p w:rsidR="0045311A" w:rsidRDefault="0056238B">
      <w:pPr>
        <w:pStyle w:val="Standard"/>
        <w:rPr>
          <w:szCs w:val="21"/>
        </w:rPr>
      </w:pPr>
      <w:r>
        <w:rPr>
          <w:szCs w:val="21"/>
        </w:rPr>
        <w:t>La présentation telle qu'exposée ci-après ne préjuge en rien de l'ordre dans lequel l'acheteur procèdera à l'examen des plis. Ainsi, celui-ci peut, en cas de procédure ouverte, décider d'examiner les offres avant les cand</w:t>
      </w:r>
      <w:r>
        <w:rPr>
          <w:szCs w:val="21"/>
        </w:rPr>
        <w:t>idatures.</w:t>
      </w:r>
    </w:p>
    <w:p w:rsidR="0045311A" w:rsidRDefault="0056238B">
      <w:pPr>
        <w:pStyle w:val="Titre2"/>
      </w:pPr>
      <w:r>
        <w:t>Examen des candidatures</w:t>
      </w:r>
    </w:p>
    <w:p w:rsidR="0045311A" w:rsidRDefault="0056238B">
      <w:pPr>
        <w:pStyle w:val="Standard"/>
        <w:rPr>
          <w:szCs w:val="21"/>
        </w:rPr>
      </w:pPr>
      <w:r>
        <w:rPr>
          <w:szCs w:val="21"/>
        </w:rPr>
        <w:t>Avant de procéder à l'examen de la ou des candidature(s), s'il apparaît que des pièces du dossier de candidature sont manquantes ou incomplètes, le pouvoir adjudicateur peut décider de demander au(x) candidat(s) concerné</w:t>
      </w:r>
      <w:r>
        <w:rPr>
          <w:szCs w:val="21"/>
        </w:rPr>
        <w:t>(s) de produire ou compléter ces pièces.</w:t>
      </w:r>
    </w:p>
    <w:p w:rsidR="0045311A" w:rsidRDefault="0045311A">
      <w:pPr>
        <w:pStyle w:val="Standard"/>
        <w:rPr>
          <w:szCs w:val="21"/>
        </w:rPr>
      </w:pPr>
    </w:p>
    <w:p w:rsidR="0045311A" w:rsidRDefault="0056238B">
      <w:pPr>
        <w:pStyle w:val="Standard"/>
        <w:rPr>
          <w:szCs w:val="21"/>
        </w:rPr>
      </w:pPr>
      <w:r>
        <w:rPr>
          <w:szCs w:val="21"/>
        </w:rPr>
        <w:t>Les candidatures conformes et recevables seront examinées, à partir des renseignements et documents demandés dans le cadre de cette consultation, pour évaluer leur situation juridique ainsi que leurs capacités prof</w:t>
      </w:r>
      <w:r>
        <w:rPr>
          <w:szCs w:val="21"/>
        </w:rPr>
        <w:t>essionnelles, techniques et financières.</w:t>
      </w:r>
    </w:p>
    <w:p w:rsidR="0045311A" w:rsidRDefault="0045311A">
      <w:pPr>
        <w:pStyle w:val="Standard"/>
        <w:rPr>
          <w:szCs w:val="21"/>
        </w:rPr>
      </w:pPr>
    </w:p>
    <w:p w:rsidR="0045311A" w:rsidRDefault="0045311A">
      <w:pPr>
        <w:pStyle w:val="Standard"/>
        <w:rPr>
          <w:szCs w:val="21"/>
        </w:rPr>
      </w:pPr>
    </w:p>
    <w:p w:rsidR="0045311A" w:rsidRDefault="0056238B">
      <w:pPr>
        <w:pStyle w:val="Standard"/>
        <w:rPr>
          <w:szCs w:val="21"/>
        </w:rPr>
      </w:pPr>
      <w:r>
        <w:rPr>
          <w:szCs w:val="21"/>
        </w:rPr>
        <w:t xml:space="preserve"> </w:t>
      </w:r>
      <w:r>
        <w:rPr>
          <w:b/>
          <w:szCs w:val="21"/>
          <w:u w:val="single"/>
        </w:rPr>
        <w:t>Exclusions à l'appréciation de l'acheteur</w:t>
      </w:r>
    </w:p>
    <w:p w:rsidR="0045311A" w:rsidRDefault="0045311A">
      <w:pPr>
        <w:pStyle w:val="Standard"/>
        <w:rPr>
          <w:szCs w:val="21"/>
        </w:rPr>
      </w:pPr>
    </w:p>
    <w:p w:rsidR="0045311A" w:rsidRDefault="0056238B">
      <w:pPr>
        <w:pStyle w:val="Standard"/>
        <w:rPr>
          <w:szCs w:val="21"/>
        </w:rPr>
      </w:pPr>
      <w:r>
        <w:rPr>
          <w:szCs w:val="21"/>
        </w:rPr>
        <w:t>Le Code de la Commande Publique prévoit différents cas d'exclusion laissés à l'appréciation de la Collectivité, et notamment :</w:t>
      </w:r>
    </w:p>
    <w:p w:rsidR="0045311A" w:rsidRDefault="0045311A">
      <w:pPr>
        <w:pStyle w:val="Standard"/>
        <w:rPr>
          <w:szCs w:val="21"/>
        </w:rPr>
      </w:pPr>
    </w:p>
    <w:p w:rsidR="0045311A" w:rsidRDefault="0056238B">
      <w:pPr>
        <w:pStyle w:val="Standard"/>
        <w:rPr>
          <w:szCs w:val="21"/>
        </w:rPr>
      </w:pPr>
      <w:r>
        <w:rPr>
          <w:szCs w:val="21"/>
        </w:rPr>
        <w:t xml:space="preserve">- En application de </w:t>
      </w:r>
      <w:r>
        <w:rPr>
          <w:b/>
          <w:szCs w:val="21"/>
        </w:rPr>
        <w:t xml:space="preserve">l'article L2141-8 du </w:t>
      </w:r>
      <w:r>
        <w:rPr>
          <w:b/>
          <w:szCs w:val="21"/>
        </w:rPr>
        <w:t>code de la commande publique</w:t>
      </w:r>
      <w:r>
        <w:rPr>
          <w:szCs w:val="21"/>
        </w:rPr>
        <w:t>, le pouvoir adjudicateur peut exclure de la présente procédure, les opérateurs économiques dont la candidature crée une distorsion de la concurrence et ne permet pas de faire respecter le principe d'égalité de traitement des ca</w:t>
      </w:r>
      <w:r>
        <w:rPr>
          <w:szCs w:val="21"/>
        </w:rPr>
        <w:t>ndidats, notamment à cause de leur participation à la préparation de la présente procédure ou par la détention d'informations susceptibles de leur donner un avantage concurrentiel.</w:t>
      </w:r>
    </w:p>
    <w:p w:rsidR="0045311A" w:rsidRDefault="0045311A">
      <w:pPr>
        <w:pStyle w:val="Standard"/>
        <w:rPr>
          <w:szCs w:val="21"/>
        </w:rPr>
      </w:pPr>
    </w:p>
    <w:p w:rsidR="0045311A" w:rsidRDefault="0056238B">
      <w:pPr>
        <w:pStyle w:val="Standard"/>
        <w:rPr>
          <w:szCs w:val="21"/>
        </w:rPr>
      </w:pPr>
      <w:r>
        <w:rPr>
          <w:szCs w:val="21"/>
        </w:rPr>
        <w:t>- De même, en application de</w:t>
      </w:r>
      <w:r>
        <w:rPr>
          <w:b/>
          <w:szCs w:val="21"/>
        </w:rPr>
        <w:t xml:space="preserve"> l'article L2141-10 du code de la commande pub</w:t>
      </w:r>
      <w:r>
        <w:rPr>
          <w:b/>
          <w:szCs w:val="21"/>
        </w:rPr>
        <w:t>lique</w:t>
      </w:r>
      <w:r>
        <w:rPr>
          <w:szCs w:val="21"/>
        </w:rPr>
        <w:t>, le pouvoir adjudicateur peut exclure de la présente procédure, les opérateurs économiques qui créent une situation de conflit d'intérêts, telle que définie dans ce même article.</w:t>
      </w:r>
    </w:p>
    <w:p w:rsidR="0045311A" w:rsidRDefault="0045311A">
      <w:pPr>
        <w:pStyle w:val="Standard"/>
        <w:rPr>
          <w:szCs w:val="21"/>
        </w:rPr>
      </w:pPr>
    </w:p>
    <w:p w:rsidR="0045311A" w:rsidRDefault="0056238B">
      <w:pPr>
        <w:pStyle w:val="Standard"/>
        <w:rPr>
          <w:szCs w:val="21"/>
        </w:rPr>
      </w:pPr>
      <w:r>
        <w:rPr>
          <w:szCs w:val="21"/>
        </w:rPr>
        <w:t>Toutefois, et conformément à l'article L2141-11 du code de la commande</w:t>
      </w:r>
      <w:r>
        <w:rPr>
          <w:szCs w:val="21"/>
        </w:rPr>
        <w:t xml:space="preserve"> publique, si une exclusion est envisagée, l'opérateur économique pourra présenter des observations tendant à informer des mesures prises pour corriger les éventuels manquements ou justifier que sa participation ne porte pas atteinte à l'égalité de traitem</w:t>
      </w:r>
      <w:r>
        <w:rPr>
          <w:szCs w:val="21"/>
        </w:rPr>
        <w:t>ent.</w:t>
      </w:r>
    </w:p>
    <w:p w:rsidR="0045311A" w:rsidRDefault="0045311A">
      <w:pPr>
        <w:pStyle w:val="Standard"/>
        <w:rPr>
          <w:szCs w:val="21"/>
        </w:rPr>
      </w:pPr>
    </w:p>
    <w:p w:rsidR="0045311A" w:rsidRDefault="0056238B">
      <w:pPr>
        <w:pStyle w:val="Titre2"/>
      </w:pPr>
      <w:r>
        <w:lastRenderedPageBreak/>
        <w:t>Jugement des offres</w:t>
      </w:r>
    </w:p>
    <w:p w:rsidR="0045311A" w:rsidRDefault="0056238B">
      <w:pPr>
        <w:pStyle w:val="Standard"/>
        <w:rPr>
          <w:szCs w:val="21"/>
        </w:rPr>
      </w:pPr>
      <w:r>
        <w:rPr>
          <w:szCs w:val="21"/>
        </w:rPr>
        <w:t xml:space="preserve"> * Le Représentant du Pouvoir Adjudicateur procède à l'analyse des offres et rejette les offres inappropriées.</w:t>
      </w:r>
    </w:p>
    <w:p w:rsidR="0045311A" w:rsidRDefault="0045311A">
      <w:pPr>
        <w:pStyle w:val="Standard"/>
        <w:rPr>
          <w:szCs w:val="21"/>
        </w:rPr>
      </w:pPr>
    </w:p>
    <w:p w:rsidR="0045311A" w:rsidRDefault="0056238B">
      <w:pPr>
        <w:pStyle w:val="Standard"/>
        <w:rPr>
          <w:szCs w:val="21"/>
        </w:rPr>
      </w:pPr>
      <w:r>
        <w:rPr>
          <w:szCs w:val="21"/>
        </w:rPr>
        <w:t>* Conformément aux dispositions des articles R2123-4 et 5 du Code de la commande publique, le pouvoir adjudicateur  s</w:t>
      </w:r>
      <w:r>
        <w:rPr>
          <w:szCs w:val="21"/>
        </w:rPr>
        <w:t>e réserve la possibilité d'engager des négociations avec les candidats ayant remis une offre, à l'exception des offres inappropriées, avant attribution du marché.</w:t>
      </w:r>
    </w:p>
    <w:p w:rsidR="0045311A" w:rsidRDefault="0056238B">
      <w:pPr>
        <w:pStyle w:val="Standard"/>
        <w:rPr>
          <w:szCs w:val="21"/>
        </w:rPr>
      </w:pPr>
      <w:r>
        <w:rPr>
          <w:szCs w:val="21"/>
        </w:rPr>
        <w:t xml:space="preserve">Le jugement des offres sera effectué dans les conditions prévues aux articles R2152-1 à 12 </w:t>
      </w:r>
      <w:r>
        <w:rPr>
          <w:szCs w:val="21"/>
        </w:rPr>
        <w:t>du Code de la commande publique et donnera lieu à un classement des offres.</w:t>
      </w:r>
    </w:p>
    <w:p w:rsidR="0045311A" w:rsidRDefault="0045311A">
      <w:pPr>
        <w:pStyle w:val="Standard"/>
        <w:rPr>
          <w:szCs w:val="21"/>
        </w:rPr>
      </w:pPr>
    </w:p>
    <w:p w:rsidR="0045311A" w:rsidRDefault="0056238B">
      <w:pPr>
        <w:pStyle w:val="Standard"/>
        <w:rPr>
          <w:szCs w:val="21"/>
        </w:rPr>
      </w:pPr>
      <w:r>
        <w:rPr>
          <w:b/>
          <w:szCs w:val="21"/>
          <w:u w:val="single"/>
        </w:rPr>
        <w:t>Le jugement des offres pour les deux lots sera effectué sur les critères pondérés suivants :</w:t>
      </w:r>
    </w:p>
    <w:p w:rsidR="0045311A" w:rsidRDefault="0045311A">
      <w:pPr>
        <w:pStyle w:val="Standard"/>
        <w:rPr>
          <w:szCs w:val="21"/>
        </w:rPr>
      </w:pPr>
    </w:p>
    <w:p w:rsidR="0056238B" w:rsidRDefault="0056238B">
      <w:pPr>
        <w:pStyle w:val="Standard"/>
        <w:rPr>
          <w:szCs w:val="21"/>
        </w:rPr>
      </w:pPr>
      <w:r>
        <w:rPr>
          <w:szCs w:val="21"/>
        </w:rPr>
        <w:t>1°) Valeur technique de l'offre : 32%</w:t>
      </w:r>
    </w:p>
    <w:p w:rsidR="0045311A" w:rsidRDefault="0056238B">
      <w:pPr>
        <w:pStyle w:val="Standard"/>
        <w:rPr>
          <w:szCs w:val="21"/>
        </w:rPr>
      </w:pPr>
      <w:r>
        <w:rPr>
          <w:szCs w:val="21"/>
        </w:rPr>
        <w:t>2°) Délai de livraison : 32%</w:t>
      </w:r>
    </w:p>
    <w:p w:rsidR="0045311A" w:rsidRDefault="0056238B">
      <w:pPr>
        <w:pStyle w:val="Standard"/>
        <w:rPr>
          <w:szCs w:val="21"/>
        </w:rPr>
      </w:pPr>
      <w:r>
        <w:rPr>
          <w:szCs w:val="21"/>
        </w:rPr>
        <w:t>3°) Prix de l'offre : 26%</w:t>
      </w:r>
    </w:p>
    <w:p w:rsidR="0045311A" w:rsidRDefault="0056238B">
      <w:pPr>
        <w:pStyle w:val="Standard"/>
        <w:rPr>
          <w:szCs w:val="21"/>
        </w:rPr>
      </w:pPr>
      <w:r>
        <w:rPr>
          <w:szCs w:val="21"/>
        </w:rPr>
        <w:t>3°) Valeur</w:t>
      </w:r>
      <w:r>
        <w:rPr>
          <w:szCs w:val="21"/>
        </w:rPr>
        <w:t xml:space="preserve"> environnementale :10 %</w:t>
      </w:r>
    </w:p>
    <w:p w:rsidR="0045311A" w:rsidRDefault="0045311A">
      <w:pPr>
        <w:pStyle w:val="Standard"/>
        <w:rPr>
          <w:b/>
          <w:szCs w:val="21"/>
          <w:u w:val="single"/>
        </w:rPr>
      </w:pPr>
    </w:p>
    <w:p w:rsidR="0045311A" w:rsidRDefault="0056238B">
      <w:pPr>
        <w:pStyle w:val="Standard"/>
        <w:rPr>
          <w:szCs w:val="21"/>
        </w:rPr>
      </w:pPr>
      <w:r>
        <w:rPr>
          <w:b/>
          <w:szCs w:val="21"/>
          <w:u w:val="single"/>
        </w:rPr>
        <w:t>Modalités de mise en oeuvre de ces critères pour les deux lots :</w:t>
      </w:r>
    </w:p>
    <w:p w:rsidR="0045311A" w:rsidRDefault="0045311A">
      <w:pPr>
        <w:pStyle w:val="Standard"/>
        <w:rPr>
          <w:b/>
          <w:szCs w:val="21"/>
          <w:u w:val="single"/>
        </w:rPr>
      </w:pPr>
    </w:p>
    <w:p w:rsidR="0045311A" w:rsidRDefault="0056238B">
      <w:pPr>
        <w:pStyle w:val="Standard"/>
        <w:rPr>
          <w:szCs w:val="21"/>
          <w:u w:val="single"/>
        </w:rPr>
      </w:pPr>
      <w:r>
        <w:rPr>
          <w:szCs w:val="21"/>
          <w:u w:val="single"/>
        </w:rPr>
        <w:t>1°) Valeur technique de l'offre</w:t>
      </w:r>
    </w:p>
    <w:p w:rsidR="0056238B" w:rsidRDefault="0056238B" w:rsidP="0056238B">
      <w:pPr>
        <w:pStyle w:val="Standard"/>
        <w:rPr>
          <w:szCs w:val="21"/>
        </w:rPr>
      </w:pPr>
      <w:r>
        <w:rPr>
          <w:szCs w:val="21"/>
        </w:rPr>
        <w:t>La note maximum est de 32 points.</w:t>
      </w:r>
    </w:p>
    <w:p w:rsidR="0056238B" w:rsidRDefault="0056238B">
      <w:pPr>
        <w:pStyle w:val="Standard"/>
        <w:rPr>
          <w:szCs w:val="21"/>
          <w:u w:val="single"/>
        </w:rPr>
      </w:pPr>
    </w:p>
    <w:p w:rsidR="0056238B" w:rsidRDefault="0056238B">
      <w:pPr>
        <w:pStyle w:val="Standard"/>
        <w:rPr>
          <w:szCs w:val="21"/>
        </w:rPr>
      </w:pPr>
      <w:r>
        <w:rPr>
          <w:szCs w:val="21"/>
        </w:rPr>
        <w:t>Seront jugés l</w:t>
      </w:r>
      <w:r>
        <w:rPr>
          <w:szCs w:val="21"/>
        </w:rPr>
        <w:t>'ergonomie, la qualité, la résistance et le confort du matériel proposé par les candidats</w:t>
      </w:r>
      <w:r>
        <w:rPr>
          <w:szCs w:val="21"/>
        </w:rPr>
        <w:t>.</w:t>
      </w:r>
    </w:p>
    <w:p w:rsidR="0045311A" w:rsidRDefault="0056238B">
      <w:pPr>
        <w:pStyle w:val="Standard"/>
        <w:rPr>
          <w:szCs w:val="21"/>
        </w:rPr>
      </w:pPr>
      <w:r>
        <w:rPr>
          <w:szCs w:val="21"/>
        </w:rPr>
        <w:t xml:space="preserve"> Seront analysés les échantillons et les fiches techniques remis pa</w:t>
      </w:r>
      <w:r>
        <w:rPr>
          <w:szCs w:val="21"/>
        </w:rPr>
        <w:t>r les candidats.</w:t>
      </w:r>
    </w:p>
    <w:p w:rsidR="0045311A" w:rsidRDefault="0045311A">
      <w:pPr>
        <w:pStyle w:val="Standard"/>
        <w:rPr>
          <w:szCs w:val="21"/>
        </w:rPr>
      </w:pPr>
    </w:p>
    <w:p w:rsidR="0045311A" w:rsidRDefault="0056238B">
      <w:pPr>
        <w:pStyle w:val="Standard"/>
        <w:rPr>
          <w:szCs w:val="21"/>
          <w:u w:val="single"/>
        </w:rPr>
      </w:pPr>
      <w:r>
        <w:rPr>
          <w:szCs w:val="21"/>
          <w:u w:val="single"/>
        </w:rPr>
        <w:t>2°) Le délai de livraison</w:t>
      </w:r>
    </w:p>
    <w:p w:rsidR="0056238B" w:rsidRDefault="0056238B" w:rsidP="0056238B">
      <w:pPr>
        <w:pStyle w:val="Standard"/>
        <w:rPr>
          <w:szCs w:val="21"/>
        </w:rPr>
      </w:pPr>
      <w:r>
        <w:rPr>
          <w:szCs w:val="21"/>
        </w:rPr>
        <w:t>La note maximum est de 32 points.</w:t>
      </w:r>
    </w:p>
    <w:p w:rsidR="0056238B" w:rsidRDefault="0056238B">
      <w:pPr>
        <w:pStyle w:val="Standard"/>
        <w:rPr>
          <w:szCs w:val="21"/>
        </w:rPr>
      </w:pPr>
    </w:p>
    <w:p w:rsidR="0045311A" w:rsidRDefault="0056238B">
      <w:pPr>
        <w:pStyle w:val="Standard"/>
        <w:rPr>
          <w:szCs w:val="21"/>
        </w:rPr>
      </w:pPr>
      <w:r>
        <w:rPr>
          <w:szCs w:val="21"/>
        </w:rPr>
        <w:t>Pour rappel, l</w:t>
      </w:r>
      <w:r>
        <w:rPr>
          <w:szCs w:val="21"/>
        </w:rPr>
        <w:t>e délai de livraison maximum est de 30 jours à compter de la date de réception du bon de comman</w:t>
      </w:r>
      <w:r>
        <w:rPr>
          <w:szCs w:val="21"/>
        </w:rPr>
        <w:t>de pour la livraison des fournitures pour le lot 1 et de 30 jours à compter de la date de réception du bon de commande pour la livraison des fournitures pour le lot 2.</w:t>
      </w:r>
    </w:p>
    <w:p w:rsidR="0045311A" w:rsidRDefault="0045311A">
      <w:pPr>
        <w:pStyle w:val="Standard"/>
        <w:rPr>
          <w:szCs w:val="21"/>
        </w:rPr>
      </w:pPr>
    </w:p>
    <w:p w:rsidR="0045311A" w:rsidRDefault="0056238B">
      <w:pPr>
        <w:pStyle w:val="Standard"/>
        <w:rPr>
          <w:szCs w:val="21"/>
        </w:rPr>
      </w:pPr>
      <w:r>
        <w:rPr>
          <w:szCs w:val="21"/>
        </w:rPr>
        <w:t>Toutefois, c</w:t>
      </w:r>
      <w:r>
        <w:rPr>
          <w:szCs w:val="21"/>
        </w:rPr>
        <w:t>e délai est un délai maximum ;</w:t>
      </w:r>
      <w:r>
        <w:rPr>
          <w:szCs w:val="21"/>
        </w:rPr>
        <w:t xml:space="preserve"> les candidats sont invités à proposer moins que c</w:t>
      </w:r>
      <w:r>
        <w:rPr>
          <w:szCs w:val="21"/>
        </w:rPr>
        <w:t xml:space="preserve">es </w:t>
      </w:r>
      <w:r>
        <w:rPr>
          <w:szCs w:val="21"/>
        </w:rPr>
        <w:t>30 jours prévus au CCAP</w:t>
      </w:r>
      <w:r>
        <w:rPr>
          <w:szCs w:val="21"/>
        </w:rPr>
        <w:t>.</w:t>
      </w:r>
    </w:p>
    <w:p w:rsidR="0045311A" w:rsidRDefault="0056238B">
      <w:pPr>
        <w:pStyle w:val="Standard"/>
        <w:rPr>
          <w:szCs w:val="21"/>
        </w:rPr>
      </w:pPr>
      <w:r>
        <w:rPr>
          <w:szCs w:val="21"/>
        </w:rPr>
        <w:t>La proposition en terme de délai de livraison des candidats apparaitra à l'article 4.4 de l'acte d'engagement.</w:t>
      </w:r>
    </w:p>
    <w:p w:rsidR="0045311A" w:rsidRDefault="0045311A">
      <w:pPr>
        <w:pStyle w:val="Standard"/>
        <w:rPr>
          <w:szCs w:val="21"/>
        </w:rPr>
      </w:pPr>
    </w:p>
    <w:p w:rsidR="0045311A" w:rsidRDefault="0056238B">
      <w:pPr>
        <w:pStyle w:val="Standard"/>
        <w:rPr>
          <w:szCs w:val="21"/>
          <w:u w:val="single"/>
        </w:rPr>
      </w:pPr>
      <w:r>
        <w:rPr>
          <w:szCs w:val="21"/>
          <w:u w:val="single"/>
        </w:rPr>
        <w:t>3°) Prix de l'offre</w:t>
      </w:r>
    </w:p>
    <w:p w:rsidR="0045311A" w:rsidRDefault="0056238B">
      <w:pPr>
        <w:pStyle w:val="Standard"/>
        <w:rPr>
          <w:szCs w:val="21"/>
        </w:rPr>
      </w:pPr>
      <w:r>
        <w:rPr>
          <w:szCs w:val="21"/>
        </w:rPr>
        <w:t>La note maximum est de 26 points.</w:t>
      </w:r>
    </w:p>
    <w:p w:rsidR="0056238B" w:rsidRDefault="0056238B">
      <w:pPr>
        <w:pStyle w:val="Standard"/>
        <w:rPr>
          <w:szCs w:val="21"/>
        </w:rPr>
      </w:pPr>
    </w:p>
    <w:p w:rsidR="0056238B" w:rsidRDefault="0056238B" w:rsidP="0056238B">
      <w:pPr>
        <w:pStyle w:val="Standard"/>
        <w:rPr>
          <w:szCs w:val="21"/>
        </w:rPr>
      </w:pPr>
      <w:r>
        <w:rPr>
          <w:szCs w:val="21"/>
        </w:rPr>
        <w:t>Les offres doivent obligatoirement être libellées en euros.</w:t>
      </w:r>
    </w:p>
    <w:p w:rsidR="0056238B" w:rsidRDefault="0056238B" w:rsidP="0056238B">
      <w:pPr>
        <w:pStyle w:val="Standard"/>
        <w:rPr>
          <w:szCs w:val="21"/>
        </w:rPr>
      </w:pPr>
    </w:p>
    <w:p w:rsidR="0056238B" w:rsidRDefault="0056238B" w:rsidP="0056238B">
      <w:pPr>
        <w:pStyle w:val="Standard"/>
        <w:rPr>
          <w:szCs w:val="21"/>
        </w:rPr>
      </w:pPr>
      <w:r>
        <w:rPr>
          <w:szCs w:val="21"/>
        </w:rPr>
        <w:t>La comparaison des Prix sera effectuée à l'aide du Détail Quantitatif Estimatif (DQE) complété par le candidat.</w:t>
      </w:r>
    </w:p>
    <w:p w:rsidR="0056238B" w:rsidRDefault="0056238B" w:rsidP="0056238B">
      <w:pPr>
        <w:pStyle w:val="Standard"/>
        <w:rPr>
          <w:szCs w:val="21"/>
        </w:rPr>
      </w:pPr>
    </w:p>
    <w:p w:rsidR="0056238B" w:rsidRDefault="0056238B" w:rsidP="0056238B">
      <w:pPr>
        <w:pStyle w:val="Standard"/>
        <w:rPr>
          <w:szCs w:val="21"/>
        </w:rPr>
      </w:pPr>
      <w:r>
        <w:rPr>
          <w:szCs w:val="21"/>
        </w:rPr>
        <w:t>Ce dernier complètera le Bordereau de Prix Unitaires (BPU) ainsi que le DQE fourni en indiquant les prix unitaires et totaux.</w:t>
      </w:r>
    </w:p>
    <w:p w:rsidR="0056238B" w:rsidRDefault="0056238B" w:rsidP="0056238B">
      <w:pPr>
        <w:pStyle w:val="Standard"/>
        <w:rPr>
          <w:szCs w:val="21"/>
        </w:rPr>
      </w:pPr>
    </w:p>
    <w:p w:rsidR="0056238B" w:rsidRDefault="0056238B" w:rsidP="0056238B">
      <w:pPr>
        <w:pStyle w:val="Standard"/>
        <w:rPr>
          <w:szCs w:val="21"/>
        </w:rPr>
      </w:pPr>
      <w:r>
        <w:rPr>
          <w:szCs w:val="21"/>
        </w:rPr>
        <w:lastRenderedPageBreak/>
        <w:t>Chaque candidat veillera à la concordance entre le BPU et le DQE. En cas de discordance entre ces deux documents, c'est le prix unitaire figurant sur le BPU qui prévaudra et le DQE sera corrigé en conséquence.</w:t>
      </w:r>
    </w:p>
    <w:p w:rsidR="0045311A" w:rsidRDefault="0045311A">
      <w:pPr>
        <w:pStyle w:val="Standard"/>
        <w:rPr>
          <w:szCs w:val="21"/>
        </w:rPr>
      </w:pPr>
    </w:p>
    <w:p w:rsidR="0045311A" w:rsidRDefault="0056238B">
      <w:pPr>
        <w:pStyle w:val="Standard"/>
        <w:rPr>
          <w:szCs w:val="21"/>
        </w:rPr>
      </w:pPr>
      <w:r>
        <w:rPr>
          <w:szCs w:val="21"/>
          <w:u w:val="single"/>
        </w:rPr>
        <w:t>4°)</w:t>
      </w:r>
      <w:r>
        <w:rPr>
          <w:szCs w:val="21"/>
          <w:u w:val="single"/>
        </w:rPr>
        <w:t xml:space="preserve">Valeur </w:t>
      </w:r>
      <w:r>
        <w:rPr>
          <w:szCs w:val="21"/>
          <w:u w:val="single"/>
        </w:rPr>
        <w:t>environnementale</w:t>
      </w:r>
    </w:p>
    <w:p w:rsidR="0056238B" w:rsidRPr="0056238B" w:rsidRDefault="0056238B" w:rsidP="0056238B">
      <w:pPr>
        <w:pStyle w:val="Standarduser"/>
        <w:jc w:val="both"/>
        <w:rPr>
          <w:rFonts w:ascii="Calibri" w:hAnsi="Calibri"/>
          <w:sz w:val="21"/>
          <w:szCs w:val="21"/>
        </w:rPr>
      </w:pPr>
      <w:r>
        <w:rPr>
          <w:rFonts w:ascii="Calibri" w:hAnsi="Calibri"/>
          <w:sz w:val="21"/>
          <w:szCs w:val="21"/>
        </w:rPr>
        <w:t>La note maximum est de 10 points.</w:t>
      </w:r>
    </w:p>
    <w:p w:rsidR="0045311A" w:rsidRDefault="0045311A">
      <w:pPr>
        <w:pStyle w:val="Standard"/>
        <w:rPr>
          <w:szCs w:val="21"/>
          <w:u w:val="single"/>
        </w:rPr>
      </w:pPr>
    </w:p>
    <w:p w:rsidR="0045311A" w:rsidRDefault="0056238B">
      <w:pPr>
        <w:pStyle w:val="Standarduser"/>
        <w:jc w:val="both"/>
        <w:rPr>
          <w:rFonts w:ascii="Calibri" w:hAnsi="Calibri"/>
          <w:sz w:val="21"/>
          <w:szCs w:val="21"/>
        </w:rPr>
      </w:pPr>
      <w:r>
        <w:rPr>
          <w:rFonts w:ascii="Calibri" w:hAnsi="Calibri"/>
          <w:sz w:val="21"/>
          <w:szCs w:val="21"/>
        </w:rPr>
        <w:t>Le crit</w:t>
      </w:r>
      <w:r>
        <w:rPr>
          <w:rFonts w:ascii="Calibri" w:hAnsi="Calibri"/>
          <w:sz w:val="21"/>
          <w:szCs w:val="21"/>
        </w:rPr>
        <w:t>ère « dévelo</w:t>
      </w:r>
      <w:r>
        <w:rPr>
          <w:rFonts w:ascii="Calibri" w:hAnsi="Calibri"/>
          <w:sz w:val="21"/>
          <w:szCs w:val="21"/>
        </w:rPr>
        <w:t xml:space="preserve">ppement durable » sera évalué au regard de la description dans le mémoire "développement durable" du candidat, des mesures mises en œuvre par celui-ci pour répondre aux enjeux environnementaux et réduire l'empreinte </w:t>
      </w:r>
      <w:r>
        <w:rPr>
          <w:rFonts w:ascii="Calibri" w:hAnsi="Calibri"/>
          <w:sz w:val="21"/>
          <w:szCs w:val="21"/>
        </w:rPr>
        <w:t>carbone de son activité liée au présent marché.</w:t>
      </w:r>
    </w:p>
    <w:p w:rsidR="0045311A" w:rsidRDefault="0045311A">
      <w:pPr>
        <w:pStyle w:val="Standarduser"/>
        <w:jc w:val="both"/>
        <w:rPr>
          <w:rFonts w:ascii="Calibri" w:hAnsi="Calibri"/>
          <w:sz w:val="21"/>
          <w:szCs w:val="21"/>
        </w:rPr>
      </w:pPr>
      <w:bookmarkStart w:id="0" w:name="_GoBack"/>
      <w:bookmarkEnd w:id="0"/>
    </w:p>
    <w:p w:rsidR="0045311A" w:rsidRDefault="0056238B">
      <w:pPr>
        <w:pStyle w:val="Standarduser"/>
        <w:jc w:val="both"/>
        <w:rPr>
          <w:rFonts w:ascii="Calibri" w:hAnsi="Calibri"/>
          <w:sz w:val="21"/>
          <w:szCs w:val="21"/>
        </w:rPr>
      </w:pPr>
      <w:r>
        <w:rPr>
          <w:rFonts w:ascii="Calibri" w:hAnsi="Calibri"/>
          <w:sz w:val="21"/>
          <w:szCs w:val="21"/>
        </w:rPr>
        <w:t>1/ Mesures mises en œuvre spécifiquement pour la livraison de produits</w:t>
      </w:r>
    </w:p>
    <w:p w:rsidR="0045311A" w:rsidRDefault="0045311A">
      <w:pPr>
        <w:pStyle w:val="Standarduser"/>
        <w:jc w:val="both"/>
        <w:rPr>
          <w:rFonts w:ascii="Calibri" w:hAnsi="Calibri"/>
          <w:sz w:val="21"/>
          <w:szCs w:val="21"/>
        </w:rPr>
      </w:pPr>
    </w:p>
    <w:p w:rsidR="0045311A" w:rsidRDefault="0056238B">
      <w:pPr>
        <w:pStyle w:val="Standarduser"/>
        <w:jc w:val="both"/>
        <w:rPr>
          <w:rFonts w:ascii="Calibri" w:hAnsi="Calibri"/>
          <w:sz w:val="21"/>
          <w:szCs w:val="21"/>
        </w:rPr>
      </w:pPr>
      <w:r>
        <w:rPr>
          <w:rFonts w:ascii="Calibri" w:hAnsi="Calibri"/>
          <w:sz w:val="21"/>
          <w:szCs w:val="21"/>
        </w:rPr>
        <w:t>Sont notamment attendues des informations au sujet d’une éventuelle politique d’optimisation du transport jusqu’à la destination finale</w:t>
      </w:r>
      <w:r>
        <w:rPr>
          <w:rFonts w:ascii="Calibri" w:hAnsi="Calibri"/>
          <w:sz w:val="21"/>
          <w:szCs w:val="21"/>
        </w:rPr>
        <w:t xml:space="preserve"> (type de transport, émissions de CO2 des véhicules, éco-conduite, etc.) et également d’une éventuelle politique de réduction/amélioration des emballages ou des conditionnements (matériaux recyclés, gestion des déchets produits par la livraison, etc.) sur </w:t>
      </w:r>
      <w:r>
        <w:rPr>
          <w:rFonts w:ascii="Calibri" w:hAnsi="Calibri"/>
          <w:sz w:val="21"/>
          <w:szCs w:val="21"/>
        </w:rPr>
        <w:t>5 points.</w:t>
      </w:r>
    </w:p>
    <w:p w:rsidR="0045311A" w:rsidRDefault="0045311A">
      <w:pPr>
        <w:pStyle w:val="Standarduser"/>
        <w:jc w:val="both"/>
        <w:rPr>
          <w:rFonts w:ascii="Calibri" w:hAnsi="Calibri"/>
          <w:sz w:val="21"/>
          <w:szCs w:val="21"/>
        </w:rPr>
      </w:pPr>
    </w:p>
    <w:p w:rsidR="0045311A" w:rsidRDefault="0056238B">
      <w:pPr>
        <w:pStyle w:val="Standarduser"/>
        <w:jc w:val="both"/>
        <w:rPr>
          <w:rFonts w:ascii="Calibri" w:hAnsi="Calibri"/>
          <w:sz w:val="21"/>
          <w:szCs w:val="21"/>
        </w:rPr>
      </w:pPr>
      <w:r>
        <w:rPr>
          <w:rFonts w:ascii="Calibri" w:hAnsi="Calibri"/>
          <w:sz w:val="21"/>
          <w:szCs w:val="21"/>
        </w:rPr>
        <w:t xml:space="preserve">2/ Politique </w:t>
      </w:r>
      <w:r>
        <w:rPr>
          <w:rFonts w:ascii="Calibri" w:hAnsi="Calibri"/>
          <w:sz w:val="21"/>
          <w:szCs w:val="21"/>
        </w:rPr>
        <w:t>éco-responsable</w:t>
      </w:r>
    </w:p>
    <w:p w:rsidR="0045311A" w:rsidRDefault="0045311A">
      <w:pPr>
        <w:pStyle w:val="Standarduser"/>
        <w:jc w:val="both"/>
        <w:rPr>
          <w:rFonts w:ascii="Calibri" w:hAnsi="Calibri"/>
          <w:sz w:val="21"/>
          <w:szCs w:val="21"/>
          <w:u w:val="single"/>
        </w:rPr>
      </w:pPr>
    </w:p>
    <w:p w:rsidR="0045311A" w:rsidRDefault="0056238B">
      <w:pPr>
        <w:pStyle w:val="Standarduser"/>
        <w:jc w:val="both"/>
        <w:rPr>
          <w:rFonts w:ascii="Calibri" w:hAnsi="Calibri"/>
          <w:sz w:val="21"/>
          <w:szCs w:val="21"/>
        </w:rPr>
      </w:pPr>
      <w:r>
        <w:rPr>
          <w:rFonts w:ascii="Calibri" w:hAnsi="Calibri"/>
          <w:sz w:val="21"/>
          <w:szCs w:val="21"/>
        </w:rPr>
        <w:t>La politique éco-responsable du candidat spécifiquement mise en oeuvre pour ce marché sera analysée sur 5 points.</w:t>
      </w:r>
    </w:p>
    <w:p w:rsidR="0045311A" w:rsidRDefault="0045311A">
      <w:pPr>
        <w:pStyle w:val="Standarduser"/>
        <w:jc w:val="both"/>
        <w:rPr>
          <w:rFonts w:ascii="Calibri" w:hAnsi="Calibri"/>
          <w:sz w:val="21"/>
          <w:szCs w:val="21"/>
        </w:rPr>
      </w:pPr>
    </w:p>
    <w:p w:rsidR="0045311A" w:rsidRDefault="0056238B">
      <w:pPr>
        <w:pStyle w:val="Standarduser"/>
        <w:jc w:val="both"/>
        <w:rPr>
          <w:rFonts w:ascii="Calibri" w:hAnsi="Calibri"/>
          <w:sz w:val="21"/>
          <w:szCs w:val="21"/>
        </w:rPr>
      </w:pPr>
      <w:r>
        <w:rPr>
          <w:rFonts w:ascii="Calibri" w:hAnsi="Calibri"/>
          <w:sz w:val="21"/>
          <w:szCs w:val="21"/>
        </w:rPr>
        <w:t xml:space="preserve">Ces </w:t>
      </w:r>
      <w:r>
        <w:rPr>
          <w:rFonts w:ascii="Calibri" w:hAnsi="Calibri"/>
          <w:sz w:val="21"/>
          <w:szCs w:val="21"/>
        </w:rPr>
        <w:t>éléments devront être précisés dans le mémoire développement durable remis par le candidat.</w:t>
      </w:r>
    </w:p>
    <w:p w:rsidR="0045311A" w:rsidRDefault="0045311A">
      <w:pPr>
        <w:pStyle w:val="Standarduser"/>
        <w:jc w:val="both"/>
        <w:rPr>
          <w:rFonts w:ascii="Calibri" w:hAnsi="Calibri"/>
          <w:sz w:val="21"/>
          <w:szCs w:val="21"/>
        </w:rPr>
      </w:pPr>
    </w:p>
    <w:p w:rsidR="0045311A" w:rsidRDefault="0056238B">
      <w:pPr>
        <w:pStyle w:val="Standard"/>
        <w:rPr>
          <w:szCs w:val="21"/>
        </w:rPr>
      </w:pPr>
      <w:r>
        <w:rPr>
          <w:szCs w:val="21"/>
        </w:rPr>
        <w:lastRenderedPageBreak/>
        <w:t>*</w:t>
      </w:r>
      <w:r>
        <w:rPr>
          <w:szCs w:val="21"/>
        </w:rPr>
        <w:t xml:space="preserve"> Evaluation finale :</w:t>
      </w:r>
    </w:p>
    <w:p w:rsidR="0045311A" w:rsidRDefault="0045311A">
      <w:pPr>
        <w:pStyle w:val="Standard"/>
        <w:rPr>
          <w:szCs w:val="21"/>
        </w:rPr>
      </w:pPr>
    </w:p>
    <w:p w:rsidR="0045311A" w:rsidRDefault="0056238B">
      <w:pPr>
        <w:pStyle w:val="Standard"/>
        <w:rPr>
          <w:szCs w:val="21"/>
        </w:rPr>
      </w:pPr>
      <w:r>
        <w:rPr>
          <w:szCs w:val="21"/>
        </w:rPr>
        <w:t>La pondération s'effectuera sur la base de : 32% pour la valeur technique, 32% pour le délai de livraison, 26% pour le prix de l'offre  et 10 % pour la valeur</w:t>
      </w:r>
      <w:r>
        <w:rPr>
          <w:szCs w:val="21"/>
        </w:rPr>
        <w:t xml:space="preserve"> environnementale en fonction de la formule suivante :</w:t>
      </w:r>
    </w:p>
    <w:p w:rsidR="0045311A" w:rsidRDefault="0056238B">
      <w:pPr>
        <w:pStyle w:val="Standard"/>
        <w:rPr>
          <w:szCs w:val="21"/>
        </w:rPr>
      </w:pPr>
      <w:r>
        <w:rPr>
          <w:szCs w:val="21"/>
        </w:rPr>
        <w:t>N(note définitive) = P(i) pour le prix + VT(i) pour la valeur technique + DL(i) pour le délai de livraison + EN(i) pour le critère environnemental.</w:t>
      </w:r>
    </w:p>
    <w:p w:rsidR="0045311A" w:rsidRDefault="0056238B">
      <w:pPr>
        <w:pStyle w:val="Standard"/>
        <w:rPr>
          <w:szCs w:val="21"/>
        </w:rPr>
      </w:pPr>
      <w:r>
        <w:rPr>
          <w:szCs w:val="21"/>
        </w:rPr>
        <w:t>Les offres sont classées suivant la valeur de la not</w:t>
      </w:r>
      <w:r>
        <w:rPr>
          <w:szCs w:val="21"/>
        </w:rPr>
        <w:t>e N(i) correspondant à la note définitive. L'entreprise classée première est celle ayant la note la plus élevée.</w:t>
      </w:r>
    </w:p>
    <w:p w:rsidR="0045311A" w:rsidRDefault="0045311A">
      <w:pPr>
        <w:pStyle w:val="Standard"/>
        <w:rPr>
          <w:szCs w:val="21"/>
        </w:rPr>
      </w:pPr>
    </w:p>
    <w:p w:rsidR="0045311A" w:rsidRDefault="0056238B">
      <w:pPr>
        <w:pStyle w:val="Standard"/>
        <w:rPr>
          <w:szCs w:val="21"/>
        </w:rPr>
      </w:pPr>
      <w:r>
        <w:rPr>
          <w:szCs w:val="21"/>
        </w:rPr>
        <w:t>Le pouvoir adjudicateur peut ne pas donner suite à la consultation.</w:t>
      </w:r>
    </w:p>
    <w:p w:rsidR="0045311A" w:rsidRDefault="0045311A">
      <w:pPr>
        <w:pStyle w:val="Standard"/>
        <w:rPr>
          <w:szCs w:val="21"/>
        </w:rPr>
      </w:pPr>
    </w:p>
    <w:p w:rsidR="0045311A" w:rsidRDefault="0045311A">
      <w:pPr>
        <w:pStyle w:val="Standard"/>
        <w:rPr>
          <w:szCs w:val="21"/>
        </w:rPr>
      </w:pPr>
    </w:p>
    <w:p w:rsidR="0045311A" w:rsidRDefault="0056238B">
      <w:pPr>
        <w:pStyle w:val="Titre1"/>
      </w:pPr>
      <w:r>
        <w:t>PIECES A REMETTRE PAR LE(S) CANDIDAT(S) RETENU(S)</w:t>
      </w:r>
    </w:p>
    <w:p w:rsidR="0045311A" w:rsidRDefault="0056238B">
      <w:pPr>
        <w:pStyle w:val="Standard"/>
        <w:rPr>
          <w:szCs w:val="21"/>
        </w:rPr>
      </w:pPr>
      <w:r>
        <w:rPr>
          <w:szCs w:val="21"/>
        </w:rPr>
        <w:t>Il sera demandé au ca</w:t>
      </w:r>
      <w:r>
        <w:rPr>
          <w:szCs w:val="21"/>
        </w:rPr>
        <w:t xml:space="preserve">ndidat retenu de fournir les certificats et attestations des articles R2143-6 à 10 du Code de la commande publique. Il lui sera également demandé de fournir, si l'offre remise n'a pas été signée, l'acte d'engagement, dans sa dernière version, revêtu d'une </w:t>
      </w:r>
      <w:r>
        <w:rPr>
          <w:szCs w:val="21"/>
        </w:rPr>
        <w:t>signature électronique. </w:t>
      </w:r>
    </w:p>
    <w:p w:rsidR="0045311A" w:rsidRDefault="0045311A">
      <w:pPr>
        <w:pStyle w:val="Standard"/>
        <w:rPr>
          <w:szCs w:val="21"/>
        </w:rPr>
      </w:pPr>
    </w:p>
    <w:p w:rsidR="0045311A" w:rsidRDefault="0056238B">
      <w:pPr>
        <w:pStyle w:val="Standard"/>
        <w:rPr>
          <w:szCs w:val="21"/>
        </w:rPr>
      </w:pPr>
      <w:r>
        <w:rPr>
          <w:szCs w:val="21"/>
        </w:rPr>
        <w:t>Tous les documents signés devront l'être par une personne habilitée à engager le candidat, accompagné des documents relatifs aux pouvoirs, avec indication du nom et de la qualité du signataire. Cette personne devra être titulaire</w:t>
      </w:r>
      <w:r>
        <w:rPr>
          <w:szCs w:val="21"/>
        </w:rPr>
        <w:t xml:space="preserve"> d'un certificat électronique conforme au niveau de sécurité du R.G.S. (en cours de validité) ou d'un certificat qualifié, conforme au règlement e-IDAS du 23 juillet 2014.</w:t>
      </w:r>
    </w:p>
    <w:p w:rsidR="0045311A" w:rsidRDefault="0045311A">
      <w:pPr>
        <w:pStyle w:val="Standard"/>
        <w:rPr>
          <w:szCs w:val="21"/>
        </w:rPr>
      </w:pPr>
    </w:p>
    <w:p w:rsidR="0045311A" w:rsidRDefault="0056238B">
      <w:pPr>
        <w:pStyle w:val="Standard"/>
        <w:rPr>
          <w:szCs w:val="21"/>
        </w:rPr>
      </w:pPr>
      <w:r>
        <w:rPr>
          <w:szCs w:val="21"/>
        </w:rPr>
        <w:t>Dans le cas où la Ville de Marseille serait dans l'impossibilité de signer électron</w:t>
      </w:r>
      <w:r>
        <w:rPr>
          <w:szCs w:val="21"/>
        </w:rPr>
        <w:t>iquement l'acte d'engagement, le soumissionnaire s'engage à accepter la rematérialisation conforme sous forme papier de tous les documents constitutifs à valeur contractuelle. A ce titre, il s'engage également à ce que la personne physique dûment habilitée</w:t>
      </w:r>
      <w:r>
        <w:rPr>
          <w:szCs w:val="21"/>
        </w:rPr>
        <w:t xml:space="preserve"> procède à la signature manuscrite des documents qui lui sont demandés (AE, autres pièces éventuelles), sans procéder à la moindre modification de ceux-ci et les renvoie à la personne publique sous cette forme.</w:t>
      </w:r>
    </w:p>
    <w:p w:rsidR="0045311A" w:rsidRDefault="0045311A">
      <w:pPr>
        <w:pStyle w:val="Standard"/>
        <w:rPr>
          <w:szCs w:val="21"/>
        </w:rPr>
      </w:pPr>
    </w:p>
    <w:p w:rsidR="0045311A" w:rsidRDefault="0056238B">
      <w:pPr>
        <w:pStyle w:val="Standard"/>
        <w:rPr>
          <w:szCs w:val="21"/>
        </w:rPr>
      </w:pPr>
      <w:r>
        <w:rPr>
          <w:szCs w:val="21"/>
        </w:rPr>
        <w:t xml:space="preserve">Si le candidat retenu est un groupement, la </w:t>
      </w:r>
      <w:r>
        <w:rPr>
          <w:szCs w:val="21"/>
        </w:rPr>
        <w:t>demande du pouvoir adjudicateur sera adressée au mandataire qui devra présenter les pièces exigées pour l'ensemble des membres du groupement dans le délai indiqué au présent article.</w:t>
      </w:r>
    </w:p>
    <w:p w:rsidR="0045311A" w:rsidRDefault="0045311A">
      <w:pPr>
        <w:pStyle w:val="Standard"/>
        <w:rPr>
          <w:szCs w:val="21"/>
        </w:rPr>
      </w:pPr>
    </w:p>
    <w:p w:rsidR="0045311A" w:rsidRDefault="0056238B">
      <w:pPr>
        <w:pStyle w:val="Standard"/>
        <w:rPr>
          <w:szCs w:val="21"/>
        </w:rPr>
      </w:pPr>
      <w:r>
        <w:rPr>
          <w:szCs w:val="21"/>
        </w:rPr>
        <w:t xml:space="preserve">Le candidat devra fournir ces éléments, à compter de la réception de la </w:t>
      </w:r>
      <w:r>
        <w:rPr>
          <w:szCs w:val="21"/>
        </w:rPr>
        <w:t>demande, dans un délai de : 10 jours. A défaut, son offre est rejetée et la même demande est présentée au candidat suivant dans le classement des offres, conformément à l'article R2144-7 du Code de la commande publique.</w:t>
      </w:r>
    </w:p>
    <w:p w:rsidR="0045311A" w:rsidRDefault="0045311A">
      <w:pPr>
        <w:pStyle w:val="Standard"/>
        <w:rPr>
          <w:szCs w:val="21"/>
        </w:rPr>
      </w:pPr>
    </w:p>
    <w:p w:rsidR="0045311A" w:rsidRDefault="0056238B">
      <w:pPr>
        <w:pStyle w:val="Standard"/>
        <w:rPr>
          <w:szCs w:val="21"/>
        </w:rPr>
      </w:pPr>
      <w:r>
        <w:rPr>
          <w:szCs w:val="21"/>
        </w:rPr>
        <w:t>La Ville de Marseille ayant souscri</w:t>
      </w:r>
      <w:r>
        <w:rPr>
          <w:szCs w:val="21"/>
        </w:rPr>
        <w:t>t un abonnement au logiciel de conformité fournisseurs "e-attestations", les candidats sont invités à y déposer les documents exigibles au titre des articles R2143-6 à 10 du Code de la commande publique. L'interface e-attestations est une solution gratuite</w:t>
      </w:r>
      <w:r>
        <w:rPr>
          <w:szCs w:val="21"/>
        </w:rPr>
        <w:t xml:space="preserve"> de dépôt et de mise à jour, l'adresse du site est la suivante : http://www.e-attestations.com/</w:t>
      </w:r>
    </w:p>
    <w:p w:rsidR="0045311A" w:rsidRDefault="0056238B">
      <w:pPr>
        <w:pStyle w:val="Titre1"/>
      </w:pPr>
      <w:r>
        <w:lastRenderedPageBreak/>
        <w:t>MODALITES RELATIVES AUX COMMUNICATIONS ET AUX ECHANGES D'INFORMATION</w:t>
      </w:r>
    </w:p>
    <w:p w:rsidR="0045311A" w:rsidRDefault="0056238B">
      <w:pPr>
        <w:pStyle w:val="Titre2"/>
      </w:pPr>
      <w:r>
        <w:t>Règles liées aux échanges électroniques</w:t>
      </w:r>
    </w:p>
    <w:p w:rsidR="0045311A" w:rsidRDefault="0056238B">
      <w:pPr>
        <w:pStyle w:val="Standard"/>
        <w:rPr>
          <w:szCs w:val="21"/>
        </w:rPr>
      </w:pPr>
      <w:r>
        <w:rPr>
          <w:szCs w:val="21"/>
        </w:rPr>
        <w:t>Les modalités relatives aux communications et échan</w:t>
      </w:r>
      <w:r>
        <w:rPr>
          <w:szCs w:val="21"/>
        </w:rPr>
        <w:t>ges d'informations par voie électronique, ainsi que celles relatives à la candidature et à la signature électronique, sont détaillées dans l'annexe n°1 au présent RC intitulée Guide de la dématérialisation des marchés publics.</w:t>
      </w:r>
    </w:p>
    <w:p w:rsidR="0045311A" w:rsidRDefault="0045311A">
      <w:pPr>
        <w:pStyle w:val="Standard"/>
        <w:rPr>
          <w:szCs w:val="21"/>
        </w:rPr>
      </w:pPr>
    </w:p>
    <w:p w:rsidR="0045311A" w:rsidRDefault="0056238B">
      <w:pPr>
        <w:pStyle w:val="Standard"/>
        <w:rPr>
          <w:szCs w:val="21"/>
        </w:rPr>
      </w:pPr>
      <w:r>
        <w:rPr>
          <w:szCs w:val="21"/>
        </w:rPr>
        <w:t xml:space="preserve">Afin de garantir la lecture </w:t>
      </w:r>
      <w:r>
        <w:rPr>
          <w:szCs w:val="21"/>
        </w:rPr>
        <w:t>et l'exploitation des échanges dans le cadre de cette consultation, seuls les formats de fichiers suivants sont acceptés : .odt ; .ods ; .odg ; .doc ; .docx ; .rtf ; .pdf ; .ods ; .xls ; .xlsx ; .rar ; .zip ; .gif ; .jpeg ; .png ; .tif ; .ppt ; .odp ; .dwg</w:t>
      </w:r>
      <w:r>
        <w:rPr>
          <w:szCs w:val="21"/>
        </w:rPr>
        <w:t xml:space="preserve"> ; .dxf.</w:t>
      </w:r>
    </w:p>
    <w:p w:rsidR="0045311A" w:rsidRDefault="0056238B">
      <w:pPr>
        <w:pStyle w:val="Titre2"/>
      </w:pPr>
      <w:r>
        <w:t>Demandes de renseignements en cours de consultation</w:t>
      </w:r>
    </w:p>
    <w:p w:rsidR="0045311A" w:rsidRDefault="0056238B">
      <w:pPr>
        <w:pStyle w:val="Standard"/>
        <w:rPr>
          <w:szCs w:val="21"/>
        </w:rPr>
      </w:pPr>
      <w:r>
        <w:rPr>
          <w:szCs w:val="21"/>
        </w:rPr>
        <w:t xml:space="preserve">Les soumissionnaires peuvent déposer des demandes de renseignements complémentaires sous forme de questions, par exemple, et obtenir des réponses à ces questions ou tout autre renseignement via </w:t>
      </w:r>
      <w:r>
        <w:rPr>
          <w:szCs w:val="21"/>
        </w:rPr>
        <w:t>le profil d'acheteur dont l'adresse internet est marchespublics.mairie-marseille.fr</w:t>
      </w:r>
    </w:p>
    <w:p w:rsidR="0045311A" w:rsidRDefault="0045311A">
      <w:pPr>
        <w:pStyle w:val="Standard"/>
        <w:rPr>
          <w:rFonts w:ascii="Arial" w:hAnsi="Arial"/>
          <w:szCs w:val="21"/>
        </w:rPr>
      </w:pPr>
    </w:p>
    <w:p w:rsidR="0045311A" w:rsidRDefault="0056238B">
      <w:pPr>
        <w:pStyle w:val="Standard"/>
        <w:rPr>
          <w:szCs w:val="21"/>
        </w:rPr>
      </w:pPr>
      <w:r>
        <w:rPr>
          <w:szCs w:val="21"/>
        </w:rPr>
        <w:t>Ces demandes peuvent être adressées au représentant du pouvoir adjudicateur, par écrit, au plus tard 10 (dix) jours calendaires avant la date limite de remise des plis. Un</w:t>
      </w:r>
      <w:r>
        <w:rPr>
          <w:szCs w:val="21"/>
        </w:rPr>
        <w:t>e réponse sera alors adressée au plus tard 7 (sept) jours calendaires avant la date limite de remise des plis, à tous les candidats ayant retiré un dossier de consultation.</w:t>
      </w:r>
    </w:p>
    <w:sectPr w:rsidR="0045311A">
      <w:headerReference w:type="default" r:id="rId7"/>
      <w:footerReference w:type="default" r:id="rId8"/>
      <w:headerReference w:type="first" r:id="rId9"/>
      <w:footerReference w:type="first" r:id="rId10"/>
      <w:pgSz w:w="11906" w:h="16838"/>
      <w:pgMar w:top="2100" w:right="1803" w:bottom="1238" w:left="1803" w:header="810" w:footer="7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238B">
      <w:r>
        <w:separator/>
      </w:r>
    </w:p>
  </w:endnote>
  <w:endnote w:type="continuationSeparator" w:id="0">
    <w:p w:rsidR="00000000" w:rsidRDefault="0056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3" w:rsidRDefault="0056238B">
    <w:pPr>
      <w:pStyle w:val="Pieddepage"/>
      <w:pBdr>
        <w:top w:val="single" w:sz="4" w:space="1" w:color="000000"/>
        <w:left w:val="none" w:sz="0" w:space="0" w:color="auto"/>
        <w:bottom w:val="none" w:sz="0" w:space="0" w:color="auto"/>
        <w:right w:val="none" w:sz="0" w:space="0" w:color="auto"/>
      </w:pBdr>
      <w:jc w:val="left"/>
      <w:rPr>
        <w:rFonts w:ascii="Arial" w:hAnsi="Arial" w:cs="Arial"/>
        <w:i/>
        <w:color w:val="000000"/>
        <w:sz w:val="16"/>
        <w:szCs w:val="16"/>
        <w:shd w:val="clear" w:color="auto" w:fill="FFFFFF"/>
        <w:lang w:val="fr-FR"/>
      </w:rPr>
    </w:pPr>
    <w:r>
      <w:rPr>
        <w:rFonts w:ascii="Arial" w:hAnsi="Arial" w:cs="Arial"/>
        <w:i/>
        <w:color w:val="000000"/>
        <w:sz w:val="16"/>
        <w:szCs w:val="16"/>
        <w:shd w:val="clear" w:color="auto" w:fill="FFFFFF"/>
        <w:lang w:val="fr-FR"/>
      </w:rPr>
      <w:t>DGAJSP-DPMS (03012) / REGLEMENT DE LA CONSULTATION</w:t>
    </w:r>
  </w:p>
  <w:p w:rsidR="002B2803" w:rsidRDefault="0056238B">
    <w:pPr>
      <w:pStyle w:val="Pieddepage"/>
      <w:pBdr>
        <w:top w:val="none" w:sz="0" w:space="0" w:color="auto"/>
        <w:left w:val="none" w:sz="0" w:space="0" w:color="auto"/>
        <w:bottom w:val="none" w:sz="0" w:space="0" w:color="auto"/>
        <w:right w:val="none" w:sz="0" w:space="0" w:color="auto"/>
      </w:pBdr>
    </w:pPr>
    <w:r>
      <w:rPr>
        <w:rFonts w:ascii="Arial" w:hAnsi="Arial" w:cs="Arial"/>
        <w:i/>
        <w:color w:val="000000"/>
        <w:sz w:val="16"/>
        <w:szCs w:val="16"/>
        <w:shd w:val="clear" w:color="auto" w:fill="FFFFFF"/>
        <w:lang w:val="fr-FR"/>
      </w:rPr>
      <w:t>Fourniture et livraison de matériels et accessoires de formation, de sécurité et de protection pour les policiers municipaux de Marseille</w:t>
    </w: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noProof/>
        <w:sz w:val="16"/>
        <w:szCs w:val="16"/>
      </w:rPr>
      <w:t>14</w:t>
    </w:r>
    <w:r>
      <w:rPr>
        <w:rFonts w:ascii="Arial" w:hAnsi="Arial"/>
        <w:sz w:val="16"/>
        <w:szCs w:val="16"/>
      </w:rPr>
      <w:fldChar w:fldCharType="end"/>
    </w:r>
    <w:r>
      <w:rPr>
        <w:rStyle w:val="Numrodepage"/>
        <w:rFonts w:ascii="Arial" w:hAnsi="Arial"/>
        <w:sz w:val="16"/>
        <w:szCs w:val="16"/>
      </w:rPr>
      <w:t>/</w:t>
    </w:r>
    <w:r>
      <w:rPr>
        <w:rFonts w:ascii="Arial" w:hAnsi="Arial"/>
        <w:sz w:val="16"/>
        <w:szCs w:val="16"/>
      </w:rPr>
      <w:fldChar w:fldCharType="begin"/>
    </w:r>
    <w:r>
      <w:rPr>
        <w:rFonts w:ascii="Arial" w:hAnsi="Arial"/>
        <w:sz w:val="16"/>
        <w:szCs w:val="16"/>
      </w:rPr>
      <w:instrText xml:space="preserve"> NUMPAGES \* ARABIC </w:instrText>
    </w:r>
    <w:r>
      <w:rPr>
        <w:rFonts w:ascii="Arial" w:hAnsi="Arial"/>
        <w:sz w:val="16"/>
        <w:szCs w:val="16"/>
      </w:rPr>
      <w:fldChar w:fldCharType="separate"/>
    </w:r>
    <w:r>
      <w:rPr>
        <w:rFonts w:ascii="Arial" w:hAnsi="Arial"/>
        <w:noProof/>
        <w:sz w:val="16"/>
        <w:szCs w:val="16"/>
      </w:rPr>
      <w:t>15</w:t>
    </w:r>
    <w:r>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3" w:rsidRDefault="0056238B">
    <w:pPr>
      <w:pStyle w:val="Pieddepage"/>
      <w:pBdr>
        <w:top w:val="none" w:sz="0" w:space="0" w:color="auto"/>
        <w:left w:val="none" w:sz="0" w:space="0" w:color="auto"/>
        <w:bottom w:val="none" w:sz="0" w:space="0" w:color="auto"/>
        <w:right w:val="none" w:sz="0" w:space="0" w:color="auto"/>
      </w:pBdr>
    </w:pP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3654AF">
      <w:rPr>
        <w:rFonts w:ascii="Arial" w:hAnsi="Arial"/>
        <w:noProof/>
        <w:sz w:val="16"/>
        <w:szCs w:val="16"/>
      </w:rPr>
      <w:t>1</w:t>
    </w:r>
    <w:r>
      <w:rPr>
        <w:rFonts w:ascii="Arial" w:hAnsi="Arial"/>
        <w:sz w:val="16"/>
        <w:szCs w:val="16"/>
      </w:rPr>
      <w:fldChar w:fldCharType="end"/>
    </w:r>
    <w:r>
      <w:rPr>
        <w:rStyle w:val="Numrodepage"/>
        <w:rFonts w:ascii="Arial" w:hAnsi="Arial"/>
        <w:sz w:val="16"/>
        <w:szCs w:val="16"/>
      </w:rPr>
      <w:t>/</w:t>
    </w:r>
    <w:r>
      <w:rPr>
        <w:rFonts w:ascii="Arial" w:hAnsi="Arial"/>
        <w:sz w:val="16"/>
        <w:szCs w:val="16"/>
      </w:rPr>
      <w:fldChar w:fldCharType="begin"/>
    </w:r>
    <w:r>
      <w:rPr>
        <w:rFonts w:ascii="Arial" w:hAnsi="Arial"/>
        <w:sz w:val="16"/>
        <w:szCs w:val="16"/>
      </w:rPr>
      <w:instrText xml:space="preserve"> NUMPAGES \* ARABIC </w:instrText>
    </w:r>
    <w:r>
      <w:rPr>
        <w:rFonts w:ascii="Arial" w:hAnsi="Arial"/>
        <w:sz w:val="16"/>
        <w:szCs w:val="16"/>
      </w:rPr>
      <w:fldChar w:fldCharType="separate"/>
    </w:r>
    <w:r w:rsidR="003654AF">
      <w:rPr>
        <w:rFonts w:ascii="Arial" w:hAnsi="Arial"/>
        <w:noProof/>
        <w:sz w:val="16"/>
        <w:szCs w:val="16"/>
      </w:rPr>
      <w:t>15</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238B">
      <w:r>
        <w:rPr>
          <w:color w:val="000000"/>
        </w:rPr>
        <w:ptab w:relativeTo="margin" w:alignment="center" w:leader="none"/>
      </w:r>
    </w:p>
  </w:footnote>
  <w:footnote w:type="continuationSeparator" w:id="0">
    <w:p w:rsidR="00000000" w:rsidRDefault="0056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3" w:rsidRDefault="005623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3" w:rsidRDefault="005623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5E8E"/>
    <w:multiLevelType w:val="multilevel"/>
    <w:tmpl w:val="7BE0B694"/>
    <w:styleLink w:val="RTFNum4"/>
    <w:lvl w:ilvl="0">
      <w:numFmt w:val="bullet"/>
      <w:lvlText w:val=""/>
      <w:lvlJc w:val="left"/>
      <w:pPr>
        <w:ind w:left="720" w:hanging="360"/>
      </w:pPr>
      <w:rPr>
        <w:rFonts w:ascii="Wingdings" w:eastAsia="Wingdings" w:hAnsi="Wingdings" w:cs="Wingdings"/>
        <w:sz w:val="20"/>
        <w:szCs w:val="20"/>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Wingdings" w:eastAsia="Wingdings" w:hAnsi="Wingdings" w:cs="Wingdings"/>
      </w:rPr>
    </w:lvl>
    <w:lvl w:ilvl="3">
      <w:numFmt w:val="bullet"/>
      <w:lvlText w:val=""/>
      <w:lvlJc w:val="left"/>
      <w:pPr>
        <w:ind w:left="3240" w:hanging="360"/>
      </w:pPr>
      <w:rPr>
        <w:rFonts w:ascii="Symbol" w:eastAsia="Symbol" w:hAnsi="Symbol" w:cs="Symbol"/>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Wingdings" w:eastAsia="Wingdings" w:hAnsi="Wingdings" w:cs="Wingdings"/>
      </w:rPr>
    </w:lvl>
    <w:lvl w:ilvl="6">
      <w:numFmt w:val="bullet"/>
      <w:lvlText w:val=""/>
      <w:lvlJc w:val="left"/>
      <w:pPr>
        <w:ind w:left="5400" w:hanging="360"/>
      </w:pPr>
      <w:rPr>
        <w:rFonts w:ascii="Symbol" w:eastAsia="Symbol" w:hAnsi="Symbol" w:cs="Symbol"/>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Wingdings" w:eastAsia="Wingdings" w:hAnsi="Wingdings" w:cs="Wingdings"/>
      </w:rPr>
    </w:lvl>
  </w:abstractNum>
  <w:abstractNum w:abstractNumId="1" w15:restartNumberingAfterBreak="0">
    <w:nsid w:val="114B21AB"/>
    <w:multiLevelType w:val="multilevel"/>
    <w:tmpl w:val="C5F280A2"/>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 w15:restartNumberingAfterBreak="0">
    <w:nsid w:val="132779ED"/>
    <w:multiLevelType w:val="multilevel"/>
    <w:tmpl w:val="91001AFC"/>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 w15:restartNumberingAfterBreak="0">
    <w:nsid w:val="15ED47C1"/>
    <w:multiLevelType w:val="multilevel"/>
    <w:tmpl w:val="03E6D400"/>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4" w15:restartNumberingAfterBreak="0">
    <w:nsid w:val="39681091"/>
    <w:multiLevelType w:val="multilevel"/>
    <w:tmpl w:val="98B25CDA"/>
    <w:styleLink w:val="RTFNum2"/>
    <w:lvl w:ilvl="0">
      <w:numFmt w:val="bullet"/>
      <w:lvlText w:val=""/>
      <w:lvlJc w:val="left"/>
      <w:pPr>
        <w:ind w:left="360" w:hanging="360"/>
      </w:pPr>
      <w:rPr>
        <w:rFonts w:ascii="Wingdings" w:eastAsia="Wingdings" w:hAnsi="Wingdings" w:cs="Wingdings"/>
      </w:rPr>
    </w:lvl>
    <w:lvl w:ilvl="1">
      <w:numFmt w:val="bullet"/>
      <w:lvlText w:val=""/>
      <w:lvlJc w:val="left"/>
      <w:pPr>
        <w:ind w:left="720" w:hanging="360"/>
      </w:pPr>
      <w:rPr>
        <w:rFonts w:ascii="Wingdings" w:eastAsia="Wingdings" w:hAnsi="Wingdings" w:cs="Wingdings"/>
      </w:rPr>
    </w:lvl>
    <w:lvl w:ilvl="2">
      <w:numFmt w:val="bullet"/>
      <w:lvlText w:val=""/>
      <w:lvlJc w:val="left"/>
      <w:pPr>
        <w:ind w:left="1080" w:hanging="360"/>
      </w:pPr>
      <w:rPr>
        <w:rFonts w:ascii="Wingdings" w:eastAsia="Wingdings" w:hAnsi="Wingdings" w:cs="Wingdings"/>
      </w:rPr>
    </w:lvl>
    <w:lvl w:ilvl="3">
      <w:numFmt w:val="bullet"/>
      <w:lvlText w:val=""/>
      <w:lvlJc w:val="left"/>
      <w:pPr>
        <w:ind w:left="1440" w:hanging="360"/>
      </w:pPr>
      <w:rPr>
        <w:rFonts w:ascii="Wingdings" w:eastAsia="Wingdings" w:hAnsi="Wingdings" w:cs="Wingdings"/>
      </w:rPr>
    </w:lvl>
    <w:lvl w:ilvl="4">
      <w:numFmt w:val="bullet"/>
      <w:lvlText w:val=""/>
      <w:lvlJc w:val="left"/>
      <w:pPr>
        <w:ind w:left="1800" w:hanging="360"/>
      </w:pPr>
      <w:rPr>
        <w:rFonts w:ascii="Wingdings" w:eastAsia="Wingdings" w:hAnsi="Wingdings" w:cs="Wingdings"/>
      </w:rPr>
    </w:lvl>
    <w:lvl w:ilvl="5">
      <w:numFmt w:val="bullet"/>
      <w:lvlText w:val=""/>
      <w:lvlJc w:val="left"/>
      <w:pPr>
        <w:ind w:left="2160" w:hanging="360"/>
      </w:pPr>
      <w:rPr>
        <w:rFonts w:ascii="Wingdings" w:eastAsia="Wingdings" w:hAnsi="Wingdings" w:cs="Wingdings"/>
      </w:rPr>
    </w:lvl>
    <w:lvl w:ilvl="6">
      <w:numFmt w:val="bullet"/>
      <w:lvlText w:val=""/>
      <w:lvlJc w:val="left"/>
      <w:pPr>
        <w:ind w:left="2520" w:hanging="360"/>
      </w:pPr>
      <w:rPr>
        <w:rFonts w:ascii="Wingdings" w:eastAsia="Wingdings" w:hAnsi="Wingdings" w:cs="Wingdings"/>
      </w:rPr>
    </w:lvl>
    <w:lvl w:ilvl="7">
      <w:numFmt w:val="bullet"/>
      <w:lvlText w:val=""/>
      <w:lvlJc w:val="left"/>
      <w:pPr>
        <w:ind w:left="2880" w:hanging="360"/>
      </w:pPr>
      <w:rPr>
        <w:rFonts w:ascii="Wingdings" w:eastAsia="Wingdings" w:hAnsi="Wingdings" w:cs="Wingdings"/>
      </w:rPr>
    </w:lvl>
    <w:lvl w:ilvl="8">
      <w:numFmt w:val="bullet"/>
      <w:lvlText w:val=""/>
      <w:lvlJc w:val="left"/>
      <w:pPr>
        <w:ind w:left="3240" w:hanging="360"/>
      </w:pPr>
      <w:rPr>
        <w:rFonts w:ascii="Wingdings" w:eastAsia="Wingdings" w:hAnsi="Wingdings" w:cs="Wingdings"/>
      </w:rPr>
    </w:lvl>
  </w:abstractNum>
  <w:abstractNum w:abstractNumId="5" w15:restartNumberingAfterBreak="0">
    <w:nsid w:val="41E66223"/>
    <w:multiLevelType w:val="multilevel"/>
    <w:tmpl w:val="37C639A6"/>
    <w:styleLink w:val="RTFNum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3F8557A"/>
    <w:multiLevelType w:val="multilevel"/>
    <w:tmpl w:val="C9F44588"/>
    <w:styleLink w:val="List1"/>
    <w:lvl w:ilvl="0">
      <w:numFmt w:val="bullet"/>
      <w:lvlText w:val=""/>
      <w:lvlJc w:val="left"/>
      <w:pPr>
        <w:ind w:left="283" w:hanging="283"/>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numFmt w:val="bullet"/>
      <w:lvlText w:val="▪"/>
      <w:lvlJc w:val="left"/>
      <w:pPr>
        <w:ind w:left="1134" w:hanging="227"/>
      </w:pPr>
      <w:rPr>
        <w:rFonts w:ascii="OpenSymbol" w:eastAsia="OpenSymbol" w:hAnsi="OpenSymbol" w:cs="OpenSymbol"/>
      </w:rPr>
    </w:lvl>
    <w:lvl w:ilvl="5">
      <w:numFmt w:val="bullet"/>
      <w:lvlText w:val="▪"/>
      <w:lvlJc w:val="left"/>
      <w:pPr>
        <w:ind w:left="1361" w:hanging="227"/>
      </w:pPr>
      <w:rPr>
        <w:rFonts w:ascii="OpenSymbol" w:eastAsia="OpenSymbol" w:hAnsi="OpenSymbol" w:cs="OpenSymbol"/>
      </w:rPr>
    </w:lvl>
    <w:lvl w:ilvl="6">
      <w:numFmt w:val="bullet"/>
      <w:lvlText w:val="▪"/>
      <w:lvlJc w:val="left"/>
      <w:pPr>
        <w:ind w:left="1587" w:hanging="227"/>
      </w:pPr>
      <w:rPr>
        <w:rFonts w:ascii="OpenSymbol" w:eastAsia="OpenSymbol" w:hAnsi="OpenSymbol" w:cs="OpenSymbol"/>
      </w:rPr>
    </w:lvl>
    <w:lvl w:ilvl="7">
      <w:numFmt w:val="bullet"/>
      <w:lvlText w:val="▪"/>
      <w:lvlJc w:val="left"/>
      <w:pPr>
        <w:ind w:left="1814" w:hanging="227"/>
      </w:pPr>
      <w:rPr>
        <w:rFonts w:ascii="OpenSymbol" w:eastAsia="OpenSymbol" w:hAnsi="OpenSymbol" w:cs="OpenSymbol"/>
      </w:rPr>
    </w:lvl>
    <w:lvl w:ilvl="8">
      <w:numFmt w:val="bullet"/>
      <w:lvlText w:val="▪"/>
      <w:lvlJc w:val="left"/>
      <w:pPr>
        <w:ind w:left="2041" w:hanging="227"/>
      </w:pPr>
      <w:rPr>
        <w:rFonts w:ascii="OpenSymbol" w:eastAsia="OpenSymbol" w:hAnsi="OpenSymbol" w:cs="OpenSymbol"/>
      </w:rPr>
    </w:lvl>
  </w:abstractNum>
  <w:abstractNum w:abstractNumId="7" w15:restartNumberingAfterBreak="0">
    <w:nsid w:val="45046A53"/>
    <w:multiLevelType w:val="multilevel"/>
    <w:tmpl w:val="681ECA50"/>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8" w15:restartNumberingAfterBreak="0">
    <w:nsid w:val="5EBD55F9"/>
    <w:multiLevelType w:val="multilevel"/>
    <w:tmpl w:val="F3AA57E8"/>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9" w15:restartNumberingAfterBreak="0">
    <w:nsid w:val="61E71F09"/>
    <w:multiLevelType w:val="multilevel"/>
    <w:tmpl w:val="A7804E82"/>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10" w15:restartNumberingAfterBreak="0">
    <w:nsid w:val="6D0829A1"/>
    <w:multiLevelType w:val="multilevel"/>
    <w:tmpl w:val="A59CCFC0"/>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1" w15:restartNumberingAfterBreak="0">
    <w:nsid w:val="74286165"/>
    <w:multiLevelType w:val="multilevel"/>
    <w:tmpl w:val="6D42E28E"/>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2" w15:restartNumberingAfterBreak="0">
    <w:nsid w:val="7A3C10BF"/>
    <w:multiLevelType w:val="multilevel"/>
    <w:tmpl w:val="52A62C7A"/>
    <w:styleLink w:val="List2"/>
    <w:lvl w:ilvl="0">
      <w:numFmt w:val="bullet"/>
      <w:lvlText w:val="□"/>
      <w:lvlJc w:val="left"/>
      <w:pPr>
        <w:ind w:left="170" w:hanging="170"/>
      </w:pPr>
      <w:rPr>
        <w:rFonts w:ascii="OpenSymbol" w:eastAsia="OpenSymbol" w:hAnsi="OpenSymbol" w:cs="OpenSymbol"/>
      </w:rPr>
    </w:lvl>
    <w:lvl w:ilvl="1">
      <w:numFmt w:val="bullet"/>
      <w:lvlText w:val="□"/>
      <w:lvlJc w:val="left"/>
      <w:pPr>
        <w:ind w:left="567" w:hanging="340"/>
      </w:pPr>
      <w:rPr>
        <w:rFonts w:ascii="OpenSymbol" w:eastAsia="OpenSymbol" w:hAnsi="OpenSymbol" w:cs="OpenSymbol"/>
      </w:rPr>
    </w:lvl>
    <w:lvl w:ilvl="2">
      <w:numFmt w:val="bullet"/>
      <w:lvlText w:val="□"/>
      <w:lvlJc w:val="left"/>
      <w:pPr>
        <w:ind w:left="510" w:hanging="170"/>
      </w:pPr>
      <w:rPr>
        <w:rFonts w:ascii="OpenSymbol" w:eastAsia="OpenSymbol" w:hAnsi="OpenSymbol" w:cs="OpenSymbol"/>
      </w:rPr>
    </w:lvl>
    <w:lvl w:ilvl="3">
      <w:numFmt w:val="bullet"/>
      <w:lvlText w:val="□"/>
      <w:lvlJc w:val="left"/>
      <w:pPr>
        <w:ind w:left="680" w:hanging="170"/>
      </w:pPr>
      <w:rPr>
        <w:rFonts w:ascii="OpenSymbol" w:eastAsia="OpenSymbol" w:hAnsi="OpenSymbol" w:cs="OpenSymbol"/>
      </w:rPr>
    </w:lvl>
    <w:lvl w:ilvl="4">
      <w:numFmt w:val="bullet"/>
      <w:lvlText w:val="□"/>
      <w:lvlJc w:val="left"/>
      <w:pPr>
        <w:ind w:left="850" w:hanging="170"/>
      </w:pPr>
      <w:rPr>
        <w:rFonts w:ascii="OpenSymbol" w:eastAsia="OpenSymbol" w:hAnsi="OpenSymbol" w:cs="OpenSymbol"/>
      </w:rPr>
    </w:lvl>
    <w:lvl w:ilvl="5">
      <w:numFmt w:val="bullet"/>
      <w:lvlText w:val="□"/>
      <w:lvlJc w:val="left"/>
      <w:pPr>
        <w:ind w:left="1020" w:hanging="170"/>
      </w:pPr>
      <w:rPr>
        <w:rFonts w:ascii="OpenSymbol" w:eastAsia="OpenSymbol" w:hAnsi="OpenSymbol" w:cs="OpenSymbol"/>
      </w:rPr>
    </w:lvl>
    <w:lvl w:ilvl="6">
      <w:numFmt w:val="bullet"/>
      <w:lvlText w:val="□"/>
      <w:lvlJc w:val="left"/>
      <w:pPr>
        <w:ind w:left="1191" w:hanging="170"/>
      </w:pPr>
      <w:rPr>
        <w:rFonts w:ascii="OpenSymbol" w:eastAsia="OpenSymbol" w:hAnsi="OpenSymbol" w:cs="OpenSymbol"/>
      </w:rPr>
    </w:lvl>
    <w:lvl w:ilvl="7">
      <w:numFmt w:val="bullet"/>
      <w:lvlText w:val="□"/>
      <w:lvlJc w:val="left"/>
      <w:pPr>
        <w:ind w:left="1361" w:hanging="170"/>
      </w:pPr>
      <w:rPr>
        <w:rFonts w:ascii="OpenSymbol" w:eastAsia="OpenSymbol" w:hAnsi="OpenSymbol" w:cs="OpenSymbol"/>
      </w:rPr>
    </w:lvl>
    <w:lvl w:ilvl="8">
      <w:numFmt w:val="bullet"/>
      <w:lvlText w:val="□"/>
      <w:lvlJc w:val="left"/>
      <w:pPr>
        <w:ind w:left="1531" w:hanging="170"/>
      </w:pPr>
      <w:rPr>
        <w:rFonts w:ascii="OpenSymbol" w:eastAsia="OpenSymbol" w:hAnsi="OpenSymbol" w:cs="OpenSymbol"/>
      </w:rPr>
    </w:lvl>
  </w:abstractNum>
  <w:abstractNum w:abstractNumId="13" w15:restartNumberingAfterBreak="0">
    <w:nsid w:val="7FD7387C"/>
    <w:multiLevelType w:val="multilevel"/>
    <w:tmpl w:val="43B4A760"/>
    <w:styleLink w:val="Outline"/>
    <w:lvl w:ilvl="0">
      <w:start w:val="1"/>
      <w:numFmt w:val="decimal"/>
      <w:pStyle w:val="Titre1"/>
      <w:lvlText w:val="Article %1 -"/>
      <w:lvlJc w:val="left"/>
      <w:pPr>
        <w:ind w:left="0" w:firstLine="283"/>
      </w:pPr>
    </w:lvl>
    <w:lvl w:ilvl="1">
      <w:start w:val="1"/>
      <w:numFmt w:val="decimal"/>
      <w:pStyle w:val="Titre2"/>
      <w:lvlText w:val="%1.%2"/>
      <w:lvlJc w:val="left"/>
      <w:pPr>
        <w:ind w:left="0" w:firstLine="283"/>
      </w:pPr>
    </w:lvl>
    <w:lvl w:ilvl="2">
      <w:start w:val="1"/>
      <w:numFmt w:val="decimal"/>
      <w:pStyle w:val="Titre3"/>
      <w:lvlText w:val="%1.%2.%3"/>
      <w:lvlJc w:val="left"/>
      <w:pPr>
        <w:ind w:left="0" w:firstLine="283"/>
      </w:pPr>
    </w:lvl>
    <w:lvl w:ilvl="3">
      <w:start w:val="1"/>
      <w:numFmt w:val="lowerLetter"/>
      <w:pStyle w:val="Titre4"/>
      <w:lvlText w:val="%1.%2.%3.%4"/>
      <w:lvlJc w:val="left"/>
      <w:pPr>
        <w:ind w:left="0" w:firstLine="283"/>
      </w:pPr>
    </w:lvl>
    <w:lvl w:ilvl="4">
      <w:start w:val="1"/>
      <w:numFmt w:val="none"/>
      <w:lvlText w:val="%5"/>
      <w:lvlJc w:val="left"/>
      <w:pPr>
        <w:ind w:left="0" w:firstLine="283"/>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3"/>
  </w:num>
  <w:num w:numId="2">
    <w:abstractNumId w:val="6"/>
  </w:num>
  <w:num w:numId="3">
    <w:abstractNumId w:val="12"/>
  </w:num>
  <w:num w:numId="4">
    <w:abstractNumId w:val="9"/>
  </w:num>
  <w:num w:numId="5">
    <w:abstractNumId w:val="2"/>
  </w:num>
  <w:num w:numId="6">
    <w:abstractNumId w:val="8"/>
  </w:num>
  <w:num w:numId="7">
    <w:abstractNumId w:val="11"/>
  </w:num>
  <w:num w:numId="8">
    <w:abstractNumId w:val="1"/>
  </w:num>
  <w:num w:numId="9">
    <w:abstractNumId w:val="3"/>
  </w:num>
  <w:num w:numId="10">
    <w:abstractNumId w:val="7"/>
  </w:num>
  <w:num w:numId="11">
    <w:abstractNumId w:val="10"/>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45311A"/>
    <w:rsid w:val="003654AF"/>
    <w:rsid w:val="0045311A"/>
    <w:rsid w:val="00562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ECB7"/>
  <w15:docId w15:val="{9CA19A70-2003-4610-BB6D-10CA955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numPr>
        <w:numId w:val="1"/>
      </w:numPr>
      <w:outlineLvl w:val="0"/>
    </w:pPr>
    <w:rPr>
      <w:rFonts w:ascii="Trebuchet MS" w:eastAsia="Trebuchet MS" w:hAnsi="Trebuchet MS" w:cs="Trebuchet MS"/>
      <w:color w:val="808080"/>
      <w:sz w:val="36"/>
      <w:szCs w:val="36"/>
    </w:rPr>
  </w:style>
  <w:style w:type="paragraph" w:styleId="Titre2">
    <w:name w:val="heading 2"/>
    <w:basedOn w:val="Standard"/>
    <w:next w:val="Standard"/>
    <w:pPr>
      <w:numPr>
        <w:ilvl w:val="1"/>
        <w:numId w:val="1"/>
      </w:numPr>
      <w:spacing w:before="240" w:after="60"/>
      <w:outlineLvl w:val="1"/>
    </w:pPr>
    <w:rPr>
      <w:rFonts w:ascii="Trebuchet MS" w:eastAsia="Trebuchet MS" w:hAnsi="Trebuchet MS" w:cs="Trebuchet MS"/>
      <w:b/>
      <w:bCs/>
      <w:i/>
      <w:iCs/>
      <w:sz w:val="28"/>
      <w:szCs w:val="28"/>
    </w:rPr>
  </w:style>
  <w:style w:type="paragraph" w:styleId="Titre3">
    <w:name w:val="heading 3"/>
    <w:basedOn w:val="Standard"/>
    <w:next w:val="Standard"/>
    <w:pPr>
      <w:numPr>
        <w:ilvl w:val="2"/>
        <w:numId w:val="1"/>
      </w:numPr>
      <w:spacing w:before="240" w:after="60"/>
      <w:outlineLvl w:val="2"/>
    </w:pPr>
    <w:rPr>
      <w:rFonts w:ascii="Trebuchet MS" w:eastAsia="Trebuchet MS" w:hAnsi="Trebuchet MS" w:cs="Trebuchet MS"/>
      <w:b/>
      <w:bCs/>
      <w:sz w:val="26"/>
      <w:szCs w:val="26"/>
    </w:rPr>
  </w:style>
  <w:style w:type="paragraph" w:styleId="Titre4">
    <w:name w:val="heading 4"/>
    <w:basedOn w:val="Standard"/>
    <w:next w:val="Textbody"/>
    <w:autoRedefine/>
    <w:pPr>
      <w:numPr>
        <w:ilvl w:val="3"/>
        <w:numId w:val="1"/>
      </w:numPr>
      <w:spacing w:before="283" w:after="57"/>
      <w:outlineLvl w:val="3"/>
    </w:pPr>
    <w:rPr>
      <w:b/>
      <w:bCs/>
      <w:i/>
      <w:iCs/>
      <w:sz w:val="24"/>
    </w:rPr>
  </w:style>
  <w:style w:type="paragraph" w:styleId="Titre5">
    <w:name w:val="heading 5"/>
    <w:basedOn w:val="Standard"/>
    <w:next w:val="Textbody"/>
    <w:autoRedefine/>
    <w:pPr>
      <w:spacing w:before="283" w:after="57"/>
      <w:outlineLvl w:val="4"/>
    </w:pPr>
    <w:rPr>
      <w:b/>
      <w:bCs/>
      <w:i/>
      <w:sz w:val="22"/>
    </w:rPr>
  </w:style>
  <w:style w:type="paragraph" w:styleId="Titre6">
    <w:name w:val="heading 6"/>
    <w:basedOn w:val="Heading"/>
    <w:next w:val="Textbody"/>
    <w:pPr>
      <w:outlineLvl w:val="5"/>
    </w:pPr>
    <w:rPr>
      <w:bCs/>
    </w:rPr>
  </w:style>
  <w:style w:type="paragraph" w:styleId="Titre7">
    <w:name w:val="heading 7"/>
    <w:basedOn w:val="Heading"/>
    <w:next w:val="Textbody"/>
    <w:pPr>
      <w:outlineLvl w:val="6"/>
    </w:pPr>
    <w:rPr>
      <w:bCs/>
    </w:rPr>
  </w:style>
  <w:style w:type="paragraph" w:styleId="Titre8">
    <w:name w:val="heading 8"/>
    <w:basedOn w:val="Heading"/>
    <w:next w:val="Textbody"/>
    <w:pPr>
      <w:outlineLvl w:val="7"/>
    </w:pPr>
    <w:rPr>
      <w:bCs/>
    </w:rPr>
  </w:style>
  <w:style w:type="paragraph" w:styleId="Titre9">
    <w:name w:val="heading 9"/>
    <w:basedOn w:val="Heading"/>
    <w:next w:val="Textbody"/>
    <w:pPr>
      <w:outlineLvl w:val="8"/>
    </w:pPr>
    <w:rPr>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autoRedefine/>
    <w:pPr>
      <w:keepNext/>
      <w:keepLines/>
      <w:jc w:val="both"/>
      <w:textAlignment w:val="center"/>
    </w:pPr>
    <w:rPr>
      <w:rFonts w:ascii="Calibri" w:eastAsia="Calibri" w:hAnsi="Calibri" w:cs="Calibri"/>
      <w:sz w:val="21"/>
    </w:rPr>
  </w:style>
  <w:style w:type="paragraph" w:customStyle="1" w:styleId="Heading">
    <w:name w:val="Heading"/>
    <w:basedOn w:val="Standard"/>
    <w:next w:val="Textbody"/>
    <w:autoRedefine/>
    <w:pPr>
      <w:pBdr>
        <w:top w:val="single" w:sz="18" w:space="1" w:color="666666"/>
        <w:left w:val="single" w:sz="18" w:space="1" w:color="666666"/>
        <w:bottom w:val="single" w:sz="18" w:space="1" w:color="666666"/>
        <w:right w:val="single" w:sz="18" w:space="1" w:color="666666"/>
      </w:pBdr>
      <w:spacing w:before="567" w:after="567"/>
      <w:jc w:val="center"/>
    </w:pPr>
    <w:rPr>
      <w:rFonts w:ascii="Arial" w:eastAsia="Andale Sans UI" w:hAnsi="Arial" w:cs="Tahoma"/>
      <w:b/>
      <w:sz w:val="32"/>
      <w:szCs w:val="28"/>
    </w:rPr>
  </w:style>
  <w:style w:type="paragraph" w:customStyle="1" w:styleId="Textbody">
    <w:name w:val="Text body"/>
    <w:basedOn w:val="Standard"/>
    <w:autoRedefine/>
    <w:rPr>
      <w:rFonts w:ascii="Arial" w:eastAsia="Arial" w:hAnsi="Arial" w:cs="Arial"/>
    </w:rPr>
  </w:style>
  <w:style w:type="paragraph" w:styleId="Liste">
    <w:name w:val="List"/>
    <w:basedOn w:val="Textbody"/>
    <w:rPr>
      <w:rFonts w:cs="Tahoma"/>
    </w:rPr>
  </w:style>
  <w:style w:type="paragraph" w:styleId="Lgende">
    <w:name w:val="caption"/>
    <w:basedOn w:val="Standard"/>
    <w:pPr>
      <w:suppressLineNumbers/>
      <w:spacing w:before="120" w:after="120"/>
    </w:pPr>
    <w:rPr>
      <w:rFonts w:ascii="Trebuchet MS" w:eastAsia="Trebuchet MS" w:hAnsi="Trebuchet MS" w:cs="Tahoma"/>
      <w:i/>
      <w:iCs/>
      <w:sz w:val="24"/>
    </w:rPr>
  </w:style>
  <w:style w:type="paragraph" w:customStyle="1" w:styleId="Index">
    <w:name w:val="Index"/>
    <w:basedOn w:val="Standard"/>
    <w:pPr>
      <w:suppressLineNumbers/>
    </w:pPr>
    <w:rPr>
      <w:rFonts w:ascii="Trebuchet MS" w:eastAsia="Trebuchet MS" w:hAnsi="Trebuchet MS" w:cs="Tahoma"/>
    </w:rPr>
  </w:style>
  <w:style w:type="paragraph" w:customStyle="1" w:styleId="TableContents">
    <w:name w:val="Table Contents"/>
    <w:basedOn w:val="Standard"/>
    <w:pPr>
      <w:suppressLineNumbers/>
    </w:pPr>
    <w:rPr>
      <w:rFonts w:ascii="Trebuchet MS" w:eastAsia="Trebuchet MS" w:hAnsi="Trebuchet MS" w:cs="Trebuchet MS"/>
    </w:r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8"/>
        <w:tab w:val="right" w:pos="9637"/>
      </w:tabs>
    </w:pPr>
    <w:rPr>
      <w:rFonts w:ascii="Trebuchet MS" w:eastAsia="Trebuchet MS" w:hAnsi="Trebuchet MS" w:cs="Trebuchet MS"/>
    </w:rPr>
  </w:style>
  <w:style w:type="paragraph" w:customStyle="1" w:styleId="numration1lamarge">
    <w:name w:val="énumération 1  à la marge"/>
    <w:basedOn w:val="Standard"/>
    <w:pPr>
      <w:tabs>
        <w:tab w:val="left" w:pos="360"/>
      </w:tabs>
      <w:spacing w:after="120"/>
      <w:ind w:left="360" w:hanging="360"/>
    </w:pPr>
    <w:rPr>
      <w:rFonts w:ascii="Trebuchet MS" w:eastAsia="Trebuchet MS" w:hAnsi="Trebuchet MS" w:cs="Trebuchet MS"/>
    </w:rPr>
  </w:style>
  <w:style w:type="paragraph" w:customStyle="1" w:styleId="HeaderandFooter">
    <w:name w:val="Header and Footer"/>
    <w:basedOn w:val="Standard"/>
    <w:pPr>
      <w:suppressLineNumbers/>
      <w:tabs>
        <w:tab w:val="center" w:pos="4819"/>
        <w:tab w:val="right" w:pos="9638"/>
      </w:tabs>
    </w:pPr>
  </w:style>
  <w:style w:type="paragraph" w:styleId="Titreindex">
    <w:name w:val="index heading"/>
    <w:basedOn w:val="Heading"/>
    <w:pPr>
      <w:suppressLineNumbers/>
    </w:pPr>
    <w:rPr>
      <w:bCs/>
      <w:szCs w:val="32"/>
    </w:rPr>
  </w:style>
  <w:style w:type="paragraph" w:customStyle="1" w:styleId="ContentsHeading">
    <w:name w:val="Contents Heading"/>
    <w:basedOn w:val="Heading"/>
    <w:pPr>
      <w:suppressLineNumbers/>
      <w:spacing w:before="0" w:after="283"/>
    </w:pPr>
    <w:rPr>
      <w:rFonts w:ascii="Trebuchet MS" w:eastAsia="Trebuchet MS" w:hAnsi="Trebuchet MS" w:cs="Trebuchet MS"/>
      <w:bCs/>
      <w:szCs w:val="32"/>
    </w:rPr>
  </w:style>
  <w:style w:type="paragraph" w:customStyle="1" w:styleId="Contents1">
    <w:name w:val="Contents 1"/>
    <w:basedOn w:val="Index"/>
    <w:autoRedefine/>
    <w:pPr>
      <w:keepNext w:val="0"/>
      <w:keepLines w:val="0"/>
      <w:tabs>
        <w:tab w:val="right" w:leader="dot" w:pos="9637"/>
      </w:tabs>
      <w:spacing w:before="170" w:after="113"/>
    </w:pPr>
  </w:style>
  <w:style w:type="paragraph" w:customStyle="1" w:styleId="Contents2">
    <w:name w:val="Contents 2"/>
    <w:basedOn w:val="Index"/>
    <w:pPr>
      <w:spacing w:before="57" w:after="57"/>
    </w:pPr>
  </w:style>
  <w:style w:type="paragraph" w:customStyle="1" w:styleId="Contents3">
    <w:name w:val="Contents 3"/>
    <w:basedOn w:val="Index"/>
    <w:pPr>
      <w:tabs>
        <w:tab w:val="right" w:leader="dot" w:pos="9241"/>
      </w:tabs>
      <w:spacing w:before="57" w:after="57"/>
      <w:ind w:left="170"/>
    </w:pPr>
  </w:style>
  <w:style w:type="paragraph" w:customStyle="1" w:styleId="Contents4">
    <w:name w:val="Contents 4"/>
    <w:basedOn w:val="Index"/>
    <w:pPr>
      <w:tabs>
        <w:tab w:val="right" w:leader="dot" w:pos="9128"/>
      </w:tabs>
      <w:spacing w:before="57" w:after="57"/>
      <w:ind w:left="340"/>
    </w:pPr>
  </w:style>
  <w:style w:type="paragraph" w:customStyle="1" w:styleId="Contents5">
    <w:name w:val="Contents 5"/>
    <w:basedOn w:val="Index"/>
    <w:pPr>
      <w:tabs>
        <w:tab w:val="right" w:leader="dot" w:pos="9015"/>
      </w:tabs>
      <w:spacing w:before="57" w:after="57"/>
      <w:ind w:left="510"/>
    </w:pPr>
  </w:style>
  <w:style w:type="paragraph" w:customStyle="1" w:styleId="UserIndex1">
    <w:name w:val="User Index 1"/>
    <w:basedOn w:val="Index"/>
    <w:pPr>
      <w:tabs>
        <w:tab w:val="right" w:leader="dot" w:pos="9637"/>
      </w:tabs>
    </w:pPr>
  </w:style>
  <w:style w:type="paragraph" w:styleId="Pieddepage">
    <w:name w:val="footer"/>
    <w:basedOn w:val="Standard"/>
    <w:pPr>
      <w:suppressLineNumbers/>
      <w:pBdr>
        <w:top w:val="single" w:sz="2" w:space="0" w:color="000000"/>
        <w:left w:val="single" w:sz="2" w:space="0" w:color="000000"/>
        <w:bottom w:val="single" w:sz="2" w:space="0" w:color="000000"/>
        <w:right w:val="single" w:sz="2" w:space="0" w:color="000000"/>
      </w:pBdr>
      <w:tabs>
        <w:tab w:val="center" w:pos="4818"/>
        <w:tab w:val="right" w:pos="9637"/>
      </w:tabs>
    </w:pPr>
    <w:rPr>
      <w:rFonts w:ascii="Trebuchet MS" w:eastAsia="Trebuchet MS" w:hAnsi="Trebuchet MS" w:cs="Trebuchet MS"/>
      <w:sz w:val="20"/>
    </w:rPr>
  </w:style>
  <w:style w:type="paragraph" w:customStyle="1" w:styleId="Footerleft">
    <w:name w:val="Footer left"/>
    <w:basedOn w:val="Standard"/>
    <w:autoRedefine/>
    <w:pPr>
      <w:suppressLineNumbers/>
      <w:tabs>
        <w:tab w:val="center" w:pos="4818"/>
        <w:tab w:val="right" w:pos="9637"/>
      </w:tabs>
    </w:pPr>
    <w:rPr>
      <w:rFonts w:ascii="Trebuchet MS" w:eastAsia="Trebuchet MS" w:hAnsi="Trebuchet MS" w:cs="Trebuchet MS"/>
      <w:sz w:val="20"/>
    </w:rPr>
  </w:style>
  <w:style w:type="paragraph" w:customStyle="1" w:styleId="Footerright">
    <w:name w:val="Footer right"/>
    <w:basedOn w:val="Standard"/>
    <w:pPr>
      <w:suppressLineNumbers/>
      <w:tabs>
        <w:tab w:val="center" w:pos="4818"/>
        <w:tab w:val="right" w:pos="9637"/>
      </w:tabs>
    </w:pPr>
    <w:rPr>
      <w:rFonts w:ascii="Trebuchet MS" w:eastAsia="Trebuchet MS" w:hAnsi="Trebuchet MS" w:cs="Trebuchet MS"/>
      <w:sz w:val="20"/>
    </w:rPr>
  </w:style>
  <w:style w:type="paragraph" w:customStyle="1" w:styleId="Heading10">
    <w:name w:val="Heading 10"/>
    <w:basedOn w:val="Heading"/>
    <w:next w:val="Textbody"/>
    <w:rPr>
      <w:bCs/>
    </w:rPr>
  </w:style>
  <w:style w:type="paragraph" w:customStyle="1" w:styleId="Standard20">
    <w:name w:val="Standard 20"/>
    <w:basedOn w:val="Standard"/>
    <w:rPr>
      <w:sz w:val="40"/>
      <w:szCs w:val="40"/>
    </w:rPr>
  </w:style>
  <w:style w:type="paragraph" w:customStyle="1" w:styleId="Titre10">
    <w:name w:val="Titre1"/>
    <w:basedOn w:val="Standard"/>
    <w:pPr>
      <w:jc w:val="center"/>
    </w:pPr>
    <w:rPr>
      <w:b/>
      <w:sz w:val="40"/>
    </w:rPr>
  </w:style>
  <w:style w:type="paragraph" w:customStyle="1" w:styleId="Contents10">
    <w:name w:val="Contents 10"/>
    <w:basedOn w:val="Index"/>
    <w:pPr>
      <w:tabs>
        <w:tab w:val="right" w:leader="dot" w:pos="8300"/>
      </w:tabs>
      <w:ind w:left="2547"/>
    </w:pPr>
  </w:style>
  <w:style w:type="paragraph" w:customStyle="1" w:styleId="Contents6">
    <w:name w:val="Contents 6"/>
    <w:basedOn w:val="Index"/>
    <w:pPr>
      <w:tabs>
        <w:tab w:val="right" w:leader="dot" w:pos="8300"/>
      </w:tabs>
      <w:ind w:left="1415"/>
    </w:pPr>
  </w:style>
  <w:style w:type="paragraph" w:customStyle="1" w:styleId="Contents7">
    <w:name w:val="Contents 7"/>
    <w:basedOn w:val="Index"/>
    <w:pPr>
      <w:tabs>
        <w:tab w:val="right" w:leader="dot" w:pos="8300"/>
      </w:tabs>
      <w:ind w:left="1698"/>
    </w:pPr>
  </w:style>
  <w:style w:type="paragraph" w:customStyle="1" w:styleId="Contents8">
    <w:name w:val="Contents 8"/>
    <w:basedOn w:val="Index"/>
    <w:pPr>
      <w:tabs>
        <w:tab w:val="right" w:leader="dot" w:pos="8300"/>
      </w:tabs>
      <w:ind w:left="1981"/>
    </w:pPr>
  </w:style>
  <w:style w:type="paragraph" w:customStyle="1" w:styleId="Contents9">
    <w:name w:val="Contents 9"/>
    <w:basedOn w:val="Index"/>
    <w:pPr>
      <w:tabs>
        <w:tab w:val="right" w:leader="dot" w:pos="8300"/>
      </w:tabs>
      <w:ind w:left="2264"/>
    </w:pPr>
  </w:style>
  <w:style w:type="paragraph" w:customStyle="1" w:styleId="Firstlineindent">
    <w:name w:val="First line indent"/>
    <w:basedOn w:val="Textbody"/>
    <w:pPr>
      <w:ind w:firstLine="283"/>
    </w:pPr>
  </w:style>
  <w:style w:type="paragraph" w:customStyle="1" w:styleId="Hangingindent">
    <w:name w:val="Hanging indent"/>
    <w:basedOn w:val="Textbody"/>
    <w:pPr>
      <w:tabs>
        <w:tab w:val="left" w:pos="567"/>
      </w:tabs>
      <w:ind w:left="567" w:hanging="283"/>
    </w:pPr>
  </w:style>
  <w:style w:type="paragraph" w:customStyle="1" w:styleId="Intitule">
    <w:name w:val="Intitule"/>
    <w:basedOn w:val="Standard"/>
    <w:pPr>
      <w:pBdr>
        <w:top w:val="single" w:sz="18" w:space="1" w:color="000000"/>
        <w:left w:val="single" w:sz="18" w:space="4" w:color="000000"/>
        <w:bottom w:val="single" w:sz="18" w:space="1" w:color="000000"/>
        <w:right w:val="single" w:sz="18" w:space="16" w:color="000000"/>
      </w:pBdr>
      <w:tabs>
        <w:tab w:val="left" w:pos="0"/>
      </w:tabs>
      <w:jc w:val="center"/>
    </w:pPr>
    <w:rPr>
      <w:rFonts w:ascii="Arial" w:eastAsia="Arial" w:hAnsi="Arial" w:cs="Arial"/>
      <w:b/>
      <w:color w:val="000000"/>
      <w:sz w:val="36"/>
      <w:shd w:val="clear" w:color="auto" w:fill="FFFFFF"/>
      <w:lang w:val="fr-FR"/>
    </w:rPr>
  </w:style>
  <w:style w:type="paragraph" w:customStyle="1" w:styleId="PA">
    <w:name w:val="PA"/>
    <w:basedOn w:val="Standard"/>
    <w:pPr>
      <w:jc w:val="center"/>
    </w:pPr>
    <w:rPr>
      <w:rFonts w:ascii="Arial" w:eastAsia="Arial" w:hAnsi="Arial" w:cs="Arial"/>
      <w:b/>
      <w:bCs/>
      <w:sz w:val="40"/>
      <w:szCs w:val="40"/>
    </w:rPr>
  </w:style>
  <w:style w:type="paragraph" w:customStyle="1" w:styleId="Direction">
    <w:name w:val="Direction"/>
    <w:basedOn w:val="Standard"/>
    <w:pPr>
      <w:jc w:val="center"/>
    </w:pPr>
    <w:rPr>
      <w:rFonts w:ascii="Arial" w:eastAsia="Arial" w:hAnsi="Arial" w:cs="Arial"/>
      <w:sz w:val="36"/>
      <w:szCs w:val="28"/>
    </w:rPr>
  </w:style>
  <w:style w:type="paragraph" w:customStyle="1" w:styleId="TypeDocument">
    <w:name w:val="TypeDocument"/>
    <w:basedOn w:val="Titre10"/>
    <w:pPr>
      <w:pBdr>
        <w:top w:val="single" w:sz="18" w:space="1" w:color="000000"/>
        <w:left w:val="single" w:sz="18" w:space="4" w:color="000000"/>
        <w:bottom w:val="single" w:sz="18" w:space="1" w:color="000000"/>
        <w:right w:val="single" w:sz="18" w:space="16" w:color="000000"/>
      </w:pBdr>
    </w:pPr>
    <w:rPr>
      <w:rFonts w:ascii="Arial" w:eastAsia="Arial" w:hAnsi="Arial" w:cs="Arial"/>
      <w:sz w:val="44"/>
      <w:szCs w:val="44"/>
      <w:lang w:val="fr-FR"/>
    </w:rPr>
  </w:style>
  <w:style w:type="paragraph" w:customStyle="1" w:styleId="NumeroConsultation">
    <w:name w:val="NumeroConsultation"/>
    <w:basedOn w:val="Standard"/>
    <w:pPr>
      <w:tabs>
        <w:tab w:val="left" w:pos="3600"/>
      </w:tabs>
      <w:ind w:left="3600" w:hanging="3600"/>
      <w:jc w:val="center"/>
    </w:pPr>
    <w:rPr>
      <w:rFonts w:ascii="Arial" w:eastAsia="Arial" w:hAnsi="Arial" w:cs="Arial"/>
      <w:b/>
      <w:color w:val="000000"/>
      <w:sz w:val="24"/>
      <w:szCs w:val="20"/>
    </w:rPr>
  </w:style>
  <w:style w:type="paragraph" w:customStyle="1" w:styleId="Procedure">
    <w:name w:val="Procedure"/>
    <w:basedOn w:val="Standard"/>
    <w:pPr>
      <w:tabs>
        <w:tab w:val="left" w:pos="3600"/>
      </w:tabs>
      <w:ind w:left="3600" w:hanging="3600"/>
      <w:jc w:val="center"/>
    </w:pPr>
    <w:rPr>
      <w:rFonts w:ascii="Arial" w:eastAsia="Arial" w:hAnsi="Arial" w:cs="Arial"/>
      <w:b/>
      <w:color w:val="000000"/>
      <w:sz w:val="24"/>
      <w:szCs w:val="20"/>
    </w:rPr>
  </w:style>
  <w:style w:type="paragraph" w:customStyle="1" w:styleId="DateLimite">
    <w:name w:val="DateLimite"/>
    <w:basedOn w:val="Standard"/>
    <w:pPr>
      <w:tabs>
        <w:tab w:val="left" w:pos="3600"/>
      </w:tabs>
      <w:ind w:left="3600" w:hanging="3600"/>
      <w:jc w:val="center"/>
    </w:pPr>
    <w:rPr>
      <w:rFonts w:ascii="Arial" w:eastAsia="Arial" w:hAnsi="Arial" w:cs="Arial"/>
      <w:b/>
      <w:color w:val="000000"/>
      <w:sz w:val="24"/>
      <w:szCs w:val="20"/>
    </w:rPr>
  </w:style>
  <w:style w:type="paragraph" w:customStyle="1" w:styleId="TypeDocument2">
    <w:name w:val="TypeDocument2"/>
    <w:basedOn w:val="Textbody"/>
    <w:pPr>
      <w:jc w:val="center"/>
    </w:pPr>
    <w:rPr>
      <w:b/>
      <w:sz w:val="44"/>
    </w:rPr>
  </w:style>
  <w:style w:type="paragraph" w:customStyle="1" w:styleId="TypeDocument3">
    <w:name w:val="TypeDocument3"/>
    <w:basedOn w:val="Textbody"/>
    <w:pPr>
      <w:jc w:val="center"/>
    </w:pPr>
    <w:rPr>
      <w:b/>
      <w:sz w:val="44"/>
    </w:rPr>
  </w:style>
  <w:style w:type="paragraph" w:customStyle="1" w:styleId="Intitule2">
    <w:name w:val="Intitule2"/>
    <w:basedOn w:val="Intitule"/>
    <w:rPr>
      <w:shd w:val="clear" w:color="auto" w:fill="auto"/>
    </w:rPr>
  </w:style>
  <w:style w:type="paragraph" w:customStyle="1" w:styleId="Table">
    <w:name w:val="Table"/>
    <w:basedOn w:val="Lgende"/>
    <w:rPr>
      <w:i w:val="0"/>
    </w:rPr>
  </w:style>
  <w:style w:type="paragraph" w:customStyle="1" w:styleId="TableauNormal1">
    <w:name w:val="Tableau Normal1"/>
    <w:pPr>
      <w:widowControl/>
    </w:pPr>
    <w:rPr>
      <w:rFonts w:ascii="Liberation Serif" w:eastAsia="NSimSun" w:hAnsi="Liberation Serif" w:cs="Arial"/>
      <w:lang w:val="fr-FR" w:eastAsia="zh-CN" w:bidi="hi-IN"/>
    </w:rPr>
  </w:style>
  <w:style w:type="paragraph" w:customStyle="1" w:styleId="Standarduser">
    <w:name w:val="Standard (user)"/>
    <w:pPr>
      <w:widowControl/>
    </w:pPr>
    <w:rPr>
      <w:rFonts w:ascii="Liberation Serif" w:eastAsia="NSimSun" w:hAnsi="Liberation Serif" w:cs="Arial"/>
      <w:lang w:val="fr-FR" w:eastAsia="zh-CN" w:bidi="hi-IN"/>
    </w:rPr>
  </w:style>
  <w:style w:type="character" w:customStyle="1" w:styleId="Internetlink">
    <w:name w:val="Internet link"/>
    <w:rPr>
      <w:color w:val="000080"/>
      <w:u w:val="single"/>
    </w:rPr>
  </w:style>
  <w:style w:type="character" w:customStyle="1" w:styleId="RTFNum21">
    <w:name w:val="RTF_Num 2 1"/>
    <w:rPr>
      <w:rFonts w:ascii="Wingdings" w:eastAsia="Wingdings" w:hAnsi="Wingdings" w:cs="Wingdings"/>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ascii="Wingdings" w:eastAsia="Wingdings" w:hAnsi="Wingdings" w:cs="Wingdings"/>
      <w:sz w:val="20"/>
      <w:szCs w:val="20"/>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Titre1Car">
    <w:name w:val="Titre 1 Car"/>
    <w:basedOn w:val="Policepardfaut"/>
    <w:rPr>
      <w:rFonts w:ascii="Arial" w:eastAsia="Arial" w:hAnsi="Arial" w:cs="Arial"/>
      <w:color w:val="808080"/>
      <w:sz w:val="24"/>
      <w:szCs w:val="24"/>
    </w:rPr>
  </w:style>
  <w:style w:type="character" w:customStyle="1" w:styleId="Titre2Car">
    <w:name w:val="Titre 2 Car"/>
    <w:basedOn w:val="Policepardfaut"/>
    <w:rPr>
      <w:rFonts w:ascii="Arial" w:eastAsia="Arial" w:hAnsi="Arial" w:cs="Arial"/>
      <w:b/>
      <w:bCs/>
      <w:i/>
      <w:iCs/>
      <w:sz w:val="28"/>
      <w:szCs w:val="28"/>
    </w:rPr>
  </w:style>
  <w:style w:type="character" w:customStyle="1" w:styleId="Titre3Car">
    <w:name w:val="Titre 3 Car"/>
    <w:basedOn w:val="Policepardfaut"/>
    <w:rPr>
      <w:rFonts w:ascii="Arial" w:eastAsia="Arial" w:hAnsi="Arial" w:cs="Arial"/>
      <w:b/>
      <w:bCs/>
      <w:sz w:val="26"/>
      <w:szCs w:val="26"/>
    </w:rPr>
  </w:style>
  <w:style w:type="character" w:customStyle="1" w:styleId="CorpsdetexteCar">
    <w:name w:val="Corps de texte Car"/>
    <w:basedOn w:val="Policepardfaut"/>
    <w:rPr>
      <w:rFonts w:ascii="Arial" w:eastAsia="Arial" w:hAnsi="Arial" w:cs="Arial"/>
      <w:b/>
      <w:bCs/>
      <w:sz w:val="24"/>
      <w:szCs w:val="24"/>
    </w:rPr>
  </w:style>
  <w:style w:type="character" w:customStyle="1" w:styleId="En-tteCar">
    <w:name w:val="En-tête Car"/>
    <w:basedOn w:val="Policepardfaut"/>
    <w:rPr>
      <w:rFonts w:ascii="Arial" w:eastAsia="Arial" w:hAnsi="Arial" w:cs="Arial"/>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styleId="Numrodepage">
    <w:name w:val="page number"/>
    <w:basedOn w:val="Policepardfaut"/>
  </w:style>
  <w:style w:type="numbering" w:customStyle="1" w:styleId="List1">
    <w:name w:val="List 1"/>
    <w:basedOn w:val="Aucuneliste"/>
    <w:pPr>
      <w:numPr>
        <w:numId w:val="2"/>
      </w:numPr>
    </w:pPr>
  </w:style>
  <w:style w:type="numbering" w:customStyle="1" w:styleId="List2">
    <w:name w:val="List 2"/>
    <w:basedOn w:val="Aucuneliste"/>
    <w:pPr>
      <w:numPr>
        <w:numId w:val="3"/>
      </w:numPr>
    </w:pPr>
  </w:style>
  <w:style w:type="numbering" w:customStyle="1" w:styleId="List3">
    <w:name w:val="List 3"/>
    <w:basedOn w:val="Aucuneliste"/>
    <w:pPr>
      <w:numPr>
        <w:numId w:val="4"/>
      </w:numPr>
    </w:pPr>
  </w:style>
  <w:style w:type="numbering" w:customStyle="1" w:styleId="List4">
    <w:name w:val="List 4"/>
    <w:basedOn w:val="Aucuneliste"/>
    <w:pPr>
      <w:numPr>
        <w:numId w:val="5"/>
      </w:numPr>
    </w:pPr>
  </w:style>
  <w:style w:type="numbering" w:customStyle="1" w:styleId="List5">
    <w:name w:val="List 5"/>
    <w:basedOn w:val="Aucuneliste"/>
    <w:pPr>
      <w:numPr>
        <w:numId w:val="6"/>
      </w:numPr>
    </w:pPr>
  </w:style>
  <w:style w:type="numbering" w:customStyle="1" w:styleId="Numbering1">
    <w:name w:val="Numbering 1"/>
    <w:basedOn w:val="Aucuneliste"/>
    <w:pPr>
      <w:numPr>
        <w:numId w:val="7"/>
      </w:numPr>
    </w:pPr>
  </w:style>
  <w:style w:type="numbering" w:customStyle="1" w:styleId="Numbering2">
    <w:name w:val="Numbering 2"/>
    <w:basedOn w:val="Aucuneliste"/>
    <w:pPr>
      <w:numPr>
        <w:numId w:val="8"/>
      </w:numPr>
    </w:pPr>
  </w:style>
  <w:style w:type="numbering" w:customStyle="1" w:styleId="Numbering3">
    <w:name w:val="Numbering 3"/>
    <w:basedOn w:val="Aucuneliste"/>
    <w:pPr>
      <w:numPr>
        <w:numId w:val="9"/>
      </w:numPr>
    </w:pPr>
  </w:style>
  <w:style w:type="numbering" w:customStyle="1" w:styleId="Numbering4">
    <w:name w:val="Numbering 4"/>
    <w:basedOn w:val="Aucuneliste"/>
    <w:pPr>
      <w:numPr>
        <w:numId w:val="10"/>
      </w:numPr>
    </w:pPr>
  </w:style>
  <w:style w:type="numbering" w:customStyle="1" w:styleId="Numbering5">
    <w:name w:val="Numbering 5"/>
    <w:basedOn w:val="Aucuneliste"/>
    <w:pPr>
      <w:numPr>
        <w:numId w:val="11"/>
      </w:numPr>
    </w:pPr>
  </w:style>
  <w:style w:type="numbering" w:customStyle="1" w:styleId="RTFNum2">
    <w:name w:val="RTF_Num 2"/>
    <w:basedOn w:val="Aucuneliste"/>
    <w:pPr>
      <w:numPr>
        <w:numId w:val="12"/>
      </w:numPr>
    </w:pPr>
  </w:style>
  <w:style w:type="numbering" w:customStyle="1" w:styleId="RTFNum3">
    <w:name w:val="RTF_Num 3"/>
    <w:basedOn w:val="Aucuneliste"/>
    <w:pPr>
      <w:numPr>
        <w:numId w:val="13"/>
      </w:numPr>
    </w:pPr>
  </w:style>
  <w:style w:type="numbering" w:customStyle="1" w:styleId="RTFNum4">
    <w:name w:val="RTF_Num 4"/>
    <w:basedOn w:val="Aucunelis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2204</TotalTime>
  <Pages>15</Pages>
  <Words>4192</Words>
  <Characters>23060</Characters>
  <Application>Microsoft Office Word</Application>
  <DocSecurity>0</DocSecurity>
  <Lines>192</Lines>
  <Paragraphs>54</Paragraphs>
  <ScaleCrop>false</ScaleCrop>
  <Company>VDM-BMPM</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Michael</dc:creator>
  <cp:lastModifiedBy>PEREZ Michael</cp:lastModifiedBy>
  <cp:revision>2</cp:revision>
  <cp:lastPrinted>2023-07-28T11:05:00Z</cp:lastPrinted>
  <dcterms:created xsi:type="dcterms:W3CDTF">2020-09-15T12:34:00Z</dcterms:created>
  <dcterms:modified xsi:type="dcterms:W3CDTF">2023-08-09T07:24:00Z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