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drawing>
          <wp:anchor behindDoc="0" distT="0" distB="0" distL="0" distR="0" simplePos="0" locked="0" layoutInCell="0" allowOverlap="1" relativeHeight="3">
            <wp:simplePos x="0" y="0"/>
            <wp:positionH relativeFrom="column">
              <wp:posOffset>3289300</wp:posOffset>
            </wp:positionH>
            <wp:positionV relativeFrom="paragraph">
              <wp:posOffset>877570</wp:posOffset>
            </wp:positionV>
            <wp:extent cx="1609725" cy="957580"/>
            <wp:effectExtent l="0" t="0" r="0" b="0"/>
            <wp:wrapTopAndBottom/>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609725" cy="957580"/>
                    </a:xfrm>
                    <a:prstGeom prst="rect">
                      <a:avLst/>
                    </a:prstGeom>
                  </pic:spPr>
                </pic:pic>
              </a:graphicData>
            </a:graphic>
          </wp:anchor>
        </w:drawing>
      </w:r>
    </w:p>
    <w:p>
      <w:pPr>
        <w:pStyle w:val="Standard"/>
        <w:jc w:val="center"/>
        <w:rPr>
          <w:rFonts w:cs="Arial"/>
          <w:b/>
          <w:b/>
          <w:bCs/>
          <w:color w:val="007FFE"/>
          <w:sz w:val="48"/>
          <w:szCs w:val="48"/>
          <w:u w:val="none"/>
        </w:rPr>
      </w:pPr>
      <w:r>
        <w:rPr>
          <w:rFonts w:cs="Arial"/>
          <w:b/>
          <w:bCs/>
          <w:color w:val="007FFE"/>
          <w:sz w:val="48"/>
          <w:szCs w:val="48"/>
          <w:u w:val="none"/>
        </w:rPr>
        <w:t>GROUPEMENT DE COMMANDE</w:t>
      </w:r>
    </w:p>
    <w:p>
      <w:pPr>
        <w:pStyle w:val="Standard"/>
        <w:widowControl/>
        <w:suppressAutoHyphens w:val="true"/>
        <w:overflowPunct w:val="false"/>
        <w:bidi w:val="0"/>
        <w:spacing w:before="120" w:after="0"/>
        <w:ind w:right="0" w:hanging="0"/>
        <w:jc w:val="left"/>
        <w:rPr>
          <w:rFonts w:cs="Arial"/>
          <w:color w:val="4472C4"/>
          <w:sz w:val="36"/>
          <w:szCs w:val="36"/>
        </w:rPr>
      </w:pPr>
      <w:r>
        <w:rPr>
          <w:rFonts w:cs="Arial"/>
          <w:color w:val="4472C4"/>
          <w:sz w:val="36"/>
          <w:szCs w:val="36"/>
        </w:rPr>
      </w:r>
    </w:p>
    <w:p>
      <w:pPr>
        <w:pStyle w:val="Standard"/>
        <w:widowControl/>
        <w:suppressAutoHyphens w:val="true"/>
        <w:overflowPunct w:val="false"/>
        <w:bidi w:val="0"/>
        <w:spacing w:before="120" w:after="0"/>
        <w:ind w:right="0" w:hanging="0"/>
        <w:jc w:val="left"/>
        <w:rPr>
          <w:rFonts w:cs="Arial"/>
          <w:color w:val="4472C4"/>
          <w:sz w:val="36"/>
          <w:szCs w:val="36"/>
        </w:rPr>
      </w:pPr>
      <w:r>
        <w:rPr>
          <w:rFonts w:cs="Arial"/>
          <w:color w:val="4472C4"/>
          <w:sz w:val="36"/>
          <w:szCs w:val="36"/>
        </w:rPr>
        <w:t xml:space="preserve">Mairie de Marseille </w:t>
        <w:tab/>
        <w:tab/>
        <w:tab/>
        <w:tab/>
        <w:t xml:space="preserve">Métropole </w:t>
      </w:r>
    </w:p>
    <w:p>
      <w:pPr>
        <w:pStyle w:val="Standard"/>
        <w:widowControl/>
        <w:suppressAutoHyphens w:val="true"/>
        <w:overflowPunct w:val="false"/>
        <w:bidi w:val="0"/>
        <w:spacing w:before="120" w:after="0"/>
        <w:ind w:left="-567" w:right="0" w:hanging="0"/>
        <w:jc w:val="left"/>
        <w:rPr>
          <w:rFonts w:cs="Arial"/>
          <w:color w:val="4472C4"/>
          <w:sz w:val="36"/>
          <w:szCs w:val="36"/>
        </w:rPr>
      </w:pPr>
      <w:r>
        <w:rPr>
          <w:rFonts w:cs="Arial"/>
          <w:color w:val="4472C4"/>
          <w:sz w:val="36"/>
          <w:szCs w:val="36"/>
        </w:rPr>
        <w:tab/>
        <w:tab/>
        <w:tab/>
        <w:tab/>
        <w:tab/>
        <w:tab/>
        <w:tab/>
        <w:tab/>
        <w:t>Aix Marseille Provence</w:t>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Titre11"/>
        <w:shd w:val="clear" w:fill="FFFFFF"/>
        <w:jc w:val="left"/>
        <w:rPr>
          <w:color w:val="5B9BD5"/>
          <w:sz w:val="44"/>
          <w:szCs w:val="44"/>
          <w:shd w:fill="FFFFFF" w:val="clear"/>
        </w:rPr>
      </w:pPr>
      <w:r>
        <w:rPr>
          <w:color w:val="5B9BD5"/>
          <w:sz w:val="44"/>
          <w:szCs w:val="44"/>
          <w:shd w:fill="FFFFFF" w:val="clear"/>
        </w:rPr>
      </w:r>
    </w:p>
    <w:p>
      <w:pPr>
        <w:pStyle w:val="Titre11"/>
        <w:shd w:val="clear" w:fill="FFFFFF"/>
        <w:jc w:val="center"/>
        <w:rPr>
          <w:rFonts w:cs="Arial"/>
          <w:color w:val="5B9BD5"/>
          <w:sz w:val="44"/>
          <w:szCs w:val="44"/>
          <w:shd w:fill="FFFFFF" w:val="clear"/>
        </w:rPr>
      </w:pPr>
      <w:r>
        <w:rPr>
          <w:rFonts w:cs="Arial"/>
          <w:color w:val="5B9BD5"/>
          <w:sz w:val="44"/>
          <w:szCs w:val="44"/>
          <w:shd w:fill="FFFFFF" w:val="clear"/>
        </w:rPr>
        <w:t>Règlement de consultation</w:t>
      </w:r>
    </w:p>
    <w:p>
      <w:pPr>
        <w:pStyle w:val="Titre11"/>
        <w:shd w:val="clear" w:fill="FFFFFF"/>
        <w:jc w:val="left"/>
        <w:rPr>
          <w:color w:val="5B9BD5"/>
          <w:sz w:val="44"/>
          <w:szCs w:val="44"/>
          <w:shd w:fill="FFFFFF" w:val="clear"/>
        </w:rPr>
      </w:pPr>
      <w:r>
        <w:rPr>
          <w:color w:val="5B9BD5"/>
          <w:sz w:val="44"/>
          <w:szCs w:val="44"/>
          <w:shd w:fill="FFFFFF" w:val="clear"/>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color w:val="5B9BD5"/>
          <w:sz w:val="36"/>
          <w:szCs w:val="36"/>
          <w:shd w:fill="FFFFFF" w:val="clear"/>
        </w:rPr>
      </w:pPr>
      <w:r>
        <w:rPr>
          <w:rFonts w:cs="Arial"/>
          <w:color w:val="5B9BD5"/>
          <w:sz w:val="36"/>
          <w:szCs w:val="36"/>
          <w:shd w:fill="FFFFFF" w:val="clear"/>
        </w:rPr>
        <w:t>EXPLOITATION, MAINTIEN, RENOVATION ET EXTENSION DE L'ECLAIRAGE PUBLIC SUR LE TERRITOIRE DE LA COMMUNE DE MARSEILLE</w:t>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Standard"/>
        <w:rPr>
          <w:rFonts w:cs="Arial"/>
          <w:szCs w:val="20"/>
        </w:rPr>
      </w:pPr>
      <w:r>
        <w:rPr>
          <w:rFonts w:cs="Arial"/>
          <w:szCs w:val="20"/>
        </w:rPr>
      </w:r>
    </w:p>
    <w:p>
      <w:pPr>
        <w:pStyle w:val="Titre11"/>
        <w:widowControl/>
        <w:shd w:val="clear" w:fill="FFFFFF"/>
        <w:tabs>
          <w:tab w:val="clear" w:pos="706"/>
          <w:tab w:val="left" w:pos="3600" w:leader="none"/>
        </w:tabs>
        <w:suppressAutoHyphens w:val="true"/>
        <w:bidi w:val="0"/>
        <w:spacing w:before="0" w:after="0"/>
        <w:ind w:left="-57" w:right="0" w:hanging="0"/>
        <w:jc w:val="left"/>
        <w:rPr>
          <w:rFonts w:cs="Arial"/>
          <w:szCs w:val="20"/>
        </w:rPr>
      </w:pPr>
      <w:r>
        <w:rPr>
          <w:rFonts w:eastAsia="Andale Sans UI" w:cs="Arial"/>
          <w:b/>
          <w:bCs/>
          <w:color w:val="000000"/>
          <w:kern w:val="0"/>
          <w:sz w:val="24"/>
          <w:szCs w:val="24"/>
          <w:u w:val="single"/>
          <w:shd w:fill="FFFFFF" w:val="clear"/>
          <w:lang w:val="fr-FR" w:eastAsia="ja-JP" w:bidi="fa-IR"/>
        </w:rPr>
        <w:t>Coordonnateur du groupement de commande</w:t>
      </w:r>
      <w:r>
        <w:rPr>
          <w:rFonts w:eastAsia="Andale Sans UI" w:cs="Arial"/>
          <w:b/>
          <w:bCs/>
          <w:color w:val="000000"/>
          <w:kern w:val="0"/>
          <w:sz w:val="24"/>
          <w:szCs w:val="24"/>
          <w:u w:val="none"/>
          <w:shd w:fill="FFFFFF" w:val="clear"/>
          <w:lang w:val="fr-FR" w:eastAsia="ja-JP" w:bidi="fa-IR"/>
        </w:rPr>
        <w:t xml:space="preserve"> : </w:t>
      </w:r>
      <w:r>
        <w:rPr>
          <w:rFonts w:eastAsia="Andale Sans UI" w:cs="Arial"/>
          <w:b w:val="false"/>
          <w:bCs w:val="false"/>
          <w:color w:val="4472C4"/>
          <w:kern w:val="0"/>
          <w:sz w:val="24"/>
          <w:szCs w:val="24"/>
          <w:u w:val="none"/>
          <w:shd w:fill="FFFFFF" w:val="clear"/>
          <w:lang w:val="fr-FR" w:eastAsia="ja-JP" w:bidi="fa-IR"/>
        </w:rPr>
        <w:t>Mairie de Marseille</w:t>
      </w:r>
    </w:p>
    <w:p>
      <w:pPr>
        <w:pStyle w:val="Standard"/>
        <w:rPr>
          <w:rFonts w:cs="Arial"/>
          <w:szCs w:val="20"/>
        </w:rPr>
      </w:pPr>
      <w:r>
        <w:rPr>
          <w:rFonts w:cs="Arial"/>
          <w:szCs w:val="20"/>
        </w:rPr>
      </w:r>
    </w:p>
    <w:p>
      <w:pPr>
        <w:pStyle w:val="Standard"/>
        <w:tabs>
          <w:tab w:val="clear" w:pos="706"/>
          <w:tab w:val="left" w:pos="3600" w:leader="none"/>
        </w:tabs>
        <w:ind w:left="3600" w:right="0" w:hanging="3600"/>
        <w:rPr/>
      </w:pPr>
      <w:r>
        <w:rPr>
          <w:rFonts w:cs="Arial"/>
          <w:b/>
          <w:bCs/>
          <w:color w:val="000000"/>
          <w:sz w:val="24"/>
          <w:szCs w:val="24"/>
          <w:u w:val="single"/>
        </w:rPr>
        <w:t>Numéro de la consultation :</w:t>
      </w:r>
      <w:r>
        <w:rPr>
          <w:rFonts w:cs="Arial"/>
          <w:color w:val="4472C4"/>
          <w:sz w:val="24"/>
          <w:szCs w:val="24"/>
        </w:rPr>
        <w:t xml:space="preserve"> </w:t>
      </w:r>
      <w:bookmarkStart w:id="0" w:name="__DdeLink__57_1273219247"/>
      <w:bookmarkEnd w:id="0"/>
      <w:r>
        <w:rPr>
          <w:rFonts w:cs="Arial"/>
          <w:color w:val="4472C4"/>
          <w:sz w:val="24"/>
          <w:szCs w:val="24"/>
        </w:rPr>
        <w:t>23_2499</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right="0" w:hanging="3600"/>
        <w:rPr/>
      </w:pPr>
      <w:r>
        <w:rPr>
          <w:rFonts w:cs="Arial"/>
          <w:b/>
          <w:bCs/>
          <w:color w:val="000000"/>
          <w:sz w:val="24"/>
          <w:szCs w:val="24"/>
          <w:u w:val="single"/>
        </w:rPr>
        <w:t>Procédure de passation :</w:t>
      </w:r>
      <w:r>
        <w:rPr>
          <w:rFonts w:cs="Arial"/>
          <w:color w:val="4472C4"/>
          <w:sz w:val="24"/>
          <w:szCs w:val="24"/>
        </w:rPr>
        <w:t xml:space="preserve"> Appel d'offres ouvert</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right="0" w:hanging="3600"/>
        <w:rPr>
          <w:color w:val="000000"/>
          <w:szCs w:val="20"/>
        </w:rPr>
      </w:pPr>
      <w:r>
        <w:rPr>
          <w:color w:val="000000"/>
          <w:szCs w:val="20"/>
        </w:rPr>
      </w:r>
    </w:p>
    <w:p>
      <w:pPr>
        <w:pStyle w:val="ContentsHeading"/>
        <w:rPr/>
      </w:pPr>
      <w:r>
        <w:rPr/>
        <w:t>Sommaire</w:t>
      </w:r>
    </w:p>
    <w:sdt>
      <w:sdtPr>
        <w:docPartObj>
          <w:docPartGallery w:val="Table of Contents"/>
          <w:docPartUnique w:val="true"/>
        </w:docPartObj>
      </w:sdtPr>
      <w:sdtContent>
        <w:p>
          <w:pPr>
            <w:pStyle w:val="Tabledesmatiresniveau1"/>
            <w:tabs>
              <w:tab w:val="clear" w:pos="9637"/>
              <w:tab w:val="right" w:pos="8634" w:leader="dot"/>
            </w:tabs>
            <w:rPr/>
          </w:pPr>
          <w:r>
            <w:fldChar w:fldCharType="begin"/>
          </w:r>
          <w:r>
            <w:rPr>
              <w:rStyle w:val="Sautdindex"/>
            </w:rPr>
            <w:instrText> TOC \f \o "1-9" \h</w:instrText>
          </w:r>
          <w:r>
            <w:rPr>
              <w:rStyle w:val="Sautdindex"/>
            </w:rPr>
            <w:fldChar w:fldCharType="separate"/>
          </w:r>
          <w:hyperlink w:anchor="__RefHeading___Toc2008_402348459">
            <w:r>
              <w:rPr>
                <w:rStyle w:val="Sautdindex"/>
              </w:rPr>
              <w:t>Article 1 -  GENERALITES</w:t>
              <w:tab/>
              <w:t>3</w:t>
            </w:r>
          </w:hyperlink>
        </w:p>
        <w:p>
          <w:pPr>
            <w:pStyle w:val="Tabledesmatiresniveau2"/>
            <w:tabs>
              <w:tab w:val="clear" w:pos="706"/>
              <w:tab w:val="right" w:pos="8634" w:leader="dot"/>
            </w:tabs>
            <w:rPr/>
          </w:pPr>
          <w:hyperlink w:anchor="__RefHeading___Toc2010_402348459">
            <w:r>
              <w:rPr>
                <w:rStyle w:val="Sautdindex"/>
              </w:rPr>
              <w:t>1.1  Objet et description de la consultation</w:t>
              <w:tab/>
              <w:t>3</w:t>
            </w:r>
          </w:hyperlink>
        </w:p>
        <w:p>
          <w:pPr>
            <w:pStyle w:val="Tabledesmatiresniveau2"/>
            <w:tabs>
              <w:tab w:val="clear" w:pos="706"/>
              <w:tab w:val="right" w:pos="8634" w:leader="dot"/>
            </w:tabs>
            <w:rPr/>
          </w:pPr>
          <w:hyperlink w:anchor="__RefHeading___Toc2012_402348459">
            <w:r>
              <w:rPr>
                <w:rStyle w:val="Sautdindex"/>
              </w:rPr>
              <w:t>1.2  Nature</w:t>
              <w:tab/>
              <w:t>4</w:t>
            </w:r>
          </w:hyperlink>
        </w:p>
        <w:p>
          <w:pPr>
            <w:pStyle w:val="Tabledesmatiresniveau2"/>
            <w:tabs>
              <w:tab w:val="clear" w:pos="706"/>
              <w:tab w:val="right" w:pos="8634" w:leader="dot"/>
            </w:tabs>
            <w:rPr/>
          </w:pPr>
          <w:hyperlink w:anchor="__RefHeading___Toc2014_402348459">
            <w:r>
              <w:rPr>
                <w:rStyle w:val="Sautdindex"/>
              </w:rPr>
              <w:t>1.3  Pouvoir adjudicateur</w:t>
              <w:tab/>
              <w:t>4</w:t>
            </w:r>
          </w:hyperlink>
        </w:p>
        <w:p>
          <w:pPr>
            <w:pStyle w:val="Tabledesmatiresniveau2"/>
            <w:tabs>
              <w:tab w:val="clear" w:pos="706"/>
              <w:tab w:val="right" w:pos="8634" w:leader="dot"/>
            </w:tabs>
            <w:rPr/>
          </w:pPr>
          <w:hyperlink w:anchor="__RefHeading___Toc2016_402348459">
            <w:r>
              <w:rPr>
                <w:rStyle w:val="Sautdindex"/>
              </w:rPr>
              <w:t>1.4  Procédure</w:t>
              <w:tab/>
              <w:t>4</w:t>
            </w:r>
          </w:hyperlink>
        </w:p>
        <w:p>
          <w:pPr>
            <w:pStyle w:val="Tabledesmatiresniveau1"/>
            <w:tabs>
              <w:tab w:val="clear" w:pos="9637"/>
              <w:tab w:val="right" w:pos="8634" w:leader="dot"/>
            </w:tabs>
            <w:rPr/>
          </w:pPr>
          <w:hyperlink w:anchor="__RefHeading___Toc2018_402348459">
            <w:r>
              <w:rPr>
                <w:rStyle w:val="Sautdindex"/>
              </w:rPr>
              <w:t>Article 2 -  CARACTERISTIQUES DE LA CONSULTATION</w:t>
              <w:tab/>
              <w:t>4</w:t>
            </w:r>
          </w:hyperlink>
        </w:p>
        <w:p>
          <w:pPr>
            <w:pStyle w:val="Tabledesmatiresniveau2"/>
            <w:tabs>
              <w:tab w:val="clear" w:pos="706"/>
              <w:tab w:val="right" w:pos="8634" w:leader="dot"/>
            </w:tabs>
            <w:rPr/>
          </w:pPr>
          <w:hyperlink w:anchor="__RefHeading___Toc2020_402348459">
            <w:r>
              <w:rPr>
                <w:rStyle w:val="Sautdindex"/>
              </w:rPr>
              <w:t>2.1  Décomposition en lots, tranches et postes</w:t>
              <w:tab/>
              <w:t>4</w:t>
            </w:r>
          </w:hyperlink>
        </w:p>
        <w:p>
          <w:pPr>
            <w:pStyle w:val="Tabledesmatiresniveau3"/>
            <w:tabs>
              <w:tab w:val="clear" w:pos="9241"/>
              <w:tab w:val="right" w:pos="8634" w:leader="dot"/>
            </w:tabs>
            <w:rPr/>
          </w:pPr>
          <w:hyperlink w:anchor="__RefHeading___Toc2022_402348459">
            <w:r>
              <w:rPr>
                <w:rStyle w:val="Sautdindex"/>
              </w:rPr>
              <w:t>2.1.1  Décomposition en lots</w:t>
              <w:tab/>
              <w:t>4</w:t>
            </w:r>
          </w:hyperlink>
        </w:p>
        <w:p>
          <w:pPr>
            <w:pStyle w:val="Tabledesmatiresniveau3"/>
            <w:tabs>
              <w:tab w:val="clear" w:pos="9241"/>
              <w:tab w:val="right" w:pos="8634" w:leader="dot"/>
            </w:tabs>
            <w:rPr/>
          </w:pPr>
          <w:hyperlink w:anchor="__RefHeading___Toc2024_402348459">
            <w:r>
              <w:rPr>
                <w:rStyle w:val="Sautdindex"/>
              </w:rPr>
              <w:t>2.1.2  Décomposition en tranches</w:t>
              <w:tab/>
              <w:t>4</w:t>
            </w:r>
          </w:hyperlink>
        </w:p>
        <w:p>
          <w:pPr>
            <w:pStyle w:val="Tabledesmatiresniveau3"/>
            <w:tabs>
              <w:tab w:val="clear" w:pos="9241"/>
              <w:tab w:val="right" w:pos="8634" w:leader="dot"/>
            </w:tabs>
            <w:rPr/>
          </w:pPr>
          <w:hyperlink w:anchor="__RefHeading___Toc2026_402348459">
            <w:r>
              <w:rPr>
                <w:rStyle w:val="Sautdindex"/>
              </w:rPr>
              <w:t>2.1.3  Décomposition en postes</w:t>
              <w:tab/>
              <w:t>4</w:t>
            </w:r>
          </w:hyperlink>
        </w:p>
        <w:p>
          <w:pPr>
            <w:pStyle w:val="Tabledesmatiresniveau2"/>
            <w:tabs>
              <w:tab w:val="clear" w:pos="706"/>
              <w:tab w:val="right" w:pos="8634" w:leader="dot"/>
            </w:tabs>
            <w:rPr/>
          </w:pPr>
          <w:hyperlink w:anchor="__RefHeading___Toc2028_402348459">
            <w:r>
              <w:rPr>
                <w:rStyle w:val="Sautdindex"/>
              </w:rPr>
              <w:t>2.2  Accord-cadre à bons de commande</w:t>
              <w:tab/>
              <w:t>5</w:t>
            </w:r>
          </w:hyperlink>
        </w:p>
        <w:p>
          <w:pPr>
            <w:pStyle w:val="Tabledesmatiresniveau2"/>
            <w:tabs>
              <w:tab w:val="clear" w:pos="706"/>
              <w:tab w:val="right" w:pos="8634" w:leader="dot"/>
            </w:tabs>
            <w:rPr/>
          </w:pPr>
          <w:hyperlink w:anchor="__RefHeading___Toc2030_402348459">
            <w:r>
              <w:rPr>
                <w:rStyle w:val="Sautdindex"/>
              </w:rPr>
              <w:t>2.3  Durée</w:t>
              <w:tab/>
              <w:t>5</w:t>
            </w:r>
          </w:hyperlink>
        </w:p>
        <w:p>
          <w:pPr>
            <w:pStyle w:val="Tabledesmatiresniveau2"/>
            <w:tabs>
              <w:tab w:val="clear" w:pos="706"/>
              <w:tab w:val="right" w:pos="8634" w:leader="dot"/>
            </w:tabs>
            <w:rPr/>
          </w:pPr>
          <w:hyperlink w:anchor="__RefHeading___Toc2032_402348459">
            <w:r>
              <w:rPr>
                <w:rStyle w:val="Sautdindex"/>
              </w:rPr>
              <w:t>2.4  Prestations supplémentaires éventuelles (PSE)</w:t>
              <w:tab/>
              <w:t>5</w:t>
            </w:r>
          </w:hyperlink>
        </w:p>
        <w:p>
          <w:pPr>
            <w:pStyle w:val="Tabledesmatiresniveau2"/>
            <w:tabs>
              <w:tab w:val="clear" w:pos="706"/>
              <w:tab w:val="right" w:pos="8634" w:leader="dot"/>
            </w:tabs>
            <w:rPr/>
          </w:pPr>
          <w:hyperlink w:anchor="__RefHeading___Toc2032_4023484591">
            <w:r>
              <w:rPr>
                <w:rStyle w:val="Sautdindex"/>
              </w:rPr>
              <w:t>2.5  Prestations similaires</w:t>
              <w:tab/>
              <w:t>5</w:t>
            </w:r>
          </w:hyperlink>
        </w:p>
        <w:p>
          <w:pPr>
            <w:pStyle w:val="Tabledesmatiresniveau2"/>
            <w:tabs>
              <w:tab w:val="clear" w:pos="706"/>
              <w:tab w:val="right" w:pos="8634" w:leader="dot"/>
            </w:tabs>
            <w:rPr/>
          </w:pPr>
          <w:hyperlink w:anchor="__RefHeading___Toc2034_402348459">
            <w:r>
              <w:rPr>
                <w:rStyle w:val="Sautdindex"/>
              </w:rPr>
              <w:t>2.6  Clause obligatoire d'insertion par l'activité économique</w:t>
              <w:tab/>
              <w:t>6</w:t>
            </w:r>
          </w:hyperlink>
        </w:p>
        <w:p>
          <w:pPr>
            <w:pStyle w:val="Tabledesmatiresniveau2"/>
            <w:tabs>
              <w:tab w:val="clear" w:pos="706"/>
              <w:tab w:val="right" w:pos="8634" w:leader="dot"/>
            </w:tabs>
            <w:rPr/>
          </w:pPr>
          <w:hyperlink w:anchor="__RefHeading___Toc2036_402348459">
            <w:r>
              <w:rPr>
                <w:rStyle w:val="Sautdindex"/>
              </w:rPr>
              <w:t>2.7  Groupements d'opérateurs économiques</w:t>
              <w:tab/>
              <w:t>6</w:t>
            </w:r>
          </w:hyperlink>
        </w:p>
        <w:p>
          <w:pPr>
            <w:pStyle w:val="Tabledesmatiresniveau2"/>
            <w:tabs>
              <w:tab w:val="clear" w:pos="706"/>
              <w:tab w:val="right" w:pos="8634" w:leader="dot"/>
            </w:tabs>
            <w:rPr/>
          </w:pPr>
          <w:hyperlink w:anchor="__RefHeading___Toc2038_402348459">
            <w:r>
              <w:rPr>
                <w:rStyle w:val="Sautdindex"/>
              </w:rPr>
              <w:t>2.8  Conditions relatives au marché</w:t>
              <w:tab/>
              <w:t>6</w:t>
            </w:r>
          </w:hyperlink>
        </w:p>
        <w:p>
          <w:pPr>
            <w:pStyle w:val="Tabledesmatiresniveau3"/>
            <w:tabs>
              <w:tab w:val="clear" w:pos="9241"/>
              <w:tab w:val="right" w:pos="8634" w:leader="dot"/>
            </w:tabs>
            <w:rPr/>
          </w:pPr>
          <w:hyperlink w:anchor="__RefHeading___Toc2040_402348459">
            <w:r>
              <w:rPr>
                <w:rStyle w:val="Sautdindex"/>
              </w:rPr>
              <w:t>2.8.1  Cautionnement et garanties exigées</w:t>
              <w:tab/>
              <w:t>6</w:t>
            </w:r>
          </w:hyperlink>
        </w:p>
        <w:p>
          <w:pPr>
            <w:pStyle w:val="Tabledesmatiresniveau3"/>
            <w:tabs>
              <w:tab w:val="clear" w:pos="9241"/>
              <w:tab w:val="right" w:pos="8634" w:leader="dot"/>
            </w:tabs>
            <w:rPr/>
          </w:pPr>
          <w:hyperlink w:anchor="__RefHeading___Toc2042_402348459">
            <w:r>
              <w:rPr>
                <w:rStyle w:val="Sautdindex"/>
              </w:rPr>
              <w:t>2.8.2  Modalités essentielles de financement et de paiement</w:t>
              <w:tab/>
              <w:t>6</w:t>
            </w:r>
          </w:hyperlink>
        </w:p>
        <w:p>
          <w:pPr>
            <w:pStyle w:val="Tabledesmatiresniveau1"/>
            <w:tabs>
              <w:tab w:val="clear" w:pos="9637"/>
              <w:tab w:val="right" w:pos="8634" w:leader="dot"/>
            </w:tabs>
            <w:rPr/>
          </w:pPr>
          <w:hyperlink w:anchor="__RefHeading___Toc2044_402348459">
            <w:r>
              <w:rPr>
                <w:rStyle w:val="Sautdindex"/>
              </w:rPr>
              <w:t>Article 3 -  DOSSIER DE CONSULTATION DES ENTREPRISES (DCE)</w:t>
              <w:tab/>
              <w:t>6</w:t>
            </w:r>
          </w:hyperlink>
        </w:p>
        <w:p>
          <w:pPr>
            <w:pStyle w:val="Tabledesmatiresniveau1"/>
            <w:tabs>
              <w:tab w:val="clear" w:pos="9637"/>
              <w:tab w:val="right" w:pos="8634" w:leader="dot"/>
            </w:tabs>
            <w:rPr/>
          </w:pPr>
          <w:hyperlink w:anchor="__RefHeading___Toc2046_402348459">
            <w:r>
              <w:rPr>
                <w:rStyle w:val="Sautdindex"/>
              </w:rPr>
              <w:t>Article 4 -  ELEMENTS EXIGES DU CANDIDAT</w:t>
              <w:tab/>
              <w:t>7</w:t>
            </w:r>
          </w:hyperlink>
        </w:p>
        <w:p>
          <w:pPr>
            <w:pStyle w:val="Tabledesmatiresniveau2"/>
            <w:tabs>
              <w:tab w:val="clear" w:pos="706"/>
              <w:tab w:val="right" w:pos="8634" w:leader="dot"/>
            </w:tabs>
            <w:rPr/>
          </w:pPr>
          <w:hyperlink w:anchor="__RefHeading___Toc2048_402348459">
            <w:r>
              <w:rPr>
                <w:rStyle w:val="Sautdindex"/>
              </w:rPr>
              <w:t>4.1  Renseignements et documents demandés à l'appui des candidatures</w:t>
              <w:tab/>
              <w:t>7</w:t>
            </w:r>
          </w:hyperlink>
        </w:p>
        <w:p>
          <w:pPr>
            <w:pStyle w:val="Tabledesmatiresniveau2"/>
            <w:tabs>
              <w:tab w:val="clear" w:pos="706"/>
              <w:tab w:val="right" w:pos="8634" w:leader="dot"/>
            </w:tabs>
            <w:rPr/>
          </w:pPr>
          <w:hyperlink w:anchor="__RefHeading___Toc2050_402348459">
            <w:r>
              <w:rPr>
                <w:rStyle w:val="Sautdindex"/>
              </w:rPr>
              <w:t>4.2  Eléments exigés au titre de l'offre</w:t>
              <w:tab/>
              <w:t>9</w:t>
            </w:r>
          </w:hyperlink>
        </w:p>
        <w:p>
          <w:pPr>
            <w:pStyle w:val="Tabledesmatiresniveau3"/>
            <w:tabs>
              <w:tab w:val="clear" w:pos="9241"/>
              <w:tab w:val="right" w:pos="8634" w:leader="dot"/>
            </w:tabs>
            <w:rPr/>
          </w:pPr>
          <w:hyperlink w:anchor="__RefHeading___Toc2052_402348459">
            <w:r>
              <w:rPr>
                <w:rStyle w:val="Sautdindex"/>
              </w:rPr>
              <w:t>4.2.1  Présentation des offres</w:t>
              <w:tab/>
              <w:t>9</w:t>
            </w:r>
          </w:hyperlink>
        </w:p>
        <w:p>
          <w:pPr>
            <w:pStyle w:val="Tabledesmatiresniveau3"/>
            <w:tabs>
              <w:tab w:val="clear" w:pos="9241"/>
              <w:tab w:val="right" w:pos="8634" w:leader="dot"/>
            </w:tabs>
            <w:rPr/>
          </w:pPr>
          <w:hyperlink w:anchor="__RefHeading___Toc2054_402348459">
            <w:r>
              <w:rPr>
                <w:rStyle w:val="Sautdindex"/>
              </w:rPr>
              <w:t>4.2.2  Présentation de variantes</w:t>
              <w:tab/>
              <w:t>9</w:t>
            </w:r>
          </w:hyperlink>
        </w:p>
        <w:p>
          <w:pPr>
            <w:pStyle w:val="Tabledesmatiresniveau2"/>
            <w:tabs>
              <w:tab w:val="clear" w:pos="706"/>
              <w:tab w:val="right" w:pos="8634" w:leader="dot"/>
            </w:tabs>
            <w:rPr/>
          </w:pPr>
          <w:hyperlink w:anchor="__RefHeading___Toc2056_402348459">
            <w:r>
              <w:rPr>
                <w:rStyle w:val="Sautdindex"/>
              </w:rPr>
              <w:t>4.3  Visite sur site</w:t>
              <w:tab/>
              <w:t>9</w:t>
            </w:r>
          </w:hyperlink>
        </w:p>
        <w:p>
          <w:pPr>
            <w:pStyle w:val="Tabledesmatiresniveau1"/>
            <w:tabs>
              <w:tab w:val="clear" w:pos="9637"/>
              <w:tab w:val="right" w:pos="8634" w:leader="dot"/>
            </w:tabs>
            <w:rPr/>
          </w:pPr>
          <w:hyperlink w:anchor="__RefHeading___Toc2058_402348459">
            <w:r>
              <w:rPr>
                <w:rStyle w:val="Sautdindex"/>
              </w:rPr>
              <w:t>Article 5 -  REMISE DES PLIS PAR LES CANDIDATS</w:t>
              <w:tab/>
              <w:t>9</w:t>
            </w:r>
          </w:hyperlink>
        </w:p>
        <w:p>
          <w:pPr>
            <w:pStyle w:val="Tabledesmatiresniveau2"/>
            <w:tabs>
              <w:tab w:val="clear" w:pos="706"/>
              <w:tab w:val="right" w:pos="8634" w:leader="dot"/>
            </w:tabs>
            <w:rPr/>
          </w:pPr>
          <w:hyperlink w:anchor="__RefHeading___Toc2060_402348459">
            <w:r>
              <w:rPr>
                <w:rStyle w:val="Sautdindex"/>
              </w:rPr>
              <w:t>5.1  Remise électronique</w:t>
              <w:tab/>
              <w:t>9</w:t>
            </w:r>
          </w:hyperlink>
        </w:p>
        <w:p>
          <w:pPr>
            <w:pStyle w:val="Tabledesmatiresniveau2"/>
            <w:tabs>
              <w:tab w:val="clear" w:pos="706"/>
              <w:tab w:val="right" w:pos="8634" w:leader="dot"/>
            </w:tabs>
            <w:rPr/>
          </w:pPr>
          <w:hyperlink w:anchor="__RefHeading___Toc2062_402348459">
            <w:r>
              <w:rPr>
                <w:rStyle w:val="Sautdindex"/>
              </w:rPr>
              <w:t>5.2  Copie de sauvegarde</w:t>
              <w:tab/>
              <w:t>10</w:t>
            </w:r>
          </w:hyperlink>
        </w:p>
        <w:p>
          <w:pPr>
            <w:pStyle w:val="Tabledesmatiresniveau2"/>
            <w:tabs>
              <w:tab w:val="clear" w:pos="706"/>
              <w:tab w:val="right" w:pos="8634" w:leader="dot"/>
            </w:tabs>
            <w:rPr/>
          </w:pPr>
          <w:hyperlink w:anchor="__RefHeading___Toc2064_402348459">
            <w:r>
              <w:rPr>
                <w:rStyle w:val="Sautdindex"/>
              </w:rPr>
              <w:t>5.3  Echantillons, maquettes, prototypes ou modèles réduits</w:t>
              <w:tab/>
              <w:t>10</w:t>
            </w:r>
          </w:hyperlink>
        </w:p>
        <w:p>
          <w:pPr>
            <w:pStyle w:val="Tabledesmatiresniveau2"/>
            <w:tabs>
              <w:tab w:val="clear" w:pos="706"/>
              <w:tab w:val="right" w:pos="8634" w:leader="dot"/>
            </w:tabs>
            <w:rPr/>
          </w:pPr>
          <w:hyperlink w:anchor="__RefHeading___Toc2066_402348459">
            <w:r>
              <w:rPr>
                <w:rStyle w:val="Sautdindex"/>
              </w:rPr>
              <w:t>5.4  Date et heure limites de remise des plis</w:t>
              <w:tab/>
              <w:t>11</w:t>
            </w:r>
          </w:hyperlink>
        </w:p>
        <w:p>
          <w:pPr>
            <w:pStyle w:val="Tabledesmatiresniveau2"/>
            <w:tabs>
              <w:tab w:val="clear" w:pos="706"/>
              <w:tab w:val="right" w:pos="8634" w:leader="dot"/>
            </w:tabs>
            <w:rPr/>
          </w:pPr>
          <w:hyperlink w:anchor="__RefHeading___Toc2068_402348459">
            <w:r>
              <w:rPr>
                <w:rStyle w:val="Sautdindex"/>
              </w:rPr>
              <w:t>5.5  Délai de validité des offres</w:t>
              <w:tab/>
              <w:t>11</w:t>
            </w:r>
          </w:hyperlink>
        </w:p>
        <w:p>
          <w:pPr>
            <w:pStyle w:val="Tabledesmatiresniveau1"/>
            <w:tabs>
              <w:tab w:val="clear" w:pos="9637"/>
              <w:tab w:val="right" w:pos="8634" w:leader="dot"/>
            </w:tabs>
            <w:rPr/>
          </w:pPr>
          <w:hyperlink w:anchor="__RefHeading___Toc2070_402348459">
            <w:r>
              <w:rPr>
                <w:rStyle w:val="Sautdindex"/>
              </w:rPr>
              <w:t>Article 6 -  EXAMEN DES PLIS</w:t>
              <w:tab/>
              <w:t>11</w:t>
            </w:r>
          </w:hyperlink>
        </w:p>
        <w:p>
          <w:pPr>
            <w:pStyle w:val="Tabledesmatiresniveau2"/>
            <w:tabs>
              <w:tab w:val="clear" w:pos="706"/>
              <w:tab w:val="right" w:pos="8634" w:leader="dot"/>
            </w:tabs>
            <w:rPr/>
          </w:pPr>
          <w:hyperlink w:anchor="__RefHeading___Toc2072_402348459">
            <w:r>
              <w:rPr>
                <w:rStyle w:val="Sautdindex"/>
              </w:rPr>
              <w:t>6.1  Examen des candidatures</w:t>
              <w:tab/>
              <w:t>11</w:t>
            </w:r>
          </w:hyperlink>
        </w:p>
        <w:p>
          <w:pPr>
            <w:pStyle w:val="Tabledesmatiresniveau2"/>
            <w:tabs>
              <w:tab w:val="clear" w:pos="706"/>
              <w:tab w:val="right" w:pos="8634" w:leader="dot"/>
            </w:tabs>
            <w:rPr/>
          </w:pPr>
          <w:hyperlink w:anchor="__RefHeading___Toc2074_402348459">
            <w:r>
              <w:rPr>
                <w:rStyle w:val="Sautdindex"/>
              </w:rPr>
              <w:t>6.2  Jugement des offres</w:t>
              <w:tab/>
              <w:t>12</w:t>
            </w:r>
          </w:hyperlink>
        </w:p>
        <w:p>
          <w:pPr>
            <w:pStyle w:val="Tabledesmatiresniveau1"/>
            <w:tabs>
              <w:tab w:val="clear" w:pos="9637"/>
              <w:tab w:val="right" w:pos="8634" w:leader="dot"/>
            </w:tabs>
            <w:rPr/>
          </w:pPr>
          <w:hyperlink w:anchor="__RefHeading___Toc2076_402348459">
            <w:r>
              <w:rPr>
                <w:rStyle w:val="Sautdindex"/>
              </w:rPr>
              <w:t>Article 7 -  PIECES A REMETTRE PAR LE(S) CANDIDAT(S) RETENU(S) – DECISION DU CANDIDAT SUR LA PERIODE DE PREPARATION</w:t>
              <w:tab/>
              <w:t>16</w:t>
            </w:r>
          </w:hyperlink>
        </w:p>
        <w:p>
          <w:pPr>
            <w:pStyle w:val="Tabledesmatiresniveau1"/>
            <w:tabs>
              <w:tab w:val="clear" w:pos="9637"/>
              <w:tab w:val="right" w:pos="8634" w:leader="dot"/>
            </w:tabs>
            <w:rPr/>
          </w:pPr>
          <w:hyperlink w:anchor="__RefHeading___Toc2078_402348459">
            <w:r>
              <w:rPr>
                <w:rStyle w:val="Sautdindex"/>
              </w:rPr>
              <w:t>Article 8 -  MODALITES RELATIVES AUX COMMUNICATIONS ET AUX ECHANGES D'INFORMATION</w:t>
              <w:tab/>
              <w:t>17</w:t>
            </w:r>
          </w:hyperlink>
        </w:p>
        <w:p>
          <w:pPr>
            <w:pStyle w:val="Tabledesmatiresniveau2"/>
            <w:tabs>
              <w:tab w:val="clear" w:pos="706"/>
              <w:tab w:val="right" w:pos="8634" w:leader="dot"/>
            </w:tabs>
            <w:rPr/>
          </w:pPr>
          <w:hyperlink w:anchor="__RefHeading___Toc2080_402348459">
            <w:r>
              <w:rPr>
                <w:rStyle w:val="Sautdindex"/>
              </w:rPr>
              <w:t>8.1  Règles liées aux échanges électroniques</w:t>
              <w:tab/>
              <w:t>17</w:t>
            </w:r>
          </w:hyperlink>
        </w:p>
        <w:p>
          <w:pPr>
            <w:pStyle w:val="Tabledesmatiresniveau2"/>
            <w:tabs>
              <w:tab w:val="clear" w:pos="706"/>
              <w:tab w:val="right" w:pos="8634" w:leader="dot"/>
            </w:tabs>
            <w:rPr/>
          </w:pPr>
          <w:hyperlink w:anchor="__RefHeading___Toc2082_402348459">
            <w:r>
              <w:rPr>
                <w:rStyle w:val="Sautdindex"/>
              </w:rPr>
              <w:t>8.2  Demandes de renseignements en cours de consultation</w:t>
              <w:tab/>
              <w:t>17</w:t>
            </w:r>
          </w:hyperlink>
          <w:r>
            <w:rPr>
              <w:rStyle w:val="Sautdindex"/>
            </w:rPr>
            <w:fldChar w:fldCharType="end"/>
          </w:r>
        </w:p>
      </w:sdtContent>
    </w:sdt>
    <w:p>
      <w:pPr>
        <w:pStyle w:val="Tabledesmatiresniveau2"/>
        <w:tabs>
          <w:tab w:val="clear" w:pos="706"/>
          <w:tab w:val="right" w:pos="8290" w:leader="dot"/>
        </w:tabs>
        <w:rPr/>
      </w:pPr>
      <w:r>
        <w:rPr/>
      </w:r>
      <w:r>
        <w:br w:type="page"/>
      </w:r>
    </w:p>
    <w:p>
      <w:pPr>
        <w:pStyle w:val="Titre1"/>
        <w:keepNext w:val="true"/>
        <w:widowControl w:val="false"/>
        <w:numPr>
          <w:ilvl w:val="0"/>
          <w:numId w:val="2"/>
        </w:numPr>
        <w:suppressAutoHyphens w:val="true"/>
        <w:overflowPunct w:val="true"/>
        <w:bidi w:val="0"/>
        <w:spacing w:before="360" w:after="0"/>
        <w:ind w:left="0" w:right="0" w:hanging="0"/>
        <w:jc w:val="left"/>
        <w:rPr/>
      </w:pPr>
      <w:bookmarkStart w:id="1" w:name="__RefHeading___Toc2008_402348459"/>
      <w:bookmarkStart w:id="2" w:name="_Toc3539"/>
      <w:bookmarkEnd w:id="1"/>
      <w:r>
        <w:rPr/>
        <w:t>GENERALITES</w:t>
      </w:r>
      <w:bookmarkEnd w:id="2"/>
    </w:p>
    <w:p>
      <w:pPr>
        <w:pStyle w:val="Titre2"/>
        <w:keepNext w:val="true"/>
        <w:widowControl w:val="false"/>
        <w:numPr>
          <w:ilvl w:val="1"/>
          <w:numId w:val="2"/>
        </w:numPr>
        <w:suppressAutoHyphens w:val="true"/>
        <w:overflowPunct w:val="true"/>
        <w:bidi w:val="0"/>
        <w:spacing w:before="240" w:after="240"/>
        <w:ind w:left="737" w:right="0" w:hanging="0"/>
        <w:jc w:val="left"/>
        <w:rPr/>
      </w:pPr>
      <w:bookmarkStart w:id="3" w:name="__RefHeading___Toc2010_402348459"/>
      <w:bookmarkStart w:id="4" w:name="_Toc3540"/>
      <w:bookmarkEnd w:id="3"/>
      <w:r>
        <w:rPr/>
        <w:t>Objet et description de la consultation</w:t>
      </w:r>
      <w:bookmarkEnd w:id="4"/>
    </w:p>
    <w:p>
      <w:pPr>
        <w:pStyle w:val="Normal"/>
        <w:rPr>
          <w:rFonts w:eastAsia="arial" w:cs="arial"/>
          <w:color w:val="000000"/>
          <w:sz w:val="20"/>
        </w:rPr>
      </w:pPr>
      <w:r>
        <w:rPr>
          <w:rFonts w:eastAsia="arial" w:cs="arial" w:ascii="arial" w:hAnsi="arial"/>
          <w:b w:val="false"/>
          <w:i w:val="false"/>
          <w:color w:val="000000"/>
          <w:sz w:val="20"/>
          <w:u w:val="none"/>
        </w:rPr>
        <w:t xml:space="preserve">La présente consultation a pour objet : </w:t>
      </w:r>
      <w:r>
        <w:rPr>
          <w:rFonts w:eastAsia="Arial" w:cs="Arial"/>
          <w:color w:val="000000"/>
          <w:sz w:val="20"/>
        </w:rPr>
        <w:t>EXPLOITATION, MAINTIEN, RENOVATION ET EXTENSION DE L'ECLAIRAGE PUBLIC SUR LE TERRITOIRE DE LA COMMUNE DE MARSEILLE</w:t>
      </w:r>
    </w:p>
    <w:p>
      <w:pPr>
        <w:pStyle w:val="Normal"/>
        <w:widowControl w:val="false"/>
        <w:spacing w:lineRule="auto" w:line="240" w:before="100" w:after="0"/>
        <w:jc w:val="both"/>
        <w:textAlignment w:val="baseline"/>
        <w:rPr>
          <w:highlight w:val="none"/>
          <w:shd w:fill="auto" w:val="clear"/>
        </w:rPr>
      </w:pPr>
      <w:r>
        <w:rPr>
          <w:rFonts w:eastAsia="Times New Roman" w:cs="Tahoma" w:ascii="Tahoma" w:hAnsi="Tahoma"/>
          <w:kern w:val="2"/>
          <w:shd w:fill="auto" w:val="clear"/>
          <w:lang w:eastAsia="fr-FR"/>
        </w:rPr>
        <w:t>Ce marché implique de ne disposer que d’un seul exploitant pour l’entretien et la maintenance de l’ensemble du réseau en raison de :</w:t>
      </w:r>
    </w:p>
    <w:p>
      <w:pPr>
        <w:pStyle w:val="Normal"/>
        <w:widowControl w:val="false"/>
        <w:spacing w:lineRule="auto" w:line="240" w:before="100" w:after="0"/>
        <w:jc w:val="both"/>
        <w:textAlignment w:val="baseline"/>
        <w:rPr>
          <w:highlight w:val="none"/>
          <w:shd w:fill="auto" w:val="clear"/>
        </w:rPr>
      </w:pPr>
      <w:r>
        <w:rPr>
          <w:rFonts w:eastAsia="Times New Roman" w:cs="Tahoma" w:ascii="Tahoma" w:hAnsi="Tahoma"/>
          <w:kern w:val="2"/>
          <w:shd w:fill="auto" w:val="clear"/>
          <w:lang w:eastAsia="fr-FR"/>
        </w:rPr>
        <w:t xml:space="preserve">- l’unicité du réseau d’éclairage public existant sur la Ville de Marseille (absence de dissociation du réseau d’éclairage de compétence métropolitaine (voirie) de celui des espaces de compétence municipale), </w:t>
      </w:r>
    </w:p>
    <w:p>
      <w:pPr>
        <w:pStyle w:val="Normal"/>
        <w:widowControl w:val="false"/>
        <w:spacing w:lineRule="auto" w:line="240" w:before="100" w:after="0"/>
        <w:jc w:val="both"/>
        <w:textAlignment w:val="baseline"/>
        <w:rPr>
          <w:highlight w:val="none"/>
          <w:shd w:fill="auto" w:val="clear"/>
        </w:rPr>
      </w:pPr>
      <w:r>
        <w:rPr>
          <w:rFonts w:eastAsia="arial" w:cs="arial" w:ascii="arial" w:hAnsi="arial"/>
          <w:b w:val="false"/>
          <w:i w:val="false"/>
          <w:color w:val="000000"/>
          <w:kern w:val="2"/>
          <w:sz w:val="20"/>
          <w:u w:val="none"/>
          <w:shd w:fill="auto" w:val="clear"/>
          <w:lang w:eastAsia="fr-FR"/>
        </w:rPr>
        <w:t>- l’étroite imbrication des prestations objet du marché (études, travaux, exploitation de l’éclairage sur l’ensemble du territoire), permettant une efficience dans l’exécution et le suivi de sa réalisation, afin d’assurer la continuité du service public.</w:t>
      </w:r>
    </w:p>
    <w:p>
      <w:pPr>
        <w:pStyle w:val="Normal"/>
        <w:widowControl w:val="false"/>
        <w:spacing w:lineRule="auto" w:line="240" w:before="100" w:after="0"/>
        <w:jc w:val="both"/>
        <w:textAlignment w:val="baseline"/>
        <w:rPr>
          <w:rFonts w:ascii="Tahoma" w:hAnsi="Tahoma" w:eastAsia="Times New Roman" w:cs="Tahoma"/>
          <w:kern w:val="2"/>
          <w:highlight w:val="none"/>
          <w:shd w:fill="auto" w:val="clear"/>
          <w:lang w:eastAsia="fr-FR"/>
        </w:rPr>
      </w:pPr>
      <w:r>
        <w:rPr>
          <w:rFonts w:eastAsia="Times New Roman" w:cs="Tahoma" w:ascii="Tahoma" w:hAnsi="Tahoma"/>
          <w:kern w:val="2"/>
          <w:shd w:fill="auto" w:val="clear"/>
          <w:lang w:eastAsia="fr-FR"/>
        </w:rPr>
      </w:r>
    </w:p>
    <w:p>
      <w:pPr>
        <w:pStyle w:val="Normal"/>
        <w:widowControl w:val="false"/>
        <w:spacing w:lineRule="auto" w:line="240" w:before="100" w:after="0"/>
        <w:jc w:val="both"/>
        <w:textAlignment w:val="baseline"/>
        <w:rPr/>
      </w:pPr>
      <w:r>
        <w:rPr>
          <w:rFonts w:eastAsia="Times New Roman" w:cs="Tahoma" w:ascii="Tahoma" w:hAnsi="Tahoma"/>
          <w:kern w:val="2"/>
          <w:shd w:fill="auto" w:val="clear"/>
          <w:lang w:eastAsia="fr-FR"/>
        </w:rPr>
        <w:t xml:space="preserve">La Métropole Aix Marseille Provence et la Mairie de Marseille ont de ce fait envisagé de mener une procédure conjointe afin de pouvoir attribuer les contrats passés, dans le respect de la réglementation relative à la commande publique, sur la compétence propre de chaque collectivité. </w:t>
      </w:r>
    </w:p>
    <w:p>
      <w:pPr>
        <w:pStyle w:val="Normal"/>
        <w:widowControl w:val="false"/>
        <w:spacing w:lineRule="auto" w:line="240" w:before="100" w:after="0"/>
        <w:jc w:val="both"/>
        <w:textAlignment w:val="baseline"/>
        <w:rPr>
          <w:rFonts w:eastAsia="arial" w:cs="arial"/>
          <w:color w:val="000000"/>
          <w:sz w:val="20"/>
        </w:rPr>
      </w:pPr>
      <w:r>
        <w:rPr>
          <w:rFonts w:eastAsia="Times New Roman" w:cs="Tahoma" w:ascii="Tahoma" w:hAnsi="Tahoma"/>
          <w:color w:val="000000"/>
          <w:kern w:val="2"/>
          <w:sz w:val="20"/>
          <w:shd w:fill="auto" w:val="clear"/>
          <w:lang w:eastAsia="fr-FR"/>
        </w:rPr>
        <w:t>Elles ont pour cela conclu une</w:t>
      </w:r>
      <w:r>
        <w:rPr>
          <w:rFonts w:eastAsia="Arial" w:cs="Arial"/>
          <w:color w:val="000000"/>
          <w:sz w:val="20"/>
          <w:shd w:fill="auto" w:val="clear"/>
        </w:rPr>
        <w:t xml:space="preserve"> convention constitutive de groupement de commandes, dont la </w:t>
      </w:r>
      <w:r>
        <w:rPr>
          <w:rFonts w:eastAsia="Times New Roman" w:cs="Tahoma" w:ascii="Tahoma" w:hAnsi="Tahoma"/>
          <w:color w:val="000000"/>
          <w:kern w:val="2"/>
          <w:sz w:val="20"/>
          <w:shd w:fill="auto" w:val="clear"/>
          <w:lang w:eastAsia="fr-FR"/>
        </w:rPr>
        <w:t>Mairie</w:t>
      </w:r>
      <w:r>
        <w:rPr>
          <w:rFonts w:eastAsia="Arial" w:cs="Arial"/>
          <w:color w:val="000000"/>
          <w:sz w:val="20"/>
          <w:shd w:fill="auto" w:val="clear"/>
        </w:rPr>
        <w:t xml:space="preserve"> de Marseille est le coordonnateur, pour l’exploitation, le maintien, la rénovation et l’extension de l’éclairage public du territoire de </w:t>
      </w:r>
      <w:r>
        <w:rPr>
          <w:rFonts w:eastAsia="Arial" w:cs="Arial"/>
          <w:color w:val="000000"/>
          <w:sz w:val="20"/>
        </w:rPr>
        <w:t xml:space="preserve">la commune de Marseille. Cette convention a été  approuvée par délibération du Conseil Municipal </w:t>
      </w:r>
      <w:r>
        <w:rPr>
          <w:rFonts w:eastAsia="Arial" w:cs="Arial"/>
          <w:color w:val="000000"/>
          <w:sz w:val="20"/>
          <w:shd w:fill="auto" w:val="clear"/>
        </w:rPr>
        <w:t>n° 23/0374/VAT du 7 juillet 2023 et par le Bureau de la Métropole n° MOB 03414044/23/DM du 29 Juin 2023.</w:t>
      </w:r>
    </w:p>
    <w:p>
      <w:pPr>
        <w:pStyle w:val="Normal"/>
        <w:spacing w:lineRule="atLeast" w:line="57" w:before="102" w:after="0"/>
        <w:ind w:left="0" w:right="0" w:hanging="0"/>
        <w:jc w:val="both"/>
        <w:rPr/>
      </w:pPr>
      <w:r>
        <w:rPr>
          <w:rFonts w:eastAsia="Arial" w:cs="Arial"/>
          <w:color w:val="00000A"/>
          <w:sz w:val="20"/>
        </w:rPr>
        <w:t>La présente consultation est passée en application de ladite convention de groupement de commandes</w:t>
      </w:r>
      <w:r>
        <w:rPr>
          <w:rFonts w:eastAsia="Arial" w:cs="Arial"/>
          <w:color w:val="00000A"/>
          <w:sz w:val="20"/>
          <w:shd w:fill="auto" w:val="clear"/>
        </w:rPr>
        <w:t xml:space="preserve"> </w:t>
      </w:r>
      <w:r>
        <w:rPr>
          <w:rFonts w:eastAsia="arial" w:cs="arial" w:ascii="arial" w:hAnsi="arial"/>
          <w:b w:val="false"/>
          <w:i w:val="false"/>
          <w:color w:val="000000"/>
          <w:sz w:val="20"/>
          <w:u w:val="none"/>
          <w:shd w:fill="auto" w:val="clear"/>
        </w:rPr>
        <w:t xml:space="preserve">n° 2023/81375, </w:t>
      </w:r>
      <w:r>
        <w:rPr>
          <w:rFonts w:eastAsia="Arial" w:cs="Arial"/>
          <w:color w:val="00000A"/>
          <w:sz w:val="20"/>
          <w:shd w:fill="auto" w:val="clear"/>
        </w:rPr>
        <w:t>notifiée le 26 septembre 2023.</w:t>
      </w:r>
    </w:p>
    <w:p>
      <w:pPr>
        <w:pStyle w:val="Normal"/>
        <w:spacing w:lineRule="atLeast" w:line="57" w:before="119" w:after="0"/>
        <w:ind w:left="0" w:right="0" w:hanging="0"/>
        <w:jc w:val="both"/>
        <w:rPr/>
      </w:pPr>
      <w:r>
        <w:rPr>
          <w:rFonts w:eastAsia="Arial" w:cs="Arial"/>
          <w:color w:val="000000"/>
          <w:sz w:val="20"/>
        </w:rPr>
        <w:t xml:space="preserve">Elle a pour objet : </w:t>
      </w:r>
      <w:r>
        <w:rPr>
          <w:rFonts w:eastAsia="arial" w:cs="arial" w:ascii="arial" w:hAnsi="arial"/>
          <w:b w:val="false"/>
          <w:i w:val="false"/>
          <w:color w:val="000000"/>
          <w:sz w:val="20"/>
          <w:u w:val="none"/>
          <w:shd w:fill="auto" w:val="clear"/>
        </w:rPr>
        <w:t>l</w:t>
      </w:r>
      <w:r>
        <w:rPr>
          <w:rFonts w:eastAsia="arial" w:cs="arial" w:ascii="arial" w:hAnsi="arial"/>
          <w:b w:val="false"/>
          <w:i w:val="false"/>
          <w:color w:val="000000"/>
          <w:sz w:val="20"/>
          <w:szCs w:val="20"/>
          <w:u w:val="none"/>
          <w:shd w:fill="auto" w:val="clear"/>
        </w:rPr>
        <w:t>a réalisation de</w:t>
      </w:r>
      <w:r>
        <w:rPr>
          <w:rFonts w:eastAsia="arial" w:cs="arial" w:ascii="arial" w:hAnsi="arial"/>
          <w:b w:val="false"/>
          <w:i w:val="false"/>
          <w:color w:val="000000"/>
          <w:spacing w:val="26"/>
          <w:sz w:val="20"/>
          <w:szCs w:val="20"/>
          <w:u w:val="none"/>
          <w:shd w:fill="auto" w:val="clear"/>
        </w:rPr>
        <w:t xml:space="preserve"> </w:t>
      </w:r>
      <w:r>
        <w:rPr>
          <w:rFonts w:eastAsia="arial" w:cs="arial" w:ascii="arial" w:hAnsi="arial"/>
          <w:b w:val="false"/>
          <w:i w:val="false"/>
          <w:color w:val="000000"/>
          <w:sz w:val="20"/>
          <w:szCs w:val="20"/>
          <w:u w:val="none"/>
          <w:shd w:fill="auto" w:val="clear"/>
        </w:rPr>
        <w:t>travaux</w:t>
      </w:r>
      <w:r>
        <w:rPr>
          <w:rFonts w:eastAsia="arial" w:cs="arial" w:ascii="arial" w:hAnsi="arial"/>
          <w:b w:val="false"/>
          <w:i w:val="false"/>
          <w:color w:val="000000"/>
          <w:spacing w:val="25"/>
          <w:sz w:val="20"/>
          <w:szCs w:val="20"/>
          <w:u w:val="none"/>
          <w:shd w:fill="auto" w:val="clear"/>
        </w:rPr>
        <w:t xml:space="preserve"> </w:t>
      </w:r>
      <w:r>
        <w:rPr>
          <w:rFonts w:eastAsia="arial" w:cs="arial" w:ascii="arial" w:hAnsi="arial"/>
          <w:b w:val="false"/>
          <w:i w:val="false"/>
          <w:color w:val="000000"/>
          <w:sz w:val="20"/>
          <w:szCs w:val="20"/>
          <w:u w:val="none"/>
          <w:shd w:fill="auto" w:val="clear"/>
        </w:rPr>
        <w:t>et</w:t>
      </w:r>
      <w:r>
        <w:rPr>
          <w:rFonts w:eastAsia="arial" w:cs="arial" w:ascii="arial" w:hAnsi="arial"/>
          <w:b w:val="false"/>
          <w:i w:val="false"/>
          <w:color w:val="000000"/>
          <w:spacing w:val="24"/>
          <w:sz w:val="20"/>
          <w:szCs w:val="20"/>
          <w:u w:val="none"/>
          <w:shd w:fill="auto" w:val="clear"/>
        </w:rPr>
        <w:t xml:space="preserve"> </w:t>
      </w:r>
      <w:r>
        <w:rPr>
          <w:rFonts w:eastAsia="arial" w:cs="arial" w:ascii="arial" w:hAnsi="arial"/>
          <w:b w:val="false"/>
          <w:i w:val="false"/>
          <w:color w:val="000000"/>
          <w:sz w:val="20"/>
          <w:szCs w:val="20"/>
          <w:u w:val="none"/>
          <w:shd w:fill="auto" w:val="clear"/>
        </w:rPr>
        <w:t>prestations</w:t>
      </w:r>
      <w:r>
        <w:rPr>
          <w:rFonts w:eastAsia="arial" w:cs="arial" w:ascii="arial" w:hAnsi="arial"/>
          <w:b w:val="false"/>
          <w:i w:val="false"/>
          <w:color w:val="000000"/>
          <w:spacing w:val="26"/>
          <w:sz w:val="20"/>
          <w:szCs w:val="20"/>
          <w:u w:val="none"/>
          <w:shd w:fill="auto" w:val="clear"/>
        </w:rPr>
        <w:t xml:space="preserve"> relatifs à</w:t>
      </w:r>
      <w:r>
        <w:rPr>
          <w:rFonts w:eastAsia="arial" w:cs="arial" w:ascii="arial" w:hAnsi="arial"/>
          <w:b w:val="false"/>
          <w:i w:val="false"/>
          <w:color w:val="000000"/>
          <w:spacing w:val="24"/>
          <w:sz w:val="20"/>
          <w:szCs w:val="20"/>
          <w:u w:val="none"/>
          <w:shd w:fill="auto" w:val="clear"/>
        </w:rPr>
        <w:t xml:space="preserve"> </w:t>
      </w:r>
      <w:r>
        <w:rPr>
          <w:rFonts w:eastAsia="arial" w:cs="arial" w:ascii="arial" w:hAnsi="arial"/>
          <w:b w:val="false"/>
          <w:i w:val="false"/>
          <w:color w:val="000000"/>
          <w:sz w:val="20"/>
          <w:szCs w:val="20"/>
          <w:u w:val="none"/>
          <w:shd w:fill="auto" w:val="clear"/>
        </w:rPr>
        <w:t>l'exploitation</w:t>
      </w:r>
      <w:r>
        <w:rPr>
          <w:rFonts w:eastAsia="arial" w:cs="arial" w:ascii="arial" w:hAnsi="arial"/>
          <w:b w:val="false"/>
          <w:i w:val="false"/>
          <w:color w:val="000000"/>
          <w:spacing w:val="25"/>
          <w:sz w:val="20"/>
          <w:szCs w:val="20"/>
          <w:u w:val="none"/>
          <w:shd w:fill="auto" w:val="clear"/>
        </w:rPr>
        <w:t>, au</w:t>
      </w:r>
      <w:r>
        <w:rPr>
          <w:rFonts w:eastAsia="arial" w:cs="arial" w:ascii="arial" w:hAnsi="arial"/>
          <w:b w:val="false"/>
          <w:i w:val="false"/>
          <w:color w:val="000000"/>
          <w:spacing w:val="24"/>
          <w:sz w:val="20"/>
          <w:szCs w:val="20"/>
          <w:u w:val="none"/>
          <w:shd w:fill="auto" w:val="clear"/>
        </w:rPr>
        <w:t xml:space="preserve"> </w:t>
      </w:r>
      <w:r>
        <w:rPr>
          <w:rFonts w:eastAsia="arial" w:cs="arial" w:ascii="arial" w:hAnsi="arial"/>
          <w:b w:val="false"/>
          <w:i w:val="false"/>
          <w:color w:val="000000"/>
          <w:sz w:val="20"/>
          <w:szCs w:val="20"/>
          <w:u w:val="none"/>
          <w:shd w:fill="auto" w:val="clear"/>
        </w:rPr>
        <w:t>maintien, à la rénovation et l’extension</w:t>
      </w:r>
      <w:r>
        <w:rPr>
          <w:rFonts w:eastAsia="arial" w:cs="arial" w:ascii="arial" w:hAnsi="arial"/>
          <w:b w:val="false"/>
          <w:i w:val="false"/>
          <w:color w:val="000000"/>
          <w:spacing w:val="-58"/>
          <w:sz w:val="20"/>
          <w:szCs w:val="20"/>
          <w:u w:val="none"/>
          <w:shd w:fill="auto" w:val="clear"/>
        </w:rPr>
        <w:t xml:space="preserve"> </w:t>
      </w:r>
      <w:r>
        <w:rPr>
          <w:rFonts w:eastAsia="arial" w:cs="arial" w:ascii="arial" w:hAnsi="arial"/>
          <w:b w:val="false"/>
          <w:i w:val="false"/>
          <w:iCs w:val="false"/>
          <w:color w:val="000000"/>
          <w:sz w:val="20"/>
          <w:szCs w:val="20"/>
          <w:u w:val="none"/>
          <w:shd w:fill="auto" w:val="clear"/>
        </w:rPr>
        <w:t xml:space="preserve">des installations d’éclairage comprenant l’éclairage public et les mises en lumière du patrimoine sur le territoire de la commune de Marseille. </w:t>
      </w:r>
      <w:r>
        <w:rPr>
          <w:rFonts w:eastAsia="arial" w:cs="arial" w:ascii="arial" w:hAnsi="arial"/>
          <w:b w:val="false"/>
          <w:i w:val="false"/>
          <w:color w:val="000000"/>
          <w:sz w:val="20"/>
          <w:szCs w:val="20"/>
          <w:u w:val="none"/>
          <w:shd w:fill="auto" w:val="clear"/>
        </w:rPr>
        <w:t>Ces travaux et prestations concourent également à la mise en œuvre du plan</w:t>
      </w:r>
      <w:r>
        <w:rPr>
          <w:rFonts w:eastAsia="arial" w:cs="arial" w:ascii="arial" w:hAnsi="arial"/>
          <w:b w:val="false"/>
          <w:i w:val="false"/>
          <w:color w:val="000000"/>
          <w:spacing w:val="1"/>
          <w:sz w:val="20"/>
          <w:szCs w:val="20"/>
          <w:u w:val="none"/>
          <w:shd w:fill="auto" w:val="clear"/>
        </w:rPr>
        <w:t xml:space="preserve"> </w:t>
      </w:r>
      <w:r>
        <w:rPr>
          <w:rFonts w:eastAsia="arial" w:cs="arial" w:ascii="arial" w:hAnsi="arial"/>
          <w:b w:val="false"/>
          <w:i w:val="false"/>
          <w:color w:val="000000"/>
          <w:sz w:val="20"/>
          <w:szCs w:val="20"/>
          <w:u w:val="none"/>
          <w:shd w:fill="auto" w:val="clear"/>
        </w:rPr>
        <w:t>d'économie d'énergie</w:t>
      </w:r>
      <w:r>
        <w:rPr>
          <w:rFonts w:eastAsia="arial" w:cs="arial" w:ascii="arial" w:hAnsi="arial"/>
          <w:b w:val="false"/>
          <w:i w:val="false"/>
          <w:color w:val="000000"/>
          <w:spacing w:val="-1"/>
          <w:sz w:val="20"/>
          <w:szCs w:val="20"/>
          <w:u w:val="none"/>
          <w:shd w:fill="auto" w:val="clear"/>
        </w:rPr>
        <w:t xml:space="preserve"> </w:t>
      </w:r>
      <w:r>
        <w:rPr>
          <w:rFonts w:eastAsia="arial" w:cs="arial" w:ascii="arial" w:hAnsi="arial"/>
          <w:b w:val="false"/>
          <w:i w:val="false"/>
          <w:iCs w:val="false"/>
          <w:color w:val="000000"/>
          <w:sz w:val="20"/>
          <w:szCs w:val="20"/>
          <w:u w:val="none"/>
          <w:shd w:fill="auto" w:val="clear"/>
        </w:rPr>
        <w:t>du maître d’ouvrage</w:t>
      </w:r>
      <w:r>
        <w:rPr>
          <w:rFonts w:eastAsia="arial" w:cs="arial" w:ascii="arial" w:hAnsi="arial"/>
          <w:b w:val="false"/>
          <w:i w:val="false"/>
          <w:color w:val="000000"/>
          <w:sz w:val="20"/>
          <w:szCs w:val="20"/>
          <w:u w:val="none"/>
          <w:shd w:fill="auto" w:val="clear"/>
        </w:rPr>
        <w:t>.</w:t>
      </w:r>
    </w:p>
    <w:p>
      <w:pPr>
        <w:pStyle w:val="Normal"/>
        <w:rPr>
          <w:rFonts w:ascii="arial" w:hAnsi="arial" w:eastAsia="arial" w:cs="arial"/>
          <w:b w:val="false"/>
          <w:b w:val="false"/>
          <w:i w:val="false"/>
          <w:i w:val="false"/>
          <w:color w:val="000000"/>
          <w:sz w:val="20"/>
          <w:szCs w:val="20"/>
          <w:u w:val="none"/>
          <w:shd w:fill="auto" w:val="clear"/>
        </w:rPr>
      </w:pPr>
      <w:r>
        <w:rPr>
          <w:rFonts w:eastAsia="arial" w:cs="arial" w:ascii="arial" w:hAnsi="arial"/>
          <w:b w:val="false"/>
          <w:i w:val="false"/>
          <w:color w:val="000000"/>
          <w:sz w:val="20"/>
          <w:szCs w:val="20"/>
          <w:u w:val="none"/>
          <w:shd w:fill="auto" w:val="clear"/>
        </w:rPr>
        <w:t>Il s’agit notamment :</w:t>
      </w:r>
    </w:p>
    <w:p>
      <w:pPr>
        <w:pStyle w:val="Normal"/>
        <w:rPr/>
      </w:pPr>
      <w:r>
        <w:rPr>
          <w:rFonts w:eastAsia="arial" w:cs="arial" w:ascii="arial" w:hAnsi="arial"/>
          <w:b w:val="false"/>
          <w:i w:val="false"/>
          <w:color w:val="000000"/>
          <w:sz w:val="20"/>
          <w:szCs w:val="20"/>
          <w:u w:val="none"/>
          <w:shd w:fill="auto" w:val="clear"/>
        </w:rPr>
        <w:t>- de l’ensemble des travaux et prestations nécessaires à l’exploitation et à l’entretien des installations d’éclairage tels que définis au CCTP, de l’audit initial, des réparations</w:t>
      </w:r>
      <w:r>
        <w:rPr>
          <w:rFonts w:eastAsia="arial" w:cs="arial" w:ascii="arial" w:hAnsi="arial"/>
          <w:b w:val="false"/>
          <w:i w:val="false"/>
          <w:color w:val="000000"/>
          <w:spacing w:val="1"/>
          <w:sz w:val="20"/>
          <w:szCs w:val="20"/>
          <w:u w:val="none"/>
          <w:shd w:fill="auto" w:val="clear"/>
        </w:rPr>
        <w:t xml:space="preserve"> </w:t>
      </w:r>
      <w:r>
        <w:rPr>
          <w:rFonts w:eastAsia="arial" w:cs="arial" w:ascii="arial" w:hAnsi="arial"/>
          <w:b w:val="false"/>
          <w:i w:val="false"/>
          <w:color w:val="000000"/>
          <w:sz w:val="20"/>
          <w:szCs w:val="20"/>
          <w:u w:val="none"/>
          <w:shd w:fill="auto" w:val="clear"/>
        </w:rPr>
        <w:t>effectuées suite à des signalements ou anomalies constatées (panne, défaut mécanique ou électrique, absence d’élément, accident…), de la mise à jour de la base de données,</w:t>
      </w:r>
    </w:p>
    <w:p>
      <w:pPr>
        <w:pStyle w:val="Normal"/>
        <w:rPr/>
      </w:pPr>
      <w:r>
        <w:rPr>
          <w:rFonts w:eastAsia="arial" w:cs="arial" w:ascii="arial" w:hAnsi="arial"/>
          <w:b w:val="false"/>
          <w:i w:val="false"/>
          <w:color w:val="000000"/>
          <w:sz w:val="20"/>
          <w:szCs w:val="20"/>
          <w:u w:val="none"/>
          <w:shd w:fill="auto" w:val="clear"/>
        </w:rPr>
        <w:t>- de l’établissement d’une charte sous dialux, des études d’éclairage, du contrôle et de la recherche de réseaux, des investigations de contrôles mécaniques des supports et de la recherche de présence d’amiante sur voirie ou façades,</w:t>
      </w:r>
    </w:p>
    <w:p>
      <w:pPr>
        <w:pStyle w:val="Normal"/>
        <w:spacing w:lineRule="atLeast" w:line="57" w:before="119" w:after="0"/>
        <w:ind w:left="0" w:right="0" w:hanging="0"/>
        <w:jc w:val="both"/>
        <w:rPr/>
      </w:pPr>
      <w:r>
        <w:rPr>
          <w:rFonts w:eastAsia="arial" w:cs="arial" w:ascii="arial" w:hAnsi="arial"/>
          <w:b w:val="false"/>
          <w:i w:val="false"/>
          <w:color w:val="000000"/>
          <w:sz w:val="20"/>
          <w:szCs w:val="20"/>
          <w:u w:val="none"/>
          <w:shd w:fill="auto" w:val="clear"/>
        </w:rPr>
        <w:t>- de travaux issus de la programmation annuelle, de la coordination de travaux, de chantiers liés à la sécurité, des déplacements de réseaux et des systématiques. Le maître d’ouvrage peut au-delà du simple maintien des installations demander, l’enfouissement des réseaux aériens, un changement des emplacements des supports ou luminaires.</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5" w:name="__RefHeading___Toc2012_402348459"/>
      <w:bookmarkStart w:id="6" w:name="_Toc3541"/>
      <w:bookmarkEnd w:id="5"/>
      <w:r>
        <w:rPr/>
        <w:t>Nature</w:t>
      </w:r>
      <w:bookmarkEnd w:id="6"/>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Passation d'un marché de : Travaux</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7" w:name="__RefHeading___Toc2014_402348459"/>
      <w:bookmarkStart w:id="8" w:name="_Toc3542"/>
      <w:bookmarkEnd w:id="7"/>
      <w:r>
        <w:rPr/>
        <w:t>Pouvoir adjudicateur</w:t>
      </w:r>
      <w:bookmarkEnd w:id="8"/>
    </w:p>
    <w:p>
      <w:pPr>
        <w:pStyle w:val="Normal"/>
        <w:rPr>
          <w:highlight w:val="none"/>
          <w:shd w:fill="auto" w:val="clear"/>
        </w:rPr>
      </w:pPr>
      <w:r>
        <w:rPr>
          <w:rFonts w:eastAsia="arial" w:cs="arial" w:ascii="arial" w:hAnsi="arial"/>
          <w:b w:val="false"/>
          <w:i w:val="false"/>
          <w:color w:val="000000"/>
          <w:sz w:val="20"/>
          <w:u w:val="single"/>
          <w:shd w:fill="auto" w:val="clear"/>
        </w:rPr>
        <w:t>Acheteur public</w:t>
      </w:r>
      <w:r>
        <w:rPr>
          <w:rFonts w:eastAsia="arial" w:cs="arial" w:ascii="arial" w:hAnsi="arial"/>
          <w:b w:val="false"/>
          <w:i w:val="false"/>
          <w:color w:val="000000"/>
          <w:sz w:val="20"/>
          <w:u w:val="none"/>
          <w:shd w:fill="auto" w:val="clear"/>
        </w:rPr>
        <w:t xml:space="preserve"> :</w:t>
      </w:r>
    </w:p>
    <w:p>
      <w:pPr>
        <w:pStyle w:val="Normal"/>
        <w:rPr>
          <w:highlight w:val="none"/>
          <w:shd w:fill="auto" w:val="clear"/>
        </w:rPr>
      </w:pPr>
      <w:r>
        <w:rPr>
          <w:shd w:fill="auto" w:val="clear"/>
        </w:rPr>
        <w:t xml:space="preserve">Dans le cadre de cette consultation, la </w:t>
      </w:r>
      <w:r>
        <w:rPr>
          <w:rFonts w:eastAsia="Times New Roman" w:cs="Tahoma" w:ascii="Tahoma" w:hAnsi="Tahoma"/>
          <w:kern w:val="2"/>
          <w:shd w:fill="auto" w:val="clear"/>
          <w:lang w:eastAsia="fr-FR"/>
        </w:rPr>
        <w:t>Mairie</w:t>
      </w:r>
      <w:r>
        <w:rPr>
          <w:shd w:fill="auto" w:val="clear"/>
        </w:rPr>
        <w:t xml:space="preserve"> de Marseille agit en tant que coordonnateur du groupement de commande qu’elle a formé avec la Métropole Aix Marseille Provence.</w:t>
      </w:r>
    </w:p>
    <w:p>
      <w:pPr>
        <w:pStyle w:val="Normal"/>
        <w:spacing w:lineRule="atLeast" w:line="57" w:before="102" w:after="0"/>
        <w:ind w:left="0" w:right="0" w:hanging="0"/>
        <w:jc w:val="both"/>
        <w:rPr>
          <w:highlight w:val="none"/>
          <w:shd w:fill="auto" w:val="clear"/>
        </w:rPr>
      </w:pPr>
      <w:r>
        <w:rPr>
          <w:rFonts w:eastAsia="Arial" w:cs="Arial"/>
          <w:b/>
          <w:bCs/>
          <w:color w:val="00000A"/>
          <w:sz w:val="20"/>
          <w:shd w:fill="auto" w:val="clear"/>
        </w:rPr>
        <w:t>A compter de la notification du contrat au titulaire</w:t>
      </w:r>
      <w:r>
        <w:rPr>
          <w:rFonts w:eastAsia="Arial" w:cs="Arial"/>
          <w:color w:val="00000A"/>
          <w:sz w:val="20"/>
          <w:shd w:fill="auto" w:val="clear"/>
        </w:rPr>
        <w:t xml:space="preserve"> par la </w:t>
      </w:r>
      <w:r>
        <w:rPr>
          <w:rFonts w:eastAsia="Times New Roman" w:cs="Tahoma" w:ascii="Tahoma" w:hAnsi="Tahoma"/>
          <w:color w:val="00000A"/>
          <w:kern w:val="2"/>
          <w:sz w:val="20"/>
          <w:shd w:fill="auto" w:val="clear"/>
          <w:lang w:eastAsia="fr-FR"/>
        </w:rPr>
        <w:t xml:space="preserve">Mairie </w:t>
      </w:r>
      <w:r>
        <w:rPr>
          <w:rFonts w:eastAsia="Arial" w:cs="Arial"/>
          <w:color w:val="00000A"/>
          <w:sz w:val="20"/>
          <w:shd w:fill="auto" w:val="clear"/>
        </w:rPr>
        <w:t xml:space="preserve">de Marseille, </w:t>
      </w:r>
      <w:r>
        <w:rPr>
          <w:rFonts w:eastAsia="Arial" w:cs="Arial"/>
          <w:b/>
          <w:bCs/>
          <w:color w:val="00000A"/>
          <w:sz w:val="20"/>
          <w:shd w:fill="auto" w:val="clear"/>
        </w:rPr>
        <w:t xml:space="preserve">la Métropole et la </w:t>
      </w:r>
      <w:r>
        <w:rPr>
          <w:rFonts w:eastAsia="Times New Roman" w:cs="Tahoma" w:ascii="Tahoma" w:hAnsi="Tahoma"/>
          <w:b/>
          <w:bCs/>
          <w:color w:val="00000A"/>
          <w:kern w:val="2"/>
          <w:sz w:val="20"/>
          <w:shd w:fill="auto" w:val="clear"/>
          <w:lang w:eastAsia="fr-FR"/>
        </w:rPr>
        <w:t>Mairie</w:t>
      </w:r>
      <w:r>
        <w:rPr>
          <w:rFonts w:eastAsia="Arial" w:cs="Arial"/>
          <w:b/>
          <w:bCs/>
          <w:color w:val="00000A"/>
          <w:sz w:val="20"/>
          <w:shd w:fill="auto" w:val="clear"/>
        </w:rPr>
        <w:t xml:space="preserve"> de Marseille assurent de façon autonome, l’exécution juridique, technique et financière du contrat pour la part des prestations les concernan</w:t>
      </w:r>
      <w:r>
        <w:rPr>
          <w:rFonts w:eastAsia="Arial" w:cs="Arial"/>
          <w:color w:val="00000A"/>
          <w:sz w:val="20"/>
          <w:shd w:fill="auto" w:val="clear"/>
        </w:rPr>
        <w:t>t.</w:t>
      </w:r>
    </w:p>
    <w:p>
      <w:pPr>
        <w:pStyle w:val="Normal"/>
        <w:rPr>
          <w:highlight w:val="none"/>
          <w:shd w:fill="auto" w:val="clear"/>
        </w:rPr>
      </w:pPr>
      <w:r>
        <w:rPr>
          <w:shd w:fill="auto" w:val="clear"/>
        </w:rPr>
      </w:r>
    </w:p>
    <w:p>
      <w:pPr>
        <w:pStyle w:val="Normal"/>
        <w:rPr>
          <w:highlight w:val="none"/>
          <w:shd w:fill="auto" w:val="clear"/>
        </w:rPr>
      </w:pPr>
      <w:r>
        <w:rPr>
          <w:rFonts w:eastAsia="Times New Roman" w:cs="Tahoma" w:ascii="Tahoma" w:hAnsi="Tahoma"/>
          <w:b/>
          <w:bCs/>
          <w:kern w:val="2"/>
          <w:shd w:fill="auto" w:val="clear"/>
          <w:lang w:eastAsia="fr-FR"/>
        </w:rPr>
        <w:t>Mairie</w:t>
      </w:r>
      <w:r>
        <w:rPr>
          <w:b/>
          <w:bCs/>
          <w:shd w:fill="auto" w:val="clear"/>
        </w:rPr>
        <w:t xml:space="preserve"> de Marseille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Hôtel de Ville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Quai du Port</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13233 Marseille Cedex 20</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Profil acheteur : marchespublics.mairie-marseille.fr</w:t>
      </w:r>
    </w:p>
    <w:p>
      <w:pPr>
        <w:pStyle w:val="Normal"/>
        <w:spacing w:before="120" w:after="0"/>
        <w:rPr/>
      </w:pPr>
      <w:r>
        <w:rPr>
          <w:rFonts w:eastAsia="arial" w:cs="arial" w:ascii="arial" w:hAnsi="arial"/>
          <w:b w:val="false"/>
          <w:i w:val="false"/>
          <w:color w:val="000000"/>
          <w:sz w:val="20"/>
          <w:u w:val="none"/>
          <w:shd w:fill="auto" w:val="clear"/>
        </w:rPr>
        <w:t xml:space="preserve">Adresse Internet : </w:t>
      </w:r>
      <w:hyperlink r:id="rId3" w:tgtFrame="http://www.marseille.fr">
        <w:r>
          <w:rPr>
            <w:rStyle w:val="LienInternet"/>
            <w:rFonts w:eastAsia="arial" w:cs="arial" w:ascii="arial" w:hAnsi="arial"/>
            <w:b w:val="false"/>
            <w:i w:val="false"/>
            <w:sz w:val="20"/>
            <w:shd w:fill="auto" w:val="clear"/>
          </w:rPr>
          <w:t>www.marseille.fr</w:t>
        </w:r>
      </w:hyperlink>
    </w:p>
    <w:p>
      <w:pPr>
        <w:pStyle w:val="Normal"/>
        <w:spacing w:before="120" w:after="0"/>
        <w:rPr/>
      </w:pPr>
      <w:r>
        <w:rPr/>
      </w:r>
    </w:p>
    <w:p>
      <w:pPr>
        <w:pStyle w:val="Normal"/>
        <w:spacing w:before="120" w:after="0"/>
        <w:rPr>
          <w:b/>
          <w:b/>
          <w:bCs/>
        </w:rPr>
      </w:pPr>
      <w:r>
        <w:rPr>
          <w:b/>
          <w:bCs/>
        </w:rPr>
        <w:t xml:space="preserve">Métropole Aix Marseille Métropole </w:t>
      </w:r>
    </w:p>
    <w:p>
      <w:pPr>
        <w:pStyle w:val="Normal"/>
        <w:spacing w:before="120" w:after="0"/>
        <w:rPr/>
      </w:pPr>
      <w:r>
        <w:rPr/>
        <w:t>Le Pharo</w:t>
      </w:r>
    </w:p>
    <w:p>
      <w:pPr>
        <w:pStyle w:val="Normal"/>
        <w:spacing w:before="120" w:after="0"/>
        <w:rPr/>
      </w:pPr>
      <w:r>
        <w:rPr/>
        <w:t>58, bd Charles Livon</w:t>
      </w:r>
    </w:p>
    <w:p>
      <w:pPr>
        <w:pStyle w:val="Normal"/>
        <w:spacing w:before="120" w:after="0"/>
        <w:rPr/>
      </w:pPr>
      <w:r>
        <w:rPr/>
        <w:t>13007 Marseille</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9" w:name="__RefHeading___Toc2016_402348459"/>
      <w:bookmarkStart w:id="10" w:name="_Toc3543"/>
      <w:bookmarkEnd w:id="9"/>
      <w:r>
        <w:rPr/>
        <w:t>Procédure</w:t>
      </w:r>
      <w:bookmarkEnd w:id="10"/>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La procédure de passation est la suivante : APPEL D'OFFRES OUVERT - selon les articles suivants :  articles R2124-2, R2161-2 à 5 du Code de la commande publique.</w:t>
      </w:r>
    </w:p>
    <w:p>
      <w:pPr>
        <w:pStyle w:val="Titre1"/>
        <w:keepNext w:val="true"/>
        <w:widowControl w:val="false"/>
        <w:numPr>
          <w:ilvl w:val="0"/>
          <w:numId w:val="2"/>
        </w:numPr>
        <w:suppressAutoHyphens w:val="true"/>
        <w:overflowPunct w:val="true"/>
        <w:bidi w:val="0"/>
        <w:spacing w:before="360" w:after="0"/>
        <w:ind w:left="0" w:right="0" w:firstLine="57"/>
        <w:jc w:val="left"/>
        <w:rPr/>
      </w:pPr>
      <w:bookmarkStart w:id="11" w:name="__RefHeading___Toc2018_402348459"/>
      <w:bookmarkStart w:id="12" w:name="_Toc3544"/>
      <w:bookmarkEnd w:id="11"/>
      <w:r>
        <w:rPr/>
        <w:t>CARACTERISTIQUES DE LA CONSULTATION</w:t>
      </w:r>
      <w:bookmarkEnd w:id="12"/>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13" w:name="__RefHeading___Toc2020_402348459"/>
      <w:bookmarkStart w:id="14" w:name="_Toc3545"/>
      <w:bookmarkEnd w:id="13"/>
      <w:r>
        <w:rPr/>
        <w:t>Décomposition en lots, tranches et postes</w:t>
      </w:r>
      <w:bookmarkEnd w:id="14"/>
    </w:p>
    <w:p>
      <w:pPr>
        <w:pStyle w:val="Titre3"/>
        <w:keepNext w:val="true"/>
        <w:widowControl w:val="false"/>
        <w:numPr>
          <w:ilvl w:val="2"/>
          <w:numId w:val="2"/>
        </w:numPr>
        <w:suppressAutoHyphens w:val="true"/>
        <w:overflowPunct w:val="true"/>
        <w:bidi w:val="0"/>
        <w:spacing w:before="240" w:after="0"/>
        <w:ind w:left="1134" w:right="0" w:hanging="0"/>
        <w:jc w:val="left"/>
        <w:rPr/>
      </w:pPr>
      <w:bookmarkStart w:id="15" w:name="__RefHeading___Toc2022_402348459"/>
      <w:bookmarkStart w:id="16" w:name="_Toc3546"/>
      <w:bookmarkEnd w:id="15"/>
      <w:r>
        <w:rPr/>
        <w:t>Décomposition en lots</w:t>
      </w:r>
      <w:bookmarkEnd w:id="16"/>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L'ensemble des prestations fait l'objet d'un marché unique.</w:t>
      </w:r>
    </w:p>
    <w:p>
      <w:pPr>
        <w:pStyle w:val="Titre3"/>
        <w:keepNext w:val="true"/>
        <w:widowControl w:val="false"/>
        <w:numPr>
          <w:ilvl w:val="2"/>
          <w:numId w:val="2"/>
        </w:numPr>
        <w:suppressAutoHyphens w:val="true"/>
        <w:overflowPunct w:val="true"/>
        <w:bidi w:val="0"/>
        <w:spacing w:before="240" w:after="0"/>
        <w:ind w:left="1077" w:right="0" w:hanging="0"/>
        <w:jc w:val="left"/>
        <w:rPr/>
      </w:pPr>
      <w:bookmarkStart w:id="17" w:name="__RefHeading___Toc2024_402348459"/>
      <w:bookmarkStart w:id="18" w:name="_Toc3547"/>
      <w:bookmarkEnd w:id="17"/>
      <w:r>
        <w:rPr/>
        <w:t>Décomposition en tranches</w:t>
      </w:r>
      <w:bookmarkEnd w:id="18"/>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L'ensemble des prestations n'est pas subdivisé en tranches.</w:t>
      </w:r>
    </w:p>
    <w:p>
      <w:pPr>
        <w:pStyle w:val="Titre3"/>
        <w:keepNext w:val="true"/>
        <w:widowControl w:val="false"/>
        <w:numPr>
          <w:ilvl w:val="2"/>
          <w:numId w:val="2"/>
        </w:numPr>
        <w:suppressAutoHyphens w:val="true"/>
        <w:overflowPunct w:val="true"/>
        <w:bidi w:val="0"/>
        <w:spacing w:before="240" w:after="0"/>
        <w:ind w:left="1134" w:right="0" w:hanging="0"/>
        <w:jc w:val="left"/>
        <w:rPr/>
      </w:pPr>
      <w:bookmarkStart w:id="19" w:name="__RefHeading___Toc2026_402348459"/>
      <w:bookmarkStart w:id="20" w:name="_Toc3548"/>
      <w:bookmarkEnd w:id="19"/>
      <w:r>
        <w:rPr/>
        <w:t>Décomposition en postes</w:t>
      </w:r>
      <w:bookmarkEnd w:id="20"/>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L'ensemble des prestations n'est pas subdivisé en postes.</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21" w:name="__RefHeading___Toc2028_402348459"/>
      <w:bookmarkStart w:id="22" w:name="_Toc3549"/>
      <w:bookmarkEnd w:id="21"/>
      <w:r>
        <w:rPr/>
        <w:t>Accord-cadre à bons de commande</w:t>
      </w:r>
      <w:bookmarkEnd w:id="22"/>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auto" w:val="clear"/>
        </w:rPr>
        <w:t>Le marché est un accord-cadre exécuté par l'émission de bons de commande, en application des articles R2162-1 à 6 et R2162-13 et 14 du Code de la commande publique.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volume suivant des prestations est donné</w:t>
      </w:r>
      <w:r>
        <w:rPr>
          <w:rFonts w:eastAsia="arial" w:cs="arial" w:ascii="arial" w:hAnsi="arial"/>
          <w:b/>
          <w:i w:val="false"/>
          <w:color w:val="000000"/>
          <w:sz w:val="20"/>
          <w:u w:val="none"/>
          <w:shd w:fill="auto" w:val="clear"/>
        </w:rPr>
        <w:t xml:space="preserve"> pour toute la durée du marché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Les bons de commandes seront émis dans les conditions et limites suivantes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xml:space="preserve">Les valeurs données ci-après sont données </w:t>
      </w:r>
      <w:r>
        <w:rPr>
          <w:rFonts w:eastAsia="Arial" w:cs="Arial"/>
          <w:b/>
          <w:color w:val="000000"/>
          <w:sz w:val="20"/>
          <w:shd w:fill="auto" w:val="clear"/>
        </w:rPr>
        <w:t>sur toute la durée du marché (4 ans) :</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minimum :   </w:t>
      </w:r>
      <w:r>
        <w:rPr>
          <w:rFonts w:eastAsia="Arial" w:cs="Arial"/>
          <w:color w:val="000000"/>
          <w:sz w:val="20"/>
          <w:szCs w:val="20"/>
          <w:shd w:fill="auto" w:val="clear"/>
        </w:rPr>
        <w:t>26 800 000,00</w:t>
      </w:r>
      <w:r>
        <w:rPr>
          <w:rFonts w:eastAsia="Arial" w:cs="Arial"/>
          <w:color w:val="00000A"/>
          <w:sz w:val="20"/>
          <w:shd w:fill="auto" w:val="clear"/>
        </w:rPr>
        <w:t>€ HT</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maximum :  </w:t>
      </w:r>
      <w:r>
        <w:rPr>
          <w:rFonts w:eastAsia="Arial" w:cs="Arial"/>
          <w:b w:val="false"/>
          <w:bCs w:val="false"/>
          <w:color w:val="000000"/>
          <w:sz w:val="20"/>
          <w:szCs w:val="20"/>
          <w:u w:val="none"/>
          <w:shd w:fill="auto" w:val="clear"/>
        </w:rPr>
        <w:t>83 200 000,</w:t>
      </w:r>
      <w:r>
        <w:rPr>
          <w:rFonts w:eastAsia="Arial" w:cs="Arial"/>
          <w:color w:val="00000A"/>
          <w:sz w:val="20"/>
          <w:shd w:fill="auto" w:val="clear"/>
        </w:rPr>
        <w:t>00 € HT</w:t>
      </w:r>
    </w:p>
    <w:p>
      <w:pPr>
        <w:pStyle w:val="Normal"/>
        <w:spacing w:lineRule="atLeast" w:line="57" w:before="119" w:after="0"/>
        <w:ind w:left="0" w:right="0" w:hanging="0"/>
        <w:jc w:val="both"/>
        <w:rPr>
          <w:highlight w:val="none"/>
          <w:shd w:fill="auto" w:val="clear"/>
        </w:rPr>
      </w:pPr>
      <w:r>
        <w:rPr>
          <w:shd w:fill="auto" w:val="clear"/>
        </w:rPr>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La répartition du marché entre la </w:t>
      </w:r>
      <w:r>
        <w:rPr>
          <w:rFonts w:eastAsia="Times New Roman" w:cs="Tahoma" w:ascii="Tahoma" w:hAnsi="Tahoma"/>
          <w:color w:val="00000A"/>
          <w:kern w:val="2"/>
          <w:sz w:val="20"/>
          <w:shd w:fill="auto" w:val="clear"/>
          <w:lang w:eastAsia="fr-FR"/>
        </w:rPr>
        <w:t>Mairie</w:t>
      </w:r>
      <w:r>
        <w:rPr>
          <w:rFonts w:eastAsia="Arial" w:cs="Arial"/>
          <w:color w:val="00000A"/>
          <w:sz w:val="20"/>
          <w:shd w:fill="auto" w:val="clear"/>
        </w:rPr>
        <w:t xml:space="preserve"> et la Métropole s’établit comme suit sur la durée du marché :</w:t>
      </w:r>
    </w:p>
    <w:p>
      <w:pPr>
        <w:pStyle w:val="Normal"/>
        <w:spacing w:lineRule="atLeast" w:line="57" w:before="119" w:after="0"/>
        <w:ind w:left="0" w:right="0" w:hanging="0"/>
        <w:jc w:val="both"/>
        <w:rPr>
          <w:highlight w:val="none"/>
          <w:shd w:fill="auto" w:val="clear"/>
        </w:rPr>
      </w:pPr>
      <w:r>
        <w:rPr>
          <w:rFonts w:eastAsia="Arial" w:cs="Arial"/>
          <w:b/>
          <w:color w:val="00000A"/>
          <w:sz w:val="20"/>
          <w:shd w:fill="auto" w:val="clear"/>
        </w:rPr>
        <w:t xml:space="preserve">Pour la </w:t>
      </w:r>
      <w:r>
        <w:rPr>
          <w:rFonts w:eastAsia="Times New Roman" w:cs="Tahoma" w:ascii="Tahoma" w:hAnsi="Tahoma"/>
          <w:b/>
          <w:color w:val="00000A"/>
          <w:kern w:val="2"/>
          <w:sz w:val="20"/>
          <w:shd w:fill="auto" w:val="clear"/>
          <w:lang w:eastAsia="fr-FR"/>
        </w:rPr>
        <w:t>Mairie</w:t>
      </w:r>
      <w:r>
        <w:rPr>
          <w:rFonts w:eastAsia="Arial" w:cs="Arial"/>
          <w:b/>
          <w:color w:val="00000A"/>
          <w:sz w:val="20"/>
          <w:shd w:fill="auto" w:val="clear"/>
        </w:rPr>
        <w:t xml:space="preserve"> de Marseille, sur les 4 ans du marché :</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minimum  :    </w:t>
      </w:r>
      <w:r>
        <w:rPr>
          <w:rFonts w:eastAsia="Arial" w:cs="Arial"/>
          <w:color w:val="000000"/>
          <w:sz w:val="20"/>
          <w:szCs w:val="20"/>
          <w:shd w:fill="auto" w:val="clear"/>
        </w:rPr>
        <w:t>2 800 000,00</w:t>
      </w:r>
      <w:r>
        <w:rPr>
          <w:rFonts w:eastAsia="Arial" w:cs="Arial"/>
          <w:color w:val="00000A"/>
          <w:sz w:val="20"/>
          <w:shd w:fill="auto" w:val="clear"/>
        </w:rPr>
        <w:t xml:space="preserve"> € HT</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maximum  : </w:t>
      </w:r>
      <w:r>
        <w:rPr>
          <w:rFonts w:eastAsia="Arial" w:cs="Arial"/>
          <w:b w:val="false"/>
          <w:bCs w:val="false"/>
          <w:color w:val="000000"/>
          <w:sz w:val="20"/>
          <w:szCs w:val="20"/>
          <w:u w:val="none"/>
          <w:shd w:fill="auto" w:val="clear"/>
        </w:rPr>
        <w:t>11 200 000,00</w:t>
      </w:r>
      <w:r>
        <w:rPr>
          <w:rFonts w:eastAsia="Arial" w:cs="Arial"/>
          <w:color w:val="00000A"/>
          <w:sz w:val="20"/>
          <w:shd w:fill="auto" w:val="clear"/>
        </w:rPr>
        <w:t xml:space="preserve"> € HT</w:t>
      </w:r>
    </w:p>
    <w:p>
      <w:pPr>
        <w:pStyle w:val="Normal"/>
        <w:spacing w:lineRule="atLeast" w:line="57" w:before="119" w:after="0"/>
        <w:ind w:left="0" w:right="0" w:hanging="0"/>
        <w:jc w:val="both"/>
        <w:rPr>
          <w:highlight w:val="none"/>
          <w:shd w:fill="auto" w:val="clear"/>
        </w:rPr>
      </w:pPr>
      <w:r>
        <w:rPr>
          <w:shd w:fill="auto" w:val="clear"/>
        </w:rPr>
      </w:r>
    </w:p>
    <w:p>
      <w:pPr>
        <w:pStyle w:val="Normal"/>
        <w:spacing w:lineRule="atLeast" w:line="57" w:before="119" w:after="0"/>
        <w:ind w:left="0" w:right="0" w:hanging="0"/>
        <w:jc w:val="both"/>
        <w:rPr>
          <w:highlight w:val="none"/>
          <w:shd w:fill="auto" w:val="clear"/>
        </w:rPr>
      </w:pPr>
      <w:r>
        <w:rPr>
          <w:rFonts w:eastAsia="Arial" w:cs="Arial"/>
          <w:b/>
          <w:color w:val="00000A"/>
          <w:sz w:val="20"/>
          <w:shd w:fill="auto" w:val="clear"/>
        </w:rPr>
        <w:t>Pour la Métropole Aix Marseille Provence, sur les 4 ans du marché :</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minimum  :    </w:t>
      </w:r>
      <w:r>
        <w:rPr>
          <w:rFonts w:eastAsia="Arial" w:cs="Arial"/>
          <w:color w:val="000000"/>
          <w:sz w:val="20"/>
          <w:szCs w:val="20"/>
          <w:shd w:fill="auto" w:val="clear"/>
        </w:rPr>
        <w:t>24 000 000,00</w:t>
      </w:r>
      <w:r>
        <w:rPr>
          <w:rFonts w:eastAsia="Arial" w:cs="Arial"/>
          <w:color w:val="00000A"/>
          <w:sz w:val="20"/>
          <w:shd w:fill="auto" w:val="clear"/>
        </w:rPr>
        <w:t xml:space="preserve"> € HT</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maximum  :  </w:t>
      </w:r>
      <w:r>
        <w:rPr>
          <w:rFonts w:eastAsia="Arial" w:cs="Arial"/>
          <w:b w:val="false"/>
          <w:bCs w:val="false"/>
          <w:color w:val="000000"/>
          <w:sz w:val="20"/>
          <w:szCs w:val="20"/>
          <w:shd w:fill="auto" w:val="clear"/>
        </w:rPr>
        <w:t xml:space="preserve"> 72 000 000,00</w:t>
      </w:r>
      <w:r>
        <w:rPr>
          <w:rFonts w:eastAsia="Arial" w:cs="Arial"/>
          <w:color w:val="00000A"/>
          <w:sz w:val="20"/>
          <w:shd w:fill="auto" w:val="clear"/>
        </w:rPr>
        <w:t xml:space="preserve"> € HT</w:t>
      </w:r>
    </w:p>
    <w:p>
      <w:pPr>
        <w:pStyle w:val="Normal"/>
        <w:spacing w:lineRule="atLeast" w:line="57" w:before="119" w:after="0"/>
        <w:ind w:left="0" w:right="0" w:hanging="0"/>
        <w:jc w:val="both"/>
        <w:rPr>
          <w:highlight w:val="none"/>
          <w:shd w:fill="auto" w:val="clear"/>
        </w:rPr>
      </w:pPr>
      <w:r>
        <w:rPr>
          <w:shd w:fill="auto" w:val="clear"/>
        </w:rPr>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Pour information, la consommation sur le précédent marché sur sa durée initiale de 6 ans s’établit autour de 42 000 000,00 € HT.</w:t>
      </w:r>
    </w:p>
    <w:p>
      <w:pPr>
        <w:pStyle w:val="Normal"/>
        <w:rPr>
          <w:highlight w:val="none"/>
          <w:shd w:fill="auto" w:val="clear"/>
        </w:rPr>
      </w:pPr>
      <w:r>
        <w:rPr>
          <w:shd w:fill="auto" w:val="clear"/>
        </w:rPr>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23" w:name="__RefHeading___Toc2030_402348459"/>
      <w:bookmarkStart w:id="24" w:name="_Toc3550"/>
      <w:bookmarkEnd w:id="23"/>
      <w:r>
        <w:rPr/>
        <w:t>Durée</w:t>
      </w:r>
      <w:bookmarkEnd w:id="24"/>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La durée du marché est de </w:t>
      </w:r>
      <w:r>
        <w:rPr>
          <w:rFonts w:eastAsia="arial" w:cs="arial" w:ascii="arial" w:hAnsi="arial"/>
          <w:b/>
          <w:bCs/>
          <w:i w:val="false"/>
          <w:color w:val="000000"/>
          <w:sz w:val="20"/>
          <w:u w:val="none"/>
          <w:shd w:fill="auto" w:val="clear"/>
        </w:rPr>
        <w:t>4 ans</w:t>
      </w:r>
      <w:r>
        <w:rPr>
          <w:rFonts w:eastAsia="arial" w:cs="arial" w:ascii="arial" w:hAnsi="arial"/>
          <w:b w:val="false"/>
          <w:i w:val="false"/>
          <w:color w:val="000000"/>
          <w:sz w:val="20"/>
          <w:u w:val="none"/>
          <w:shd w:fill="auto" w:val="clear"/>
        </w:rPr>
        <w:t xml:space="preserve"> à compter de la notification du marché et court jusqu’à la fin de la garantie de parfait achèvement (GPA).</w:t>
      </w:r>
    </w:p>
    <w:p>
      <w:pPr>
        <w:pStyle w:val="Normal"/>
        <w:rPr>
          <w:highlight w:val="none"/>
          <w:shd w:fill="auto" w:val="clear"/>
        </w:rPr>
      </w:pPr>
      <w:r>
        <w:rPr>
          <w:rFonts w:eastAsia="arial" w:cs="arial" w:ascii="arial" w:hAnsi="arial"/>
          <w:b w:val="false"/>
          <w:i w:val="false"/>
          <w:color w:val="000000"/>
          <w:sz w:val="20"/>
          <w:u w:val="none"/>
          <w:shd w:fill="auto" w:val="clear"/>
        </w:rPr>
        <w:t>Les bons de commande émis en fin de marché ne pourront voir leur exécution se prolonger de plus de</w:t>
      </w:r>
      <w:r>
        <w:rPr>
          <w:rFonts w:eastAsia="arial" w:cs="arial" w:ascii="arial" w:hAnsi="arial"/>
          <w:b/>
          <w:i w:val="false"/>
          <w:color w:val="000000"/>
          <w:sz w:val="20"/>
          <w:u w:val="none"/>
          <w:shd w:fill="auto" w:val="clear"/>
        </w:rPr>
        <w:t xml:space="preserve"> 3</w:t>
      </w:r>
      <w:r>
        <w:rPr>
          <w:rFonts w:eastAsia="arial" w:cs="arial" w:ascii="arial" w:hAnsi="arial"/>
          <w:b w:val="false"/>
          <w:i w:val="false"/>
          <w:color w:val="000000"/>
          <w:sz w:val="20"/>
          <w:u w:val="none"/>
          <w:shd w:fill="auto" w:val="clear"/>
        </w:rPr>
        <w:t xml:space="preserve"> mois après la date d'expiration du marché.</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Les bons de commandes pourront être émis jusqu'au dernier jour de la période de validité du marché.</w:t>
      </w:r>
    </w:p>
    <w:p>
      <w:pPr>
        <w:pStyle w:val="Titre2"/>
        <w:keepNext w:val="true"/>
        <w:widowControl w:val="false"/>
        <w:numPr>
          <w:ilvl w:val="1"/>
          <w:numId w:val="2"/>
        </w:numPr>
        <w:suppressAutoHyphens w:val="true"/>
        <w:overflowPunct w:val="true"/>
        <w:bidi w:val="0"/>
        <w:spacing w:before="240" w:after="240"/>
        <w:ind w:left="567" w:right="0" w:hanging="0"/>
        <w:jc w:val="left"/>
        <w:rPr>
          <w:highlight w:val="none"/>
          <w:shd w:fill="auto" w:val="clear"/>
        </w:rPr>
      </w:pPr>
      <w:bookmarkStart w:id="25" w:name="__RefHeading___Toc2032_402348459"/>
      <w:bookmarkStart w:id="26" w:name="_Toc3551"/>
      <w:bookmarkEnd w:id="25"/>
      <w:r>
        <w:rPr>
          <w:shd w:fill="auto" w:val="clear"/>
        </w:rPr>
        <w:t>P</w:t>
      </w:r>
      <w:bookmarkEnd w:id="26"/>
      <w:r>
        <w:rPr>
          <w:shd w:fill="auto" w:val="clear"/>
        </w:rPr>
        <w:t>restations supplémentaires éventuelles (PSE)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présente consultation n'impose pas de prestations supplémentaires éventuelles.</w:t>
      </w:r>
    </w:p>
    <w:p>
      <w:pPr>
        <w:pStyle w:val="Titre2"/>
        <w:keepNext w:val="true"/>
        <w:widowControl w:val="false"/>
        <w:numPr>
          <w:ilvl w:val="1"/>
          <w:numId w:val="2"/>
        </w:numPr>
        <w:suppressAutoHyphens w:val="true"/>
        <w:overflowPunct w:val="true"/>
        <w:bidi w:val="0"/>
        <w:spacing w:before="240" w:after="240"/>
        <w:ind w:left="567" w:right="0" w:hanging="0"/>
        <w:jc w:val="left"/>
        <w:rPr>
          <w:highlight w:val="none"/>
          <w:shd w:fill="auto" w:val="clear"/>
        </w:rPr>
      </w:pPr>
      <w:bookmarkStart w:id="27" w:name="__RefHeading___Toc2032_4023484591"/>
      <w:bookmarkStart w:id="28" w:name="_Toc35511"/>
      <w:bookmarkEnd w:id="27"/>
      <w:r>
        <w:rPr>
          <w:shd w:fill="auto" w:val="clear"/>
        </w:rPr>
        <w:t>P</w:t>
      </w:r>
      <w:bookmarkEnd w:id="28"/>
      <w:r>
        <w:rPr>
          <w:shd w:fill="auto" w:val="clear"/>
        </w:rPr>
        <w:t>restations similaires</w:t>
      </w:r>
    </w:p>
    <w:p>
      <w:pPr>
        <w:pStyle w:val="Normal"/>
        <w:widowControl w:val="false"/>
        <w:numPr>
          <w:ilvl w:val="0"/>
          <w:numId w:val="0"/>
        </w:numPr>
        <w:suppressAutoHyphens w:val="true"/>
        <w:overflowPunct w:val="true"/>
        <w:bidi w:val="0"/>
        <w:spacing w:before="240" w:after="240"/>
        <w:ind w:left="0" w:right="0" w:hanging="0"/>
        <w:jc w:val="both"/>
        <w:rPr>
          <w:highlight w:val="none"/>
          <w:shd w:fill="auto" w:val="clear"/>
        </w:rPr>
      </w:pPr>
      <w:r>
        <w:rPr>
          <w:b w:val="false"/>
          <w:i w:val="false"/>
          <w:color w:val="000000"/>
          <w:u w:val="none"/>
          <w:shd w:fill="auto" w:val="clear"/>
        </w:rPr>
        <w:t>Conformément à l'article R2122-7 du Code de la commande publique, le pouvoir adjudicateur se réserve la possibilité de conclure ultérieurement, avec le titulaire du marché, un marché ayant pour objet la réalisation de prestations similaires à celles confiées au titulaire dans le cadre de la présente consultation.</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29" w:name="__RefHeading___Toc2034_402348459"/>
      <w:bookmarkStart w:id="30" w:name="_Toc3552"/>
      <w:bookmarkEnd w:id="29"/>
      <w:r>
        <w:rPr/>
        <w:t>Clause obligatoire d'insertion par l'activité économique</w:t>
      </w:r>
      <w:bookmarkEnd w:id="30"/>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 marché ne prévoit pas la mise en place d'une clause obligatoire d'insertion par l'activité économique.</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31" w:name="__RefHeading___Toc2036_402348459"/>
      <w:bookmarkStart w:id="32" w:name="_Toc3553"/>
      <w:bookmarkEnd w:id="31"/>
      <w:r>
        <w:rPr/>
        <w:t>Groupements d'opérateurs économiques</w:t>
      </w:r>
      <w:bookmarkEnd w:id="32"/>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Les opérateurs économiques peuvent se porter candidats individuellement ou sous forme de groupement solidaire ou de groupement conjoint.</w:t>
      </w:r>
    </w:p>
    <w:p>
      <w:pPr>
        <w:pStyle w:val="Normal"/>
        <w:spacing w:before="120" w:after="0"/>
        <w:rPr/>
      </w:pPr>
      <w:r>
        <w:rPr/>
      </w:r>
    </w:p>
    <w:p>
      <w:pPr>
        <w:pStyle w:val="Normal"/>
        <w:spacing w:before="120" w:after="0"/>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t>I</w:t>
      </w:r>
      <w:r>
        <w:rPr>
          <w:rFonts w:eastAsia="arial" w:cs="arial" w:ascii="arial" w:hAnsi="arial"/>
          <w:b w:val="false"/>
          <w:i w:val="false"/>
          <w:color w:val="000000"/>
          <w:sz w:val="20"/>
          <w:u w:val="none"/>
          <w:shd w:fill="auto" w:val="clear"/>
        </w:rPr>
        <w:t xml:space="preserve">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before="120" w:after="0"/>
        <w:rPr>
          <w:rFonts w:ascii="arial" w:hAnsi="arial" w:eastAsia="arial" w:cs="arial"/>
          <w:b w:val="false"/>
          <w:b w:val="false"/>
          <w:i w:val="false"/>
          <w:i w:val="false"/>
          <w:color w:val="000000"/>
          <w:sz w:val="20"/>
          <w:u w:val="single"/>
          <w:shd w:fill="auto" w:val="clear"/>
        </w:rPr>
      </w:pPr>
      <w:r>
        <w:rPr>
          <w:rFonts w:eastAsia="arial" w:cs="arial" w:ascii="arial" w:hAnsi="arial"/>
          <w:b w:val="false"/>
          <w:i w:val="false"/>
          <w:color w:val="000000"/>
          <w:sz w:val="20"/>
          <w:u w:val="single"/>
          <w:shd w:fill="auto" w:val="clear"/>
        </w:rPr>
        <w:t>Forme juridique que devra revêtir le groupement attributaire :</w:t>
      </w:r>
    </w:p>
    <w:p>
      <w:pPr>
        <w:pStyle w:val="Normal"/>
        <w:rPr>
          <w:shd w:fill="auto" w:val="clear"/>
        </w:rPr>
      </w:pPr>
      <w:r>
        <w:rPr>
          <w:rFonts w:eastAsia="arial" w:cs="arial" w:ascii="arial" w:hAnsi="arial"/>
          <w:b w:val="false"/>
          <w:i w:val="false"/>
          <w:color w:val="000000"/>
          <w:sz w:val="20"/>
          <w:u w:val="none"/>
          <w:shd w:fill="auto" w:val="clear"/>
        </w:rPr>
        <w:t xml:space="preserve">Les candidats sont informés que le marché sera conclu avec un </w:t>
      </w:r>
      <w:r>
        <w:rPr>
          <w:rFonts w:eastAsia="arial" w:cs="arial" w:ascii="arial" w:hAnsi="arial"/>
          <w:b/>
          <w:bCs/>
          <w:i w:val="false"/>
          <w:color w:val="000000"/>
          <w:sz w:val="20"/>
          <w:u w:val="none"/>
          <w:shd w:fill="auto" w:val="clear"/>
        </w:rPr>
        <w:t>candidat individuel ou un</w:t>
      </w:r>
      <w:r>
        <w:rPr>
          <w:rFonts w:eastAsia="arial" w:cs="arial" w:ascii="arial" w:hAnsi="arial"/>
          <w:b w:val="false"/>
          <w:i w:val="false"/>
          <w:color w:val="000000"/>
          <w:sz w:val="20"/>
          <w:u w:val="none"/>
          <w:shd w:fill="auto" w:val="clear"/>
        </w:rPr>
        <w:t xml:space="preserve"> </w:t>
      </w:r>
      <w:r>
        <w:rPr>
          <w:rFonts w:eastAsia="arial" w:cs="arial" w:ascii="arial" w:hAnsi="arial"/>
          <w:b/>
          <w:i w:val="false"/>
          <w:color w:val="000000"/>
          <w:sz w:val="20"/>
          <w:u w:val="none"/>
          <w:shd w:fill="auto" w:val="clear"/>
        </w:rPr>
        <w:t>groupement solidaire</w:t>
      </w:r>
      <w:r>
        <w:rPr>
          <w:rFonts w:eastAsia="arial" w:cs="arial" w:ascii="arial" w:hAnsi="arial"/>
          <w:b w:val="false"/>
          <w:i w:val="false"/>
          <w:color w:val="000000"/>
          <w:sz w:val="20"/>
          <w:u w:val="none"/>
          <w:shd w:fill="auto" w:val="clear"/>
        </w:rPr>
        <w:t>. Si les candidats retenus se sont présentés sous la forme d'un groupement conjoint, ils devront obligatoirement modifier la forme de leur groupement dans le cadre d'une mise au point avant la notification du marché.</w:t>
      </w:r>
    </w:p>
    <w:p>
      <w:pPr>
        <w:pStyle w:val="Normal"/>
        <w:rPr>
          <w:shd w:fill="auto" w:val="clear"/>
        </w:rPr>
      </w:pPr>
      <w:r>
        <w:rPr>
          <w:rFonts w:eastAsia="arial" w:cs="arial" w:ascii="arial" w:hAnsi="arial"/>
          <w:b/>
          <w:bCs/>
          <w:i w:val="false"/>
          <w:color w:val="000000"/>
          <w:sz w:val="20"/>
          <w:u w:val="none"/>
          <w:shd w:fill="auto" w:val="clear"/>
        </w:rPr>
        <w:t>L’administration exige que le groupement soit solidaire</w:t>
      </w:r>
      <w:r>
        <w:rPr>
          <w:rFonts w:eastAsia="arial" w:cs="arial" w:ascii="arial" w:hAnsi="arial"/>
          <w:b w:val="false"/>
          <w:i w:val="false"/>
          <w:color w:val="000000"/>
          <w:sz w:val="20"/>
          <w:u w:val="none"/>
          <w:shd w:fill="auto" w:val="clear"/>
        </w:rPr>
        <w:t xml:space="preserve"> en raison de l’étroite imbrication des prestations objet du marché (études, travaux, exploitation de l’éclairage sur l’ensemble du territoire, mais aussi, pose dépose entretien de tous les dispositifs constituant le réseau d’éclairage public). </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33" w:name="__RefHeading___Toc2038_402348459"/>
      <w:bookmarkStart w:id="34" w:name="_Toc3554"/>
      <w:bookmarkEnd w:id="33"/>
      <w:r>
        <w:rPr/>
        <w:t>Conditions relatives au marché</w:t>
      </w:r>
      <w:bookmarkEnd w:id="34"/>
    </w:p>
    <w:p>
      <w:pPr>
        <w:pStyle w:val="Titre3"/>
        <w:keepNext w:val="true"/>
        <w:widowControl w:val="false"/>
        <w:numPr>
          <w:ilvl w:val="2"/>
          <w:numId w:val="2"/>
        </w:numPr>
        <w:suppressAutoHyphens w:val="true"/>
        <w:overflowPunct w:val="true"/>
        <w:bidi w:val="0"/>
        <w:spacing w:before="240" w:after="0"/>
        <w:ind w:left="1134" w:right="0" w:hanging="0"/>
        <w:jc w:val="left"/>
        <w:rPr/>
      </w:pPr>
      <w:bookmarkStart w:id="35" w:name="__RefHeading___Toc2040_402348459"/>
      <w:bookmarkStart w:id="36" w:name="_Toc3555"/>
      <w:bookmarkEnd w:id="35"/>
      <w:r>
        <w:rPr/>
        <w:t>Cautionnement et garanties exigées</w:t>
      </w:r>
      <w:bookmarkEnd w:id="36"/>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Retenue de garantie : 5 % de la valeur du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Garantie autre que les cautionnements et caution : retenue de garantie dans les conditions prévues auxarticles R2191-32 à 42 du Code de la commande publique.</w:t>
      </w:r>
    </w:p>
    <w:p>
      <w:pPr>
        <w:pStyle w:val="Titre3"/>
        <w:keepNext w:val="true"/>
        <w:widowControl w:val="false"/>
        <w:numPr>
          <w:ilvl w:val="2"/>
          <w:numId w:val="2"/>
        </w:numPr>
        <w:suppressAutoHyphens w:val="true"/>
        <w:overflowPunct w:val="true"/>
        <w:bidi w:val="0"/>
        <w:spacing w:before="240" w:after="0"/>
        <w:ind w:left="1191" w:right="0" w:hanging="0"/>
        <w:jc w:val="left"/>
        <w:rPr/>
      </w:pPr>
      <w:bookmarkStart w:id="37" w:name="__RefHeading___Toc2042_402348459"/>
      <w:bookmarkStart w:id="38" w:name="_Toc3556"/>
      <w:bookmarkEnd w:id="37"/>
      <w:r>
        <w:rPr/>
        <w:t>Modalités essentielles de financement et de paiement</w:t>
      </w:r>
      <w:bookmarkEnd w:id="38"/>
    </w:p>
    <w:p>
      <w:pPr>
        <w:pStyle w:val="Normal"/>
        <w:rPr>
          <w:highlight w:val="none"/>
          <w:shd w:fill="auto" w:val="clear"/>
        </w:rPr>
      </w:pPr>
      <w:r>
        <w:rPr>
          <w:rFonts w:eastAsia="arial" w:cs="arial" w:ascii="arial" w:hAnsi="arial"/>
          <w:b w:val="false"/>
          <w:i w:val="false"/>
          <w:color w:val="000000"/>
          <w:sz w:val="20"/>
          <w:u w:val="none"/>
          <w:shd w:fill="auto" w:val="clear"/>
        </w:rPr>
        <w:t>Le marché est financé par ressources budgétaires propres.</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Les règlements seront effectués par virement bancaire dans un délai de 30 jours.</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La référence du compte bancaire où les paiements devront être effectués, doit être précisée dans l'acte d'engagement.</w:t>
      </w:r>
    </w:p>
    <w:p>
      <w:pPr>
        <w:pStyle w:val="Normal"/>
        <w:rPr>
          <w:highlight w:val="none"/>
          <w:shd w:fill="auto" w:val="clear"/>
        </w:rPr>
      </w:pPr>
      <w:r>
        <w:rPr>
          <w:rFonts w:eastAsia="arial" w:cs="arial" w:ascii="arial" w:hAnsi="arial"/>
          <w:b w:val="false"/>
          <w:i w:val="false"/>
          <w:color w:val="000000"/>
          <w:sz w:val="20"/>
          <w:u w:val="none"/>
          <w:shd w:fill="auto" w:val="clear"/>
        </w:rPr>
        <w:t>Le marché est à prix unitaire.</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 marché est conclu à prix révisables.</w:t>
      </w:r>
    </w:p>
    <w:p>
      <w:pPr>
        <w:pStyle w:val="Titre1"/>
        <w:keepNext w:val="true"/>
        <w:widowControl w:val="false"/>
        <w:numPr>
          <w:ilvl w:val="0"/>
          <w:numId w:val="2"/>
        </w:numPr>
        <w:suppressAutoHyphens w:val="true"/>
        <w:overflowPunct w:val="true"/>
        <w:bidi w:val="0"/>
        <w:spacing w:before="360" w:after="0"/>
        <w:ind w:left="0" w:right="0" w:hanging="0"/>
        <w:jc w:val="left"/>
        <w:rPr/>
      </w:pPr>
      <w:bookmarkStart w:id="39" w:name="__RefHeading___Toc2044_402348459"/>
      <w:bookmarkStart w:id="40" w:name="_Toc3557"/>
      <w:bookmarkEnd w:id="39"/>
      <w:r>
        <w:rPr/>
        <w:t>DOSSIER DE CONSULTATION DES ENTREPRISES (DCE)</w:t>
      </w:r>
      <w:bookmarkEnd w:id="40"/>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 Dossier de Consultation des Entreprises (DCE) est remis gratuitement à chaque candidat. Il est disponible à l'adresse électronique suivante : marchespublics.mairie-marseille.fr</w:t>
      </w:r>
    </w:p>
    <w:p>
      <w:pPr>
        <w:pStyle w:val="Normal"/>
        <w:spacing w:before="120" w:after="0"/>
        <w:rPr/>
      </w:pPr>
      <w:r>
        <w:rPr>
          <w:rFonts w:eastAsia="arial" w:cs="arial" w:ascii="arial" w:hAnsi="arial"/>
          <w:b w:val="false"/>
          <w:i w:val="false"/>
          <w:color w:val="000000"/>
          <w:sz w:val="20"/>
          <w:u w:val="none"/>
          <w:shd w:fill="auto" w:val="clear"/>
        </w:rPr>
        <w:t>Il ne sera transmis aucun DCE sur support physique. Le pouvoir adjudicateur se réserve le droit d'apporter des modifications de détail au dossier de consultation au plus tard </w:t>
      </w:r>
      <w:r>
        <w:rPr>
          <w:rFonts w:eastAsia="arial" w:cs="arial" w:ascii="arial" w:hAnsi="arial"/>
          <w:b/>
          <w:i w:val="false"/>
          <w:color w:val="000000"/>
          <w:sz w:val="20"/>
          <w:u w:val="none"/>
          <w:shd w:fill="auto" w:val="clear"/>
        </w:rPr>
        <w:t>7 (sept)</w:t>
      </w:r>
      <w:r>
        <w:rPr>
          <w:rFonts w:eastAsia="arial" w:cs="arial" w:ascii="arial" w:hAnsi="arial"/>
          <w:b w:val="false"/>
          <w:i w:val="false"/>
          <w:color w:val="000000"/>
          <w:sz w:val="20"/>
          <w:u w:val="none"/>
          <w:shd w:fill="auto" w:val="clear"/>
        </w:rPr>
        <w:t xml:space="preserve"> jours avant la date limite de réception des offres.</w:t>
      </w:r>
      <w:r>
        <w:rPr>
          <w:rFonts w:eastAsia="arial" w:cs="arial" w:ascii="arial" w:hAnsi="arial"/>
          <w:b w:val="false"/>
          <w:i w:val="false"/>
          <w:color w:val="000000"/>
          <w:sz w:val="20"/>
          <w:u w:val="none"/>
          <w:shd w:fill="D4EDDA"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 DCE comporte les documents suivants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Règlement de la Consultation (RC)</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l'annexe n°1 au RC relative au Guide de la dématérialisation des marchés publics</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Administratives Particulières (CCAP)</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le Cahier des Clauses Techniques Particulières (CCTP) et ses 6 annexes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l'Acte d'Engagement (AE) - cadre de réponse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l'annexe « Protection des données et Politique de sécurité » à l'Acte d'Engagement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le Bordereau de Prix Unitaires - cadre de réponse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le Détail Quantitatif et Estimatif (DQE) - cadre de réponse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formulaire de lettre de candidature DC1 (établi par le MINEFE, téléchargeable à l'adresse suivante : https://www.economie.gouv.fr/daj/formulaires-marches-publics)</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formulaire de déclaration de candidature DC2 (établi par le MINEFE, téléchargeable à l'adresse suivante : https://www.economie.gouv.fr/daj/formulaires-marches-publics)</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le Mémoire Technique - cadre de réponse</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la liste des matériels spécifiques - cadre de réponse</w:t>
      </w:r>
    </w:p>
    <w:p>
      <w:pPr>
        <w:pStyle w:val="Normal"/>
        <w:rPr>
          <w:highlight w:val="none"/>
          <w:shd w:fill="auto" w:val="clear"/>
        </w:rPr>
      </w:pPr>
      <w:r>
        <w:rPr>
          <w:rFonts w:eastAsia="arial" w:cs="arial" w:ascii="arial" w:hAnsi="arial"/>
          <w:b w:val="false"/>
          <w:i w:val="false"/>
          <w:color w:val="000000"/>
          <w:sz w:val="20"/>
          <w:u w:val="none"/>
          <w:shd w:fill="auto" w:val="clear"/>
        </w:rPr>
        <w:t>- le tableau des caractéristiques techniques des luminaires LED – cadre de réponse</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Le dossier de consultation est intégralement mis en ligne et accessible sur le profil d'acheteur de la </w:t>
      </w:r>
      <w:r>
        <w:rPr>
          <w:rFonts w:eastAsia="Times New Roman" w:cs="Tahoma" w:ascii="Tahoma" w:hAnsi="Tahoma"/>
          <w:b w:val="false"/>
          <w:i w:val="false"/>
          <w:color w:val="000000"/>
          <w:kern w:val="2"/>
          <w:sz w:val="20"/>
          <w:u w:val="none"/>
          <w:shd w:fill="auto" w:val="clear"/>
          <w:lang w:eastAsia="fr-FR"/>
        </w:rPr>
        <w:t>Mairie</w:t>
      </w:r>
      <w:r>
        <w:rPr>
          <w:rFonts w:eastAsia="arial" w:cs="arial" w:ascii="arial" w:hAnsi="arial"/>
          <w:b w:val="false"/>
          <w:i w:val="false"/>
          <w:color w:val="000000"/>
          <w:sz w:val="20"/>
          <w:u w:val="none"/>
          <w:shd w:fill="auto" w:val="clear"/>
        </w:rPr>
        <w:t xml:space="preserve"> de Marseille.</w:t>
      </w:r>
    </w:p>
    <w:p>
      <w:pPr>
        <w:pStyle w:val="Titre1"/>
        <w:keepNext w:val="true"/>
        <w:widowControl w:val="false"/>
        <w:numPr>
          <w:ilvl w:val="0"/>
          <w:numId w:val="2"/>
        </w:numPr>
        <w:suppressAutoHyphens w:val="true"/>
        <w:overflowPunct w:val="true"/>
        <w:bidi w:val="0"/>
        <w:spacing w:before="360" w:after="0"/>
        <w:ind w:left="0" w:right="0" w:hanging="0"/>
        <w:jc w:val="left"/>
        <w:rPr/>
      </w:pPr>
      <w:bookmarkStart w:id="41" w:name="__RefHeading___Toc2046_402348459"/>
      <w:bookmarkStart w:id="42" w:name="_Toc3558"/>
      <w:bookmarkEnd w:id="41"/>
      <w:r>
        <w:rPr/>
        <w:t xml:space="preserve">ELEMENTS EXIGES DU CANDIDAT </w:t>
      </w:r>
      <w:bookmarkEnd w:id="42"/>
    </w:p>
    <w:p>
      <w:pPr>
        <w:pStyle w:val="Normal"/>
        <w:rPr/>
      </w:pPr>
      <w:r>
        <w:rPr>
          <w:rFonts w:eastAsia="arial" w:cs="arial" w:ascii="arial" w:hAnsi="arial"/>
          <w:b w:val="false"/>
          <w:i w:val="false"/>
          <w:color w:val="000000"/>
          <w:sz w:val="20"/>
          <w:u w:val="none"/>
        </w:rPr>
        <w:t>Tous les documents, pièces et attestations remis au titre de la candidature ou de l'offre par le candidat sont établis en langue française et exprimées en EURO. A défaut, ils doivent être accompagnés d'une traduction en langue française.</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43" w:name="__RefHeading___Toc2048_402348459"/>
      <w:bookmarkStart w:id="44" w:name="_Toc3559"/>
      <w:bookmarkEnd w:id="43"/>
      <w:r>
        <w:rPr/>
        <w:t xml:space="preserve">Renseignements et documents demandés à l'appui des candidatures </w:t>
      </w:r>
      <w:bookmarkEnd w:id="44"/>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Pour présenter leur candidature, le(s) candidat(s) peuvent utiliser soit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 les formulaires DC1 (lettre de candidature) et DC2 (déclaration du candidat) dans leur version  à jour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 le DUME (Document Unique de Marché Européen).</w:t>
      </w:r>
    </w:p>
    <w:p>
      <w:pPr>
        <w:pStyle w:val="Normal"/>
        <w:spacing w:before="120" w:after="0"/>
        <w:rPr/>
      </w:pPr>
      <w:r>
        <w:rPr>
          <w:rFonts w:eastAsia="arial" w:cs="arial" w:ascii="arial" w:hAnsi="arial"/>
          <w:b w:val="false"/>
          <w:i w:val="false"/>
          <w:color w:val="000000"/>
          <w:sz w:val="20"/>
          <w:u w:val="none"/>
        </w:rPr>
        <w:t>Les informations concernant ces supports sont détaillées dans l'annexe n°1 au présent RC relative au Guide de la dématérialisation des marchés publics.</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Fonts w:eastAsia="arial" w:cs="arial" w:ascii="arial" w:hAnsi="arial"/>
          <w:b w:val="false"/>
          <w:i w:val="false"/>
          <w:color w:val="000000"/>
          <w:sz w:val="20"/>
          <w:u w:val="none"/>
        </w:rPr>
        <w:t>Chaque candidat doit produire un dossier complet comprenant les pièces décrites ci-après.</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b/>
          <w:i w:val="false"/>
          <w:i w:val="false"/>
          <w:color w:val="000000"/>
          <w:sz w:val="20"/>
          <w:u w:val="single"/>
        </w:rPr>
      </w:pPr>
      <w:r>
        <w:rPr>
          <w:rFonts w:eastAsia="arial" w:cs="arial" w:ascii="arial" w:hAnsi="arial"/>
          <w:b/>
          <w:i w:val="false"/>
          <w:color w:val="000000"/>
          <w:sz w:val="20"/>
          <w:u w:val="single"/>
        </w:rPr>
        <w:t>1° - Renseignements concernant la situation juridique du candidat</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Lettre de candidature (pouvant prendre la forme du DC1)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pPr>
      <w:r>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 cas échéant, en cas de redressement judiciaire, la copie du ou des jugements prononcés à cet effet justifiant que le candidat a bien été habilité à poursuivre son activité pendant la durée prévisible d'exécution du marché.</w:t>
      </w:r>
    </w:p>
    <w:p>
      <w:pPr>
        <w:pStyle w:val="Normal"/>
        <w:spacing w:before="120" w:after="0"/>
        <w:rPr/>
      </w:pPr>
      <w:r>
        <w:rPr/>
      </w:r>
    </w:p>
    <w:p>
      <w:pPr>
        <w:pStyle w:val="Normal"/>
        <w:spacing w:before="120" w:after="0"/>
        <w:rPr>
          <w:rFonts w:ascii="arial" w:hAnsi="arial" w:eastAsia="arial" w:cs="arial"/>
          <w:b/>
          <w:b/>
          <w:i w:val="false"/>
          <w:i w:val="false"/>
          <w:color w:val="000000"/>
          <w:sz w:val="20"/>
          <w:u w:val="single"/>
          <w:shd w:fill="auto" w:val="clear"/>
        </w:rPr>
      </w:pPr>
      <w:r>
        <w:rPr>
          <w:rFonts w:eastAsia="arial" w:cs="arial" w:ascii="arial" w:hAnsi="arial"/>
          <w:b/>
          <w:i w:val="false"/>
          <w:color w:val="000000"/>
          <w:sz w:val="20"/>
          <w:u w:val="single"/>
          <w:shd w:fill="auto" w:val="clear"/>
        </w:rPr>
        <w:t>2° - Renseignements concernant la capacité économique et financière de l'entreprise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Déclaration concernant </w:t>
      </w:r>
      <w:r>
        <w:rPr>
          <w:rFonts w:eastAsia="arial" w:cs="arial" w:ascii="arial" w:hAnsi="arial"/>
          <w:b w:val="false"/>
          <w:i w:val="false"/>
          <w:color w:val="000000"/>
          <w:sz w:val="20"/>
          <w:u w:val="single"/>
          <w:shd w:fill="auto" w:val="clear"/>
        </w:rPr>
        <w:t xml:space="preserve">le chiffre d'affaires global </w:t>
      </w:r>
      <w:r>
        <w:rPr>
          <w:rFonts w:eastAsia="arial" w:cs="arial" w:ascii="arial" w:hAnsi="arial"/>
          <w:b w:val="false"/>
          <w:i w:val="false"/>
          <w:color w:val="000000"/>
          <w:sz w:val="20"/>
          <w:u w:val="none"/>
          <w:shd w:fill="auto" w:val="clear"/>
        </w:rPr>
        <w:t xml:space="preserve">et le </w:t>
      </w:r>
      <w:r>
        <w:rPr>
          <w:rFonts w:eastAsia="arial" w:cs="arial" w:ascii="arial" w:hAnsi="arial"/>
          <w:b w:val="false"/>
          <w:i w:val="false"/>
          <w:color w:val="000000"/>
          <w:sz w:val="20"/>
          <w:u w:val="single"/>
          <w:shd w:fill="auto" w:val="clear"/>
        </w:rPr>
        <w:t>chiffre d'affaires du domaine d'activité</w:t>
      </w:r>
      <w:r>
        <w:rPr>
          <w:rFonts w:eastAsia="arial" w:cs="arial" w:ascii="arial" w:hAnsi="arial"/>
          <w:b w:val="false"/>
          <w:i w:val="false"/>
          <w:color w:val="000000"/>
          <w:sz w:val="20"/>
          <w:u w:val="none"/>
          <w:shd w:fill="auto" w:val="clear"/>
        </w:rPr>
        <w:t xml:space="preserve"> faisant l'objet du marché, réalisés au cours des trois derniers exercices disponibles.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entreprises nouvellement créées ne pouvant produire les chiffres d'affaires des trois derniers exercices devront fournir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une copie certifiée du récépissé de dépôt du centre de formalités des entreprises (pour vérifier la date de création de l'entreprise),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le montant de leur capital social (pour justifier de leurs capacités économiques et financières).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bCs/>
          <w:i w:val="false"/>
          <w:color w:val="000000"/>
          <w:sz w:val="20"/>
          <w:u w:val="none"/>
          <w:shd w:fill="FFFF00" w:val="clear"/>
        </w:rPr>
        <w:t>Les minimums exigés sont indiqués à l’article 6.1 du présent Règlement de consultation</w:t>
      </w:r>
      <w:r>
        <w:rPr>
          <w:rFonts w:eastAsia="arial" w:cs="arial" w:ascii="arial" w:hAnsi="arial"/>
          <w:b/>
          <w:bCs/>
          <w:i w:val="false"/>
          <w:color w:val="000000"/>
          <w:sz w:val="20"/>
          <w:u w:val="none"/>
          <w:shd w:fill="auto" w:val="clear"/>
        </w:rPr>
        <w:t>.</w:t>
      </w:r>
    </w:p>
    <w:p>
      <w:pPr>
        <w:pStyle w:val="Normal"/>
        <w:rPr>
          <w:shd w:fill="auto" w:val="clear"/>
        </w:rPr>
      </w:pPr>
      <w:r>
        <w:rPr>
          <w:shd w:fill="auto" w:val="clear"/>
        </w:rPr>
      </w:r>
    </w:p>
    <w:p>
      <w:pPr>
        <w:pStyle w:val="Normal"/>
        <w:spacing w:before="120" w:after="0"/>
        <w:rPr>
          <w:rFonts w:ascii="arial" w:hAnsi="arial" w:eastAsia="arial" w:cs="arial"/>
          <w:b/>
          <w:b/>
          <w:i w:val="false"/>
          <w:i w:val="false"/>
          <w:color w:val="000000"/>
          <w:sz w:val="20"/>
          <w:highlight w:val="none"/>
          <w:u w:val="single"/>
          <w:shd w:fill="auto" w:val="clear"/>
        </w:rPr>
      </w:pPr>
      <w:r>
        <w:rPr>
          <w:rFonts w:eastAsia="arial" w:cs="arial" w:ascii="arial" w:hAnsi="arial"/>
          <w:b/>
          <w:i w:val="false"/>
          <w:color w:val="000000"/>
          <w:sz w:val="20"/>
          <w:u w:val="single"/>
          <w:shd w:fill="auto" w:val="clear"/>
        </w:rPr>
        <w:t>3° - Renseignements concernant les références professionnelles et la capacité technique du candidat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Présentation d'une </w:t>
      </w:r>
      <w:r>
        <w:rPr>
          <w:rFonts w:eastAsia="arial" w:cs="arial" w:ascii="arial" w:hAnsi="arial"/>
          <w:b w:val="false"/>
          <w:i w:val="false"/>
          <w:color w:val="000000"/>
          <w:sz w:val="20"/>
          <w:u w:val="single"/>
          <w:shd w:fill="auto" w:val="clear"/>
        </w:rPr>
        <w:t>liste de prestations d’exploitation et d’entretien d’éclairage public</w:t>
      </w:r>
      <w:r>
        <w:rPr>
          <w:rFonts w:eastAsia="arial" w:cs="arial" w:ascii="arial" w:hAnsi="arial"/>
          <w:b w:val="false"/>
          <w:i w:val="false"/>
          <w:color w:val="000000"/>
          <w:sz w:val="20"/>
          <w:u w:val="none"/>
          <w:shd w:fill="auto" w:val="clear"/>
        </w:rPr>
        <w:t xml:space="preserve"> au cours des cinq dernières années </w:t>
      </w:r>
      <w:r>
        <w:rPr>
          <w:rFonts w:eastAsia="arial" w:cs="arial" w:ascii="arial" w:hAnsi="arial"/>
          <w:b w:val="false"/>
          <w:i w:val="false"/>
          <w:color w:val="000000"/>
          <w:sz w:val="20"/>
          <w:u w:val="single"/>
          <w:shd w:fill="auto" w:val="clear"/>
        </w:rPr>
        <w:t>assortie d'attestations de bonne exécution</w:t>
      </w:r>
      <w:r>
        <w:rPr>
          <w:rFonts w:eastAsia="arial" w:cs="arial" w:ascii="arial" w:hAnsi="arial"/>
          <w:b w:val="false"/>
          <w:i w:val="false"/>
          <w:color w:val="000000"/>
          <w:sz w:val="20"/>
          <w:u w:val="none"/>
          <w:shd w:fill="auto" w:val="clear"/>
        </w:rPr>
        <w:t xml:space="preserve"> pour les prestations les plus importantes. </w:t>
      </w:r>
      <w:r>
        <w:rPr>
          <w:rFonts w:eastAsia="arial" w:cs="arial" w:ascii="arial" w:hAnsi="arial"/>
          <w:b w:val="false"/>
          <w:bCs w:val="false"/>
          <w:i w:val="false"/>
          <w:color w:val="000000"/>
          <w:sz w:val="20"/>
          <w:u w:val="none"/>
          <w:shd w:fill="auto" w:val="clear"/>
        </w:rPr>
        <w:t xml:space="preserve">Ces attestations indiquent le </w:t>
      </w:r>
      <w:r>
        <w:rPr>
          <w:rFonts w:eastAsia="arial" w:cs="arial" w:ascii="arial" w:hAnsi="arial"/>
          <w:b w:val="false"/>
          <w:bCs w:val="false"/>
          <w:i w:val="false"/>
          <w:color w:val="000000"/>
          <w:sz w:val="20"/>
          <w:u w:val="single"/>
          <w:shd w:fill="auto" w:val="clear"/>
        </w:rPr>
        <w:t>montant, la date et le lieu d'exécutio</w:t>
      </w:r>
      <w:r>
        <w:rPr>
          <w:rFonts w:eastAsia="arial" w:cs="arial" w:ascii="arial" w:hAnsi="arial"/>
          <w:b w:val="false"/>
          <w:bCs w:val="false"/>
          <w:i w:val="false"/>
          <w:color w:val="000000"/>
          <w:sz w:val="20"/>
          <w:u w:val="none"/>
          <w:shd w:fill="auto" w:val="clear"/>
        </w:rPr>
        <w:t>n des   prestations et précisent s'ils ont été effectués s</w:t>
      </w:r>
      <w:r>
        <w:rPr>
          <w:rFonts w:eastAsia="arial" w:cs="arial" w:ascii="arial" w:hAnsi="arial"/>
          <w:b w:val="false"/>
          <w:bCs w:val="false"/>
          <w:i w:val="false"/>
          <w:color w:val="000000"/>
          <w:sz w:val="20"/>
          <w:u w:val="single"/>
          <w:shd w:fill="auto" w:val="clear"/>
        </w:rPr>
        <w:t>elon les règles de l'art et menés régulièrement à bonne fin.</w:t>
      </w:r>
    </w:p>
    <w:p>
      <w:pPr>
        <w:pStyle w:val="Normal"/>
        <w:rPr>
          <w:highlight w:val="none"/>
          <w:shd w:fill="auto" w:val="clear"/>
        </w:rPr>
      </w:pPr>
      <w:r>
        <w:rPr>
          <w:shd w:fill="auto" w:val="clear"/>
        </w:rPr>
      </w:r>
    </w:p>
    <w:p>
      <w:pPr>
        <w:pStyle w:val="Normal"/>
        <w:rPr>
          <w:highlight w:val="none"/>
          <w:shd w:fill="auto" w:val="clear"/>
        </w:rPr>
      </w:pPr>
      <w:r>
        <w:rPr>
          <w:rFonts w:eastAsia="arial" w:cs="arial" w:ascii="arial" w:hAnsi="arial"/>
          <w:b w:val="false"/>
          <w:i w:val="false"/>
          <w:color w:val="000000"/>
          <w:sz w:val="20"/>
          <w:u w:val="none"/>
          <w:shd w:fill="auto" w:val="clear"/>
        </w:rPr>
        <w:t xml:space="preserve">- Présentation d'une </w:t>
      </w:r>
      <w:r>
        <w:rPr>
          <w:rFonts w:eastAsia="arial" w:cs="arial" w:ascii="arial" w:hAnsi="arial"/>
          <w:b w:val="false"/>
          <w:i w:val="false"/>
          <w:color w:val="000000"/>
          <w:sz w:val="20"/>
          <w:u w:val="single"/>
          <w:shd w:fill="auto" w:val="clear"/>
        </w:rPr>
        <w:t>liste de travaux d’éclairage public</w:t>
      </w:r>
      <w:r>
        <w:rPr>
          <w:rFonts w:eastAsia="arial" w:cs="arial" w:ascii="arial" w:hAnsi="arial"/>
          <w:b w:val="false"/>
          <w:i w:val="false"/>
          <w:color w:val="000000"/>
          <w:sz w:val="20"/>
          <w:u w:val="none"/>
          <w:shd w:fill="auto" w:val="clear"/>
        </w:rPr>
        <w:t xml:space="preserve"> au cours des cinq dernières années </w:t>
      </w:r>
      <w:r>
        <w:rPr>
          <w:rFonts w:eastAsia="arial" w:cs="arial" w:ascii="arial" w:hAnsi="arial"/>
          <w:b w:val="false"/>
          <w:i w:val="false"/>
          <w:color w:val="000000"/>
          <w:sz w:val="20"/>
          <w:u w:val="single"/>
          <w:shd w:fill="auto" w:val="clear"/>
        </w:rPr>
        <w:t>assortie d'attestations de bonne exécution</w:t>
      </w:r>
      <w:r>
        <w:rPr>
          <w:rFonts w:eastAsia="arial" w:cs="arial" w:ascii="arial" w:hAnsi="arial"/>
          <w:b w:val="false"/>
          <w:i w:val="false"/>
          <w:color w:val="000000"/>
          <w:sz w:val="20"/>
          <w:u w:val="none"/>
          <w:shd w:fill="auto" w:val="clear"/>
        </w:rPr>
        <w:t xml:space="preserve"> pour les travaux  les plus importants. </w:t>
      </w:r>
      <w:r>
        <w:rPr>
          <w:rFonts w:eastAsia="arial" w:cs="arial" w:ascii="arial" w:hAnsi="arial"/>
          <w:b w:val="false"/>
          <w:bCs w:val="false"/>
          <w:i w:val="false"/>
          <w:color w:val="000000"/>
          <w:sz w:val="20"/>
          <w:u w:val="none"/>
          <w:shd w:fill="auto" w:val="clear"/>
        </w:rPr>
        <w:t xml:space="preserve">Ces attestations indiquent le </w:t>
      </w:r>
      <w:r>
        <w:rPr>
          <w:rFonts w:eastAsia="arial" w:cs="arial" w:ascii="arial" w:hAnsi="arial"/>
          <w:b w:val="false"/>
          <w:bCs w:val="false"/>
          <w:i w:val="false"/>
          <w:color w:val="000000"/>
          <w:sz w:val="20"/>
          <w:u w:val="single"/>
          <w:shd w:fill="auto" w:val="clear"/>
        </w:rPr>
        <w:t>montant, la date et le lieu d'exécutio</w:t>
      </w:r>
      <w:r>
        <w:rPr>
          <w:rFonts w:eastAsia="arial" w:cs="arial" w:ascii="arial" w:hAnsi="arial"/>
          <w:b w:val="false"/>
          <w:bCs w:val="false"/>
          <w:i w:val="false"/>
          <w:color w:val="000000"/>
          <w:sz w:val="20"/>
          <w:u w:val="none"/>
          <w:shd w:fill="auto" w:val="clear"/>
        </w:rPr>
        <w:t>n des travaux précisent s'ils ont été effectués s</w:t>
      </w:r>
      <w:r>
        <w:rPr>
          <w:rFonts w:eastAsia="arial" w:cs="arial" w:ascii="arial" w:hAnsi="arial"/>
          <w:b w:val="false"/>
          <w:bCs w:val="false"/>
          <w:i w:val="false"/>
          <w:color w:val="000000"/>
          <w:sz w:val="20"/>
          <w:u w:val="single"/>
          <w:shd w:fill="auto" w:val="clear"/>
        </w:rPr>
        <w:t>elon les règles de l'art et menés régulièrement à bonne fin</w:t>
      </w:r>
      <w:r>
        <w:rPr>
          <w:rFonts w:eastAsia="arial" w:cs="arial" w:ascii="arial" w:hAnsi="arial"/>
          <w:b w:val="false"/>
          <w:bCs w:val="false"/>
          <w:i w:val="false"/>
          <w:color w:val="000000"/>
          <w:sz w:val="20"/>
          <w:u w:val="none"/>
          <w:shd w:fill="auto" w:val="clear"/>
        </w:rPr>
        <w:t>.</w:t>
      </w:r>
    </w:p>
    <w:p>
      <w:pPr>
        <w:pStyle w:val="Normal"/>
        <w:rPr>
          <w:rFonts w:ascii="arial" w:hAnsi="arial" w:eastAsia="arial" w:cs="arial"/>
          <w:b/>
          <w:b/>
          <w:bCs/>
          <w:i w:val="false"/>
          <w:i w:val="false"/>
          <w:color w:val="000000"/>
          <w:sz w:val="20"/>
          <w:highlight w:val="none"/>
          <w:u w:val="none"/>
          <w:shd w:fill="auto" w:val="clear"/>
        </w:rPr>
      </w:pPr>
      <w:r>
        <w:rPr>
          <w:rFonts w:eastAsia="arial" w:cs="arial" w:ascii="arial" w:hAnsi="arial"/>
          <w:b/>
          <w:bCs/>
          <w:i w:val="false"/>
          <w:color w:val="000000"/>
          <w:sz w:val="20"/>
          <w:u w:val="none"/>
          <w:shd w:fill="auto" w:val="clear"/>
        </w:rPr>
      </w:r>
    </w:p>
    <w:p>
      <w:pPr>
        <w:pStyle w:val="Normal"/>
        <w:rPr>
          <w:highlight w:val="none"/>
          <w:shd w:fill="FFFF00" w:val="clear"/>
        </w:rPr>
      </w:pPr>
      <w:r>
        <w:rPr>
          <w:rFonts w:eastAsia="arial" w:cs="arial" w:ascii="arial" w:hAnsi="arial"/>
          <w:b/>
          <w:bCs/>
          <w:i w:val="false"/>
          <w:color w:val="000000"/>
          <w:sz w:val="20"/>
          <w:u w:val="none"/>
          <w:shd w:fill="FFFF00" w:val="clear"/>
        </w:rPr>
        <w:t>Les minimums exigés sont indiqués à l’article 6.1 du présent Règlement de consultation.</w:t>
      </w:r>
    </w:p>
    <w:p>
      <w:pPr>
        <w:pStyle w:val="Normal"/>
        <w:rPr>
          <w:strike/>
          <w:highlight w:val="none"/>
          <w:shd w:fill="FFFF00" w:val="clear"/>
        </w:rPr>
      </w:pPr>
      <w:r>
        <w:rPr>
          <w:strike/>
          <w:shd w:fill="FFFF00" w:val="clear"/>
        </w:rPr>
      </w:r>
    </w:p>
    <w:p>
      <w:pPr>
        <w:pStyle w:val="Normal"/>
        <w:rPr>
          <w:highlight w:val="none"/>
          <w:shd w:fill="auto" w:val="clear"/>
        </w:rPr>
      </w:pPr>
      <w:r>
        <w:rPr>
          <w:rFonts w:eastAsia="arial" w:cs="arial" w:ascii="arial" w:hAnsi="arial"/>
          <w:b/>
          <w:i w:val="false"/>
          <w:color w:val="000000"/>
          <w:sz w:val="20"/>
          <w:u w:val="single"/>
          <w:shd w:fill="auto" w:val="clear"/>
        </w:rPr>
        <w:t>Précisions complémentaires</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shd w:fill="auto" w:val="clear"/>
        </w:rPr>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Lorsque le candidat se présente sous la forme d'un groupement, chaque membre du groupement doit fournir les pièces et documents mentionnés ci-dessus (DC2 et annexes ou DUME).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Si le candidat s'appuie sur d'autres opérateurs économiques pour présenter sa candidature, il doit les mentionner dans son formulaire DC2 (rubrique H) et produire, pour chacun d'eux, les mêmes documents que ceux qui sont exigés de lui pour justifier de ses capacités,</w:t>
      </w:r>
      <w:r>
        <w:rPr>
          <w:rFonts w:eastAsia="arial" w:cs="arial" w:ascii="arial" w:hAnsi="arial"/>
          <w:b w:val="false"/>
          <w:i w:val="false"/>
          <w:color w:val="000000"/>
          <w:sz w:val="20"/>
          <w:u w:val="single"/>
          <w:shd w:fill="auto"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auto" w:val="clear"/>
        </w:rPr>
        <w:t>. En cas de déclaration de sous-traitance (formulaire DC4), la signature électronique est facultative à ce stade.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45" w:name="__RefHeading___Toc2050_402348459"/>
      <w:bookmarkStart w:id="46" w:name="_Toc3560"/>
      <w:bookmarkEnd w:id="45"/>
      <w:r>
        <w:rPr/>
        <w:t>Eléments exigés au titre de l'offre</w:t>
      </w:r>
      <w:bookmarkEnd w:id="46"/>
    </w:p>
    <w:p>
      <w:pPr>
        <w:pStyle w:val="Titre3"/>
        <w:keepNext w:val="true"/>
        <w:widowControl w:val="false"/>
        <w:numPr>
          <w:ilvl w:val="2"/>
          <w:numId w:val="2"/>
        </w:numPr>
        <w:suppressAutoHyphens w:val="true"/>
        <w:overflowPunct w:val="true"/>
        <w:bidi w:val="0"/>
        <w:spacing w:before="240" w:after="0"/>
        <w:ind w:left="1077" w:right="0" w:hanging="0"/>
        <w:jc w:val="left"/>
        <w:rPr/>
      </w:pPr>
      <w:bookmarkStart w:id="47" w:name="__RefHeading___Toc2052_402348459"/>
      <w:bookmarkStart w:id="48" w:name="_Toc3561"/>
      <w:bookmarkEnd w:id="47"/>
      <w:r>
        <w:rPr/>
        <w:t>Présentation des offres</w:t>
      </w:r>
      <w:bookmarkEnd w:id="48"/>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L'offre du candidat comporte les pièces ou documents suivants :</w:t>
      </w:r>
    </w:p>
    <w:p>
      <w:pPr>
        <w:pStyle w:val="Normal"/>
        <w:spacing w:before="120" w:after="0"/>
        <w:rPr/>
      </w:pPr>
      <w:r>
        <w:rPr/>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w:t>
      </w:r>
      <w:r>
        <w:rPr>
          <w:rFonts w:eastAsia="arial" w:cs="arial" w:ascii="arial" w:hAnsi="arial"/>
          <w:b/>
          <w:i w:val="false"/>
          <w:color w:val="000000"/>
          <w:sz w:val="20"/>
          <w:u w:val="none"/>
          <w:shd w:fill="auto" w:val="clear"/>
        </w:rPr>
        <w:t>Acte d'Engagement</w:t>
      </w:r>
      <w:r>
        <w:rPr>
          <w:rFonts w:eastAsia="arial" w:cs="arial" w:ascii="arial" w:hAnsi="arial"/>
          <w:b w:val="false"/>
          <w:i w:val="false"/>
          <w:color w:val="000000"/>
          <w:sz w:val="20"/>
          <w:u w:val="none"/>
          <w:shd w:fill="auto" w:val="clear"/>
        </w:rPr>
        <w:t>, dûment complété.</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Rappel : La signature de l'AE n'est que facultative au moment du dépôt de l'offre, mais sera exigée pour l'attributaire.</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Par ailleurs, il est recommandé aux candidats de transmettre l'acte d'engagement au format pdf, afin d'assurer la bonne transmission et mise en page du document concerné.</w:t>
      </w:r>
    </w:p>
    <w:p>
      <w:pPr>
        <w:pStyle w:val="Normal"/>
        <w:rPr>
          <w:highlight w:val="none"/>
          <w:shd w:fill="auto" w:val="clear"/>
        </w:rPr>
      </w:pPr>
      <w:r>
        <w:rPr>
          <w:rFonts w:eastAsia="arial" w:cs="arial" w:ascii="arial" w:hAnsi="arial"/>
          <w:b/>
          <w:i w:val="false"/>
          <w:color w:val="000000"/>
          <w:sz w:val="20"/>
          <w:u w:val="none"/>
          <w:shd w:fill="auto" w:val="clear"/>
        </w:rPr>
        <w:t>- Nota Bene</w:t>
      </w:r>
      <w:r>
        <w:rPr>
          <w:rFonts w:eastAsia="arial" w:cs="arial" w:ascii="arial" w:hAnsi="arial"/>
          <w:b w:val="false"/>
          <w:i w:val="false"/>
          <w:color w:val="000000"/>
          <w:sz w:val="20"/>
          <w:u w:val="none"/>
          <w:shd w:fill="auto" w:val="clear"/>
        </w:rPr>
        <w:t xml:space="preserve"> : l'annexe à l'acte d'engagement concernant la "Protection des données et Politique de sécurité"  n'est que facultative au moment du dépôt de l'offre, mais elle sera exigée pour l'attributaire, si ce dernier ne l'a pas déjà remise dans son offre.</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le</w:t>
      </w:r>
      <w:r>
        <w:rPr>
          <w:rFonts w:eastAsia="arial" w:cs="arial" w:ascii="arial" w:hAnsi="arial"/>
          <w:b/>
          <w:bCs/>
          <w:i w:val="false"/>
          <w:color w:val="000000"/>
          <w:sz w:val="20"/>
          <w:u w:val="none"/>
          <w:shd w:fill="auto" w:val="clear"/>
        </w:rPr>
        <w:t xml:space="preserve"> Bordereau de Prix Unitaires </w:t>
      </w:r>
      <w:r>
        <w:rPr>
          <w:rFonts w:eastAsia="arial" w:cs="arial" w:ascii="arial" w:hAnsi="arial"/>
          <w:b w:val="false"/>
          <w:i w:val="false"/>
          <w:color w:val="000000"/>
          <w:sz w:val="20"/>
          <w:u w:val="none"/>
          <w:shd w:fill="auto" w:val="clear"/>
        </w:rPr>
        <w:t>(BPU) intégralement complété</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le </w:t>
      </w:r>
      <w:r>
        <w:rPr>
          <w:rFonts w:eastAsia="arial" w:cs="arial" w:ascii="arial" w:hAnsi="arial"/>
          <w:b/>
          <w:bCs/>
          <w:i w:val="false"/>
          <w:color w:val="000000"/>
          <w:sz w:val="20"/>
          <w:u w:val="none"/>
          <w:shd w:fill="auto" w:val="clear"/>
        </w:rPr>
        <w:t xml:space="preserve">Détail Quantitatif et Estimatif </w:t>
      </w:r>
      <w:r>
        <w:rPr>
          <w:rFonts w:eastAsia="arial" w:cs="arial" w:ascii="arial" w:hAnsi="arial"/>
          <w:b w:val="false"/>
          <w:i w:val="false"/>
          <w:color w:val="000000"/>
          <w:sz w:val="20"/>
          <w:u w:val="none"/>
          <w:shd w:fill="auto" w:val="clear"/>
        </w:rPr>
        <w:t xml:space="preserve">(DQE)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le </w:t>
      </w:r>
      <w:r>
        <w:rPr>
          <w:rFonts w:eastAsia="arial" w:cs="arial" w:ascii="arial" w:hAnsi="arial"/>
          <w:b/>
          <w:bCs/>
          <w:i w:val="false"/>
          <w:color w:val="000000"/>
          <w:sz w:val="20"/>
          <w:u w:val="none"/>
          <w:shd w:fill="auto" w:val="clear"/>
        </w:rPr>
        <w:t>Mémoire Technique du candidat</w:t>
      </w:r>
      <w:r>
        <w:rPr>
          <w:rFonts w:eastAsia="arial" w:cs="arial" w:ascii="arial" w:hAnsi="arial"/>
          <w:b w:val="false"/>
          <w:i w:val="false"/>
          <w:color w:val="000000"/>
          <w:sz w:val="20"/>
          <w:u w:val="none"/>
          <w:shd w:fill="auto" w:val="clear"/>
        </w:rPr>
        <w:t xml:space="preserve">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la </w:t>
      </w:r>
      <w:r>
        <w:rPr>
          <w:rFonts w:eastAsia="arial" w:cs="arial" w:ascii="arial" w:hAnsi="arial"/>
          <w:b/>
          <w:bCs/>
          <w:i w:val="false"/>
          <w:color w:val="000000"/>
          <w:sz w:val="20"/>
          <w:u w:val="none"/>
          <w:shd w:fill="auto" w:val="clear"/>
        </w:rPr>
        <w:t>liste des matériels spécifiques proposés par le candidat intégralement complétée accompagnée des fiches techniques correspondantes pour chacun des matériels de la liste.</w:t>
      </w:r>
    </w:p>
    <w:p>
      <w:pPr>
        <w:pStyle w:val="Normal"/>
        <w:rPr>
          <w:highlight w:val="none"/>
          <w:shd w:fill="auto" w:val="clear"/>
        </w:rPr>
      </w:pPr>
      <w:r>
        <w:rPr>
          <w:rFonts w:eastAsia="arial" w:cs="arial" w:ascii="arial" w:hAnsi="arial"/>
          <w:b w:val="false"/>
          <w:bCs/>
          <w:i w:val="false"/>
          <w:color w:val="000000"/>
          <w:sz w:val="20"/>
          <w:u w:val="none"/>
          <w:shd w:fill="auto" w:val="clear"/>
        </w:rPr>
        <w:t>- le</w:t>
      </w:r>
      <w:r>
        <w:rPr>
          <w:rFonts w:eastAsia="arial" w:cs="arial" w:ascii="arial" w:hAnsi="arial"/>
          <w:b/>
          <w:bCs/>
          <w:i w:val="false"/>
          <w:color w:val="000000"/>
          <w:sz w:val="20"/>
          <w:u w:val="none"/>
          <w:shd w:fill="auto" w:val="clear"/>
        </w:rPr>
        <w:t xml:space="preserve"> tableau des caractéristiques techniques des luminaires LED</w:t>
      </w:r>
      <w:r>
        <w:rPr>
          <w:rFonts w:eastAsia="arial" w:cs="arial" w:ascii="arial" w:hAnsi="arial"/>
          <w:b w:val="false"/>
          <w:bCs/>
          <w:i w:val="false"/>
          <w:color w:val="000000"/>
          <w:sz w:val="20"/>
          <w:u w:val="none"/>
          <w:shd w:fill="auto" w:val="clear"/>
        </w:rPr>
        <w:t xml:space="preserve"> correspondant à la liste des matériels spécifiques</w:t>
      </w:r>
    </w:p>
    <w:p>
      <w:pPr>
        <w:pStyle w:val="Normal"/>
        <w:rPr>
          <w:b/>
          <w:b/>
          <w:bCs/>
          <w:highlight w:val="none"/>
          <w:shd w:fill="auto" w:val="clear"/>
        </w:rPr>
      </w:pPr>
      <w:r>
        <w:rPr>
          <w:b/>
          <w:bCs/>
          <w:shd w:fill="auto" w:val="clear"/>
        </w:rPr>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bCs/>
          <w:i w:val="false"/>
          <w:color w:val="000000"/>
          <w:sz w:val="20"/>
          <w:u w:val="none"/>
          <w:shd w:fill="auto" w:val="clear"/>
        </w:rPr>
        <w:t>Il est demandé aux candidats de fournir, le BPU, le DQE, le Mémoire technique, la liste des matériels, le tableau des caractéristiques techniques sous format pdf et sous format natif (feuille de calcul et texte). En cas de contradiction entre la version PDF et la version modifiable le PDF primera.</w:t>
      </w:r>
    </w:p>
    <w:p>
      <w:pPr>
        <w:pStyle w:val="Titre3"/>
        <w:keepNext w:val="true"/>
        <w:widowControl w:val="false"/>
        <w:numPr>
          <w:ilvl w:val="2"/>
          <w:numId w:val="2"/>
        </w:numPr>
        <w:suppressAutoHyphens w:val="true"/>
        <w:overflowPunct w:val="true"/>
        <w:bidi w:val="0"/>
        <w:spacing w:before="240" w:after="0"/>
        <w:ind w:left="1134" w:right="0" w:hanging="0"/>
        <w:jc w:val="left"/>
        <w:rPr/>
      </w:pPr>
      <w:bookmarkStart w:id="49" w:name="__RefHeading___Toc2054_402348459"/>
      <w:bookmarkStart w:id="50" w:name="_Toc3562"/>
      <w:bookmarkEnd w:id="49"/>
      <w:r>
        <w:rPr/>
        <w:t>Présentation de variantes</w:t>
      </w:r>
      <w:bookmarkEnd w:id="50"/>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Les candidats ne sont pas autorisés à proposer des variantes de leur propre initiative.</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51" w:name="__RefHeading___Toc2056_402348459"/>
      <w:bookmarkStart w:id="52" w:name="_Toc3563"/>
      <w:bookmarkEnd w:id="51"/>
      <w:r>
        <w:rPr/>
        <w:t>Visite sur site</w:t>
      </w:r>
      <w:bookmarkEnd w:id="52"/>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Il n'est pas prévu de visite sur site.</w:t>
      </w:r>
    </w:p>
    <w:p>
      <w:pPr>
        <w:pStyle w:val="Titre1"/>
        <w:keepNext w:val="true"/>
        <w:widowControl w:val="false"/>
        <w:numPr>
          <w:ilvl w:val="0"/>
          <w:numId w:val="2"/>
        </w:numPr>
        <w:suppressAutoHyphens w:val="true"/>
        <w:overflowPunct w:val="true"/>
        <w:bidi w:val="0"/>
        <w:spacing w:before="360" w:after="0"/>
        <w:ind w:left="0" w:right="0" w:hanging="0"/>
        <w:jc w:val="left"/>
        <w:rPr/>
      </w:pPr>
      <w:bookmarkStart w:id="53" w:name="__RefHeading___Toc2058_402348459"/>
      <w:bookmarkStart w:id="54" w:name="_Toc3564"/>
      <w:bookmarkEnd w:id="53"/>
      <w:r>
        <w:rPr/>
        <w:t>REMISE DES PLIS PAR LES CANDIDATS</w:t>
      </w:r>
      <w:bookmarkEnd w:id="54"/>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55" w:name="__RefHeading___Toc2060_402348459"/>
      <w:bookmarkStart w:id="56" w:name="_Toc3565"/>
      <w:bookmarkEnd w:id="55"/>
      <w:r>
        <w:rPr/>
        <w:t>Remise électronique</w:t>
      </w:r>
      <w:bookmarkEnd w:id="56"/>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 pouvoir adjudicateur impose la transmission des plis par voie électronique sur son profil acheteur marchespublics.mairie-marseille.fr. La transmission par voie papier n'est pas autorisée.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pPr>
      <w:r>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Les modalités relatives à la réponse par voie électronique sont détaillées dans l'annexe n°1 au présent RC intitulée Guide de la dématérialisation des marchés publics.</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57" w:name="__RefHeading___Toc2062_402348459"/>
      <w:bookmarkStart w:id="58" w:name="_Toc3566"/>
      <w:bookmarkEnd w:id="57"/>
      <w:r>
        <w:rPr/>
        <w:t>Copie de sauvegarde</w:t>
      </w:r>
      <w:bookmarkEnd w:id="58"/>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 xml:space="preserve">Le pli électronique peut être doublé d'une copie de sauvegarde transmise dans les délais impartis, sur support physique électronique ou sur support papier.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Cette copie de sauvegarde devra comporter l'intégralité des éléments exigés au Règlement de consultation.</w:t>
      </w:r>
    </w:p>
    <w:p>
      <w:pPr>
        <w:pStyle w:val="Normal"/>
        <w:spacing w:before="120" w:after="0"/>
        <w:rPr>
          <w:rFonts w:ascii="arial" w:hAnsi="arial" w:eastAsia="arial" w:cs="arial"/>
          <w:b w:val="false"/>
          <w:b w:val="false"/>
          <w:i w:val="false"/>
          <w:i w:val="false"/>
          <w:color w:val="000000"/>
          <w:sz w:val="20"/>
          <w:u w:val="single"/>
        </w:rPr>
      </w:pPr>
      <w:r>
        <w:rPr>
          <w:rFonts w:eastAsia="arial" w:cs="arial" w:ascii="arial" w:hAnsi="arial"/>
          <w:b w:val="false"/>
          <w:i w:val="false"/>
          <w:color w:val="000000"/>
          <w:sz w:val="20"/>
          <w:u w:val="single"/>
        </w:rPr>
        <w:t>Cette copie est transmise sous pli scellé et comporte obligatoirement la mention « copie de sauvegarde », ainsi que le nom du candidat, l'objet et le numéro de la consultation concernée.</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Les dossiers des candidats sont transmis par tout moyen permettant de déterminer de façon certaine la date et l'heure de leur réception et de garantir la confidentialité.</w:t>
      </w:r>
    </w:p>
    <w:p>
      <w:pPr>
        <w:pStyle w:val="Normal"/>
        <w:spacing w:before="120" w:after="0"/>
        <w:rPr/>
      </w:pPr>
      <w:r>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ENVOI POSTAL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En cas d'envoi postal, les plis doivent être adressés à l'adresse suivante :</w:t>
      </w:r>
    </w:p>
    <w:p>
      <w:pPr>
        <w:pStyle w:val="Normal"/>
        <w:spacing w:before="120" w:after="0"/>
        <w:rPr>
          <w:rFonts w:ascii="arial" w:hAnsi="arial" w:eastAsia="arial" w:cs="arial"/>
          <w:b w:val="false"/>
          <w:b w:val="false"/>
          <w:i w:val="false"/>
          <w:i w:val="false"/>
          <w:color w:val="000000"/>
          <w:sz w:val="20"/>
          <w:u w:val="none"/>
        </w:rPr>
      </w:pPr>
      <w:r>
        <w:rPr>
          <w:rFonts w:eastAsia="Times New Roman" w:cs="Tahoma" w:ascii="Tahoma" w:hAnsi="Tahoma"/>
          <w:b w:val="false"/>
          <w:i w:val="false"/>
          <w:color w:val="000000"/>
          <w:kern w:val="2"/>
          <w:sz w:val="20"/>
          <w:u w:val="none"/>
          <w:shd w:fill="auto" w:val="clear"/>
          <w:lang w:eastAsia="fr-FR"/>
        </w:rPr>
        <w:t>Mairie</w:t>
      </w:r>
      <w:r>
        <w:rPr>
          <w:rFonts w:eastAsia="arial" w:cs="arial" w:ascii="arial" w:hAnsi="arial"/>
          <w:b w:val="false"/>
          <w:i w:val="false"/>
          <w:color w:val="000000"/>
          <w:sz w:val="20"/>
          <w:u w:val="none"/>
          <w:shd w:fill="auto" w:val="clear"/>
        </w:rPr>
        <w:t xml:space="preserve"> de M</w:t>
      </w:r>
      <w:r>
        <w:rPr>
          <w:rFonts w:eastAsia="arial" w:cs="arial" w:ascii="arial" w:hAnsi="arial"/>
          <w:b w:val="false"/>
          <w:i w:val="false"/>
          <w:color w:val="000000"/>
          <w:sz w:val="20"/>
          <w:u w:val="none"/>
        </w:rPr>
        <w:t xml:space="preserve">arseille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Direction de l’Achat et de la Commande Publique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39 Bis, Rue Sainte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13233 MARSEILLE Cedex 20</w:t>
      </w:r>
    </w:p>
    <w:p>
      <w:pPr>
        <w:pStyle w:val="Normal"/>
        <w:spacing w:before="120" w:after="0"/>
        <w:rPr/>
      </w:pPr>
      <w:r>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REMISE CONTRE RECEPISSE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Les plis peuvent être remis contre récépissé à l'adresse suivante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Direction de l’Achat et de la Commande Publique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(anciennement Service des marchés publics)</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Passage Timon David, rue Sainte (1er arrondissement)</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13001 Marseille</w:t>
      </w:r>
    </w:p>
    <w:p>
      <w:pPr>
        <w:pStyle w:val="Normal"/>
        <w:spacing w:before="120" w:after="0"/>
        <w:rPr/>
      </w:pPr>
      <w:r>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Horaires de réception des plis : du lundi au vendredi, de 9h00 à 12h00 et de 13h00 à 16h00, hors jours fériés et chômés.</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59" w:name="__RefHeading___Toc2064_402348459"/>
      <w:bookmarkStart w:id="60" w:name="_Toc3567"/>
      <w:bookmarkEnd w:id="59"/>
      <w:r>
        <w:rPr/>
        <w:t>Echantillons, maquettes, prototypes ou modèles réduits</w:t>
      </w:r>
      <w:bookmarkEnd w:id="60"/>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Sans objet</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61" w:name="__RefHeading___Toc2066_402348459"/>
      <w:bookmarkStart w:id="62" w:name="_Toc3568"/>
      <w:bookmarkEnd w:id="61"/>
      <w:r>
        <w:rPr/>
        <w:t>Date et heure limites de remise des plis</w:t>
      </w:r>
      <w:bookmarkEnd w:id="62"/>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Les date et heure limites de réception des plis sont celles indiquées dans l'avis d'appel public à la concurrence, qui valent également pour la transmission des « copies de sauvegarde » des candidats.</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63" w:name="__RefHeading___Toc2068_402348459"/>
      <w:bookmarkStart w:id="64" w:name="_Toc3569"/>
      <w:bookmarkEnd w:id="63"/>
      <w:r>
        <w:rPr/>
        <w:t>Délai de validité des offres</w:t>
      </w:r>
      <w:bookmarkEnd w:id="64"/>
    </w:p>
    <w:p>
      <w:pPr>
        <w:pStyle w:val="Normal"/>
        <w:rPr/>
      </w:pPr>
      <w:r>
        <w:rPr>
          <w:rFonts w:eastAsia="arial" w:cs="arial" w:ascii="arial" w:hAnsi="arial"/>
          <w:b w:val="false"/>
          <w:i w:val="false"/>
          <w:color w:val="000000"/>
          <w:sz w:val="20"/>
          <w:u w:val="none"/>
          <w:shd w:fill="auto" w:val="clear"/>
        </w:rPr>
        <w:t xml:space="preserve">Le délai de validité des offres est de </w:t>
      </w:r>
      <w:r>
        <w:rPr>
          <w:rFonts w:eastAsia="arial" w:cs="arial" w:ascii="arial" w:hAnsi="arial"/>
          <w:b/>
          <w:i w:val="false"/>
          <w:color w:val="000000"/>
          <w:sz w:val="20"/>
          <w:u w:val="none"/>
          <w:shd w:fill="auto" w:val="clear"/>
        </w:rPr>
        <w:t>6 mois</w:t>
      </w:r>
      <w:r>
        <w:rPr>
          <w:rFonts w:eastAsia="arial" w:cs="arial" w:ascii="arial" w:hAnsi="arial"/>
          <w:b w:val="false"/>
          <w:i w:val="false"/>
          <w:color w:val="000000"/>
          <w:sz w:val="20"/>
          <w:u w:val="none"/>
          <w:shd w:fill="auto" w:val="clear"/>
        </w:rPr>
        <w:t xml:space="preserve"> à compter de la date limite fixée pour la réception des offres.</w:t>
      </w:r>
    </w:p>
    <w:p>
      <w:pPr>
        <w:pStyle w:val="Titre1"/>
        <w:keepNext w:val="true"/>
        <w:widowControl w:val="false"/>
        <w:numPr>
          <w:ilvl w:val="0"/>
          <w:numId w:val="2"/>
        </w:numPr>
        <w:suppressAutoHyphens w:val="true"/>
        <w:overflowPunct w:val="true"/>
        <w:bidi w:val="0"/>
        <w:spacing w:before="360" w:after="0"/>
        <w:ind w:left="0" w:right="0" w:hanging="0"/>
        <w:jc w:val="left"/>
        <w:rPr/>
      </w:pPr>
      <w:bookmarkStart w:id="65" w:name="__RefHeading___Toc2070_402348459"/>
      <w:bookmarkStart w:id="66" w:name="_Toc3570"/>
      <w:bookmarkEnd w:id="65"/>
      <w:r>
        <w:rPr/>
        <w:t>EXAMEN DES PLIS</w:t>
      </w:r>
      <w:bookmarkEnd w:id="66"/>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keepNext w:val="true"/>
        <w:widowControl w:val="false"/>
        <w:numPr>
          <w:ilvl w:val="1"/>
          <w:numId w:val="2"/>
        </w:numPr>
        <w:suppressAutoHyphens w:val="true"/>
        <w:overflowPunct w:val="true"/>
        <w:bidi w:val="0"/>
        <w:spacing w:before="240" w:after="240"/>
        <w:ind w:left="624" w:right="0" w:hanging="0"/>
        <w:jc w:val="left"/>
        <w:rPr/>
      </w:pPr>
      <w:bookmarkStart w:id="67" w:name="__RefHeading___Toc2072_402348459"/>
      <w:bookmarkStart w:id="68" w:name="_Toc3571"/>
      <w:bookmarkEnd w:id="67"/>
      <w:r>
        <w:rPr/>
        <w:t xml:space="preserve">Examen des candidatures </w:t>
      </w:r>
      <w:bookmarkEnd w:id="68"/>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rPr>
          <w:b/>
          <w:b/>
          <w:bCs/>
          <w:highlight w:val="none"/>
          <w:shd w:fill="auto" w:val="clear"/>
        </w:rPr>
      </w:pPr>
      <w:r>
        <w:rPr>
          <w:b/>
          <w:bCs/>
          <w:shd w:fill="auto" w:val="clear"/>
        </w:rPr>
      </w:r>
    </w:p>
    <w:p>
      <w:pPr>
        <w:pStyle w:val="Normal"/>
        <w:rPr>
          <w:b/>
          <w:b/>
          <w:bCs/>
          <w:highlight w:val="none"/>
          <w:shd w:fill="auto" w:val="clear"/>
        </w:rPr>
      </w:pPr>
      <w:r>
        <w:rPr>
          <w:rFonts w:eastAsia="arial" w:cs="arial" w:ascii="arial" w:hAnsi="arial"/>
          <w:b/>
          <w:bCs/>
          <w:i w:val="false"/>
          <w:color w:val="000000"/>
          <w:sz w:val="20"/>
          <w:u w:val="single"/>
          <w:shd w:fill="FFFF00" w:val="clear"/>
        </w:rPr>
        <w:t>En ce qui concerne la capacité économique et financière, l’acheteur exige les niveaux minimaux suivants</w:t>
      </w:r>
      <w:r>
        <w:rPr>
          <w:rFonts w:eastAsia="arial" w:cs="arial" w:ascii="arial" w:hAnsi="arial"/>
          <w:b/>
          <w:bCs/>
          <w:i w:val="false"/>
          <w:color w:val="000000"/>
          <w:sz w:val="20"/>
          <w:u w:val="none"/>
          <w:shd w:fill="FFFF00" w:val="clear"/>
        </w:rPr>
        <w:t xml:space="preserve"> : </w:t>
      </w:r>
    </w:p>
    <w:p>
      <w:pPr>
        <w:pStyle w:val="Normal"/>
        <w:rPr>
          <w:b w:val="false"/>
          <w:b w:val="false"/>
          <w:bCs w:val="false"/>
        </w:rPr>
      </w:pPr>
      <w:r>
        <w:rPr>
          <w:rFonts w:eastAsia="arial" w:cs="arial" w:ascii="arial" w:hAnsi="arial"/>
          <w:b w:val="false"/>
          <w:bCs w:val="false"/>
          <w:i w:val="false"/>
          <w:color w:val="000000"/>
          <w:sz w:val="20"/>
          <w:u w:val="none"/>
          <w:shd w:fill="auto" w:val="clear"/>
        </w:rPr>
        <w:t xml:space="preserve">Le chiffre d'affaires du candidat individuel ou du groupement sur chacun des trois derniers exercices disponibles doit être </w:t>
      </w:r>
      <w:r>
        <w:rPr>
          <w:rFonts w:eastAsia="arial" w:cs="arial" w:ascii="arial" w:hAnsi="arial"/>
          <w:b/>
          <w:bCs/>
          <w:i w:val="false"/>
          <w:color w:val="000000"/>
          <w:sz w:val="20"/>
          <w:u w:val="none"/>
          <w:shd w:fill="auto" w:val="clear"/>
        </w:rPr>
        <w:t>supérieur ou égal à 3 000 000 euros</w:t>
      </w:r>
      <w:r>
        <w:rPr>
          <w:rFonts w:eastAsia="arial" w:cs="arial" w:ascii="arial" w:hAnsi="arial"/>
          <w:b w:val="false"/>
          <w:bCs w:val="false"/>
          <w:i w:val="false"/>
          <w:color w:val="000000"/>
          <w:sz w:val="20"/>
          <w:u w:val="none"/>
          <w:shd w:fill="auto" w:val="clear"/>
        </w:rPr>
        <w:t>.</w:t>
      </w:r>
    </w:p>
    <w:p>
      <w:pPr>
        <w:pStyle w:val="Normal"/>
        <w:rPr>
          <w:b w:val="false"/>
          <w:b w:val="false"/>
          <w:bCs w:val="false"/>
        </w:rPr>
      </w:pPr>
      <w:r>
        <w:rPr>
          <w:b w:val="false"/>
          <w:bCs w:val="false"/>
        </w:rPr>
      </w:r>
    </w:p>
    <w:p>
      <w:pPr>
        <w:pStyle w:val="Normal"/>
        <w:rPr>
          <w:rFonts w:ascii="arial" w:hAnsi="arial" w:eastAsia="arial" w:cs="arial"/>
          <w:b/>
          <w:b/>
          <w:bCs/>
          <w:i w:val="false"/>
          <w:i w:val="false"/>
          <w:color w:val="000000"/>
          <w:sz w:val="20"/>
          <w:highlight w:val="none"/>
          <w:u w:val="none"/>
          <w:shd w:fill="auto" w:val="clear"/>
        </w:rPr>
      </w:pPr>
      <w:r>
        <w:rPr>
          <w:rFonts w:eastAsia="arial" w:cs="arial" w:ascii="arial" w:hAnsi="arial"/>
          <w:b/>
          <w:bCs/>
          <w:i w:val="false"/>
          <w:color w:val="000000"/>
          <w:sz w:val="20"/>
          <w:u w:val="single"/>
          <w:shd w:fill="FFFF00" w:val="clear"/>
        </w:rPr>
        <w:t>En ce qui concerne les capacités professionnelles et techniques, l'acheteur exige les niveaux minimaux suivants</w:t>
      </w:r>
      <w:r>
        <w:rPr>
          <w:rFonts w:eastAsia="arial" w:cs="arial" w:ascii="arial" w:hAnsi="arial"/>
          <w:b/>
          <w:bCs/>
          <w:i w:val="false"/>
          <w:color w:val="000000"/>
          <w:sz w:val="20"/>
          <w:u w:val="none"/>
          <w:shd w:fill="auto" w:val="clear"/>
        </w:rPr>
        <w:t xml:space="preserve"> :</w:t>
      </w:r>
    </w:p>
    <w:p>
      <w:pPr>
        <w:pStyle w:val="Normal"/>
        <w:ind w:left="0" w:right="0" w:hanging="0"/>
        <w:rPr>
          <w:highlight w:val="none"/>
          <w:shd w:fill="auto" w:val="clear"/>
        </w:rPr>
      </w:pPr>
      <w:r>
        <w:rPr>
          <w:rFonts w:eastAsia="arial" w:cs="arial" w:ascii="arial" w:hAnsi="arial"/>
          <w:b w:val="false"/>
          <w:bCs w:val="false"/>
          <w:i w:val="false"/>
          <w:strike w:val="false"/>
          <w:dstrike w:val="false"/>
          <w:color w:val="000000"/>
          <w:sz w:val="20"/>
          <w:szCs w:val="20"/>
          <w:u w:val="none"/>
          <w:shd w:fill="auto" w:val="clear"/>
        </w:rPr>
        <w:t xml:space="preserve">- Pour les </w:t>
      </w:r>
      <w:r>
        <w:rPr>
          <w:rFonts w:eastAsia="arial" w:cs="arial" w:ascii="arial" w:hAnsi="arial"/>
          <w:b w:val="false"/>
          <w:bCs w:val="false"/>
          <w:i w:val="false"/>
          <w:strike w:val="false"/>
          <w:dstrike w:val="false"/>
          <w:color w:val="000000"/>
          <w:sz w:val="20"/>
          <w:szCs w:val="20"/>
          <w:u w:val="single"/>
          <w:shd w:fill="auto" w:val="clear"/>
        </w:rPr>
        <w:t>prestations d’exploitation et d’entretien d’éclairage public</w:t>
      </w:r>
      <w:r>
        <w:rPr>
          <w:rFonts w:eastAsia="arial" w:cs="arial" w:ascii="arial" w:hAnsi="arial"/>
          <w:b w:val="false"/>
          <w:bCs w:val="false"/>
          <w:i w:val="false"/>
          <w:strike w:val="false"/>
          <w:dstrike w:val="false"/>
          <w:color w:val="000000"/>
          <w:sz w:val="20"/>
          <w:szCs w:val="20"/>
          <w:u w:val="none"/>
          <w:shd w:fill="auto" w:val="clear"/>
        </w:rPr>
        <w:t>, l’ensemble des références, datant de moins de 5 ans, doit au total porter sur 25 000 foyers lumineux. Les références doivent être accompagnées des attestations de bonne exécution.</w:t>
      </w:r>
    </w:p>
    <w:p>
      <w:pPr>
        <w:pStyle w:val="Normal"/>
        <w:ind w:left="0" w:right="0" w:hanging="0"/>
        <w:rPr>
          <w:highlight w:val="none"/>
          <w:shd w:fill="auto" w:val="clear"/>
        </w:rPr>
      </w:pPr>
      <w:r>
        <w:rPr>
          <w:strike w:val="false"/>
          <w:dstrike w:val="false"/>
          <w:color w:val="000000"/>
          <w:sz w:val="20"/>
          <w:szCs w:val="20"/>
          <w:shd w:fill="auto" w:val="clear"/>
        </w:rPr>
        <w:t>- Pour les</w:t>
      </w:r>
      <w:r>
        <w:rPr>
          <w:strike w:val="false"/>
          <w:dstrike w:val="false"/>
          <w:color w:val="000000"/>
          <w:sz w:val="20"/>
          <w:szCs w:val="20"/>
          <w:u w:val="single"/>
          <w:shd w:fill="auto" w:val="clear"/>
        </w:rPr>
        <w:t xml:space="preserve"> travaux d’éclairage public</w:t>
      </w:r>
      <w:r>
        <w:rPr>
          <w:strike w:val="false"/>
          <w:dstrike w:val="false"/>
          <w:color w:val="000000"/>
          <w:sz w:val="20"/>
          <w:szCs w:val="20"/>
          <w:u w:val="none"/>
          <w:shd w:fill="auto" w:val="clear"/>
        </w:rPr>
        <w:t xml:space="preserve">, </w:t>
      </w:r>
      <w:r>
        <w:rPr>
          <w:strike w:val="false"/>
          <w:dstrike w:val="false"/>
          <w:color w:val="000000"/>
          <w:sz w:val="20"/>
          <w:szCs w:val="20"/>
          <w:shd w:fill="auto" w:val="clear"/>
        </w:rPr>
        <w:t xml:space="preserve">au moins 10 références, datant de moins de 5 ans, supérieures à 50 points lumineux en travaux avec une hauteur de 7m minimum.  </w:t>
      </w:r>
      <w:r>
        <w:rPr>
          <w:rFonts w:eastAsia="arial" w:cs="arial" w:ascii="arial" w:hAnsi="arial"/>
          <w:b w:val="false"/>
          <w:bCs w:val="false"/>
          <w:i w:val="false"/>
          <w:strike w:val="false"/>
          <w:dstrike w:val="false"/>
          <w:color w:val="000000"/>
          <w:sz w:val="20"/>
          <w:szCs w:val="20"/>
          <w:u w:val="none"/>
          <w:shd w:fill="auto" w:val="clear"/>
        </w:rPr>
        <w:t>Les références doivent être accompagnées des attestations de bonne exécution</w:t>
      </w:r>
    </w:p>
    <w:p>
      <w:pPr>
        <w:pStyle w:val="Normal"/>
        <w:rPr>
          <w:rFonts w:ascii="arial" w:hAnsi="arial" w:eastAsia="arial" w:cs="arial"/>
          <w:b/>
          <w:b/>
          <w:i w:val="false"/>
          <w:i w:val="false"/>
          <w:color w:val="000000"/>
          <w:sz w:val="20"/>
          <w:highlight w:val="none"/>
          <w:u w:val="single"/>
          <w:shd w:fill="auto" w:val="clear"/>
        </w:rPr>
      </w:pPr>
      <w:r>
        <w:rPr>
          <w:rFonts w:eastAsia="arial" w:cs="arial" w:ascii="arial" w:hAnsi="arial"/>
          <w:b/>
          <w:i w:val="false"/>
          <w:color w:val="000000"/>
          <w:sz w:val="20"/>
          <w:u w:val="single"/>
          <w:shd w:fill="auto" w:val="clear"/>
        </w:rPr>
      </w:r>
    </w:p>
    <w:p>
      <w:pPr>
        <w:pStyle w:val="Normal"/>
        <w:rPr>
          <w:rFonts w:ascii="arial" w:hAnsi="arial" w:eastAsia="arial" w:cs="arial"/>
          <w:b/>
          <w:b/>
          <w:i w:val="false"/>
          <w:i w:val="false"/>
          <w:color w:val="000000"/>
          <w:sz w:val="20"/>
          <w:highlight w:val="none"/>
          <w:u w:val="single"/>
          <w:shd w:fill="auto" w:val="clear"/>
        </w:rPr>
      </w:pPr>
      <w:r>
        <w:rPr>
          <w:rFonts w:eastAsia="arial" w:cs="arial" w:ascii="arial" w:hAnsi="arial"/>
          <w:b/>
          <w:i w:val="false"/>
          <w:color w:val="000000"/>
          <w:sz w:val="20"/>
          <w:u w:val="single"/>
          <w:shd w:fill="auto" w:val="clear"/>
        </w:rPr>
        <w:t>Exclusions à l'appréciation de l'acheteur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Code de la Commande Publique prévoit différents cas d'exclusion laissés à l'appréciation de la Collectivité, et notamment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En application de </w:t>
      </w:r>
      <w:r>
        <w:rPr>
          <w:rFonts w:eastAsia="arial" w:cs="arial" w:ascii="arial" w:hAnsi="arial"/>
          <w:b/>
          <w:i w:val="false"/>
          <w:color w:val="000000"/>
          <w:sz w:val="20"/>
          <w:u w:val="none"/>
          <w:shd w:fill="auto" w:val="clear"/>
        </w:rPr>
        <w:t>l'article L2141-8 du code de la commande publique</w:t>
      </w:r>
      <w:r>
        <w:rPr>
          <w:rFonts w:eastAsia="arial" w:cs="arial" w:ascii="arial" w:hAnsi="arial"/>
          <w:b w:val="false"/>
          <w:i w:val="false"/>
          <w:color w:val="000000"/>
          <w:sz w:val="20"/>
          <w:u w:val="none"/>
          <w:shd w:fill="auto"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De même, en application de</w:t>
      </w:r>
      <w:r>
        <w:rPr>
          <w:rFonts w:eastAsia="arial" w:cs="arial" w:ascii="arial" w:hAnsi="arial"/>
          <w:b/>
          <w:i w:val="false"/>
          <w:color w:val="000000"/>
          <w:sz w:val="20"/>
          <w:u w:val="none"/>
          <w:shd w:fill="auto" w:val="clear"/>
        </w:rPr>
        <w:t xml:space="preserve"> l'article L2141-10 du code de la commande publique</w:t>
      </w:r>
      <w:r>
        <w:rPr>
          <w:rFonts w:eastAsia="arial" w:cs="arial" w:ascii="arial" w:hAnsi="arial"/>
          <w:b w:val="false"/>
          <w:i w:val="false"/>
          <w:color w:val="000000"/>
          <w:sz w:val="20"/>
          <w:u w:val="none"/>
          <w:shd w:fill="auto" w:val="clear"/>
        </w:rPr>
        <w:t>, le pouvoir adjudicateur peut exclure de la présente procédure, les opérateurs économiques qui créent une situation de conflit d'intérêts, telle que définie dans ce même article.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69" w:name="__RefHeading___Toc2074_402348459"/>
      <w:bookmarkStart w:id="70" w:name="_Toc3572"/>
      <w:bookmarkEnd w:id="69"/>
      <w:r>
        <w:rPr/>
        <w:t>Jugement des offres</w:t>
      </w:r>
      <w:bookmarkEnd w:id="70"/>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Conformément à l'article R 2152-2 du CCP, en cas de régularisation d'offres irrégulières, elle ne pourra avoir pour effet d'en modifier les caractéristiques substantielles.</w:t>
      </w:r>
    </w:p>
    <w:p>
      <w:pPr>
        <w:pStyle w:val="Normal"/>
        <w:spacing w:before="120" w:after="0"/>
        <w:rPr>
          <w:highlight w:val="none"/>
          <w:shd w:fill="auto" w:val="clear"/>
        </w:rPr>
      </w:pPr>
      <w:r>
        <w:rPr>
          <w:shd w:fill="auto" w:val="clear"/>
        </w:rPr>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 jugement des offres sera effectué dans les conditions prévues aux articles R2152-1 à 12 du Code de la commande publique et donnera lieu à un classement des offres.</w:t>
      </w:r>
    </w:p>
    <w:p>
      <w:pPr>
        <w:pStyle w:val="Normal"/>
        <w:spacing w:before="120" w:after="0"/>
        <w:rPr>
          <w:highlight w:val="none"/>
          <w:shd w:fill="auto" w:val="clear"/>
        </w:rPr>
      </w:pPr>
      <w:r>
        <w:rPr>
          <w:shd w:fill="auto" w:val="clear"/>
        </w:rPr>
      </w:r>
    </w:p>
    <w:p>
      <w:pPr>
        <w:pStyle w:val="Normal"/>
        <w:spacing w:before="120" w:after="0"/>
        <w:rPr>
          <w:rFonts w:ascii="arial" w:hAnsi="arial" w:eastAsia="arial" w:cs="arial"/>
          <w:b/>
          <w:b/>
          <w:i w:val="false"/>
          <w:i w:val="false"/>
          <w:color w:val="000000"/>
          <w:sz w:val="20"/>
          <w:highlight w:val="none"/>
          <w:u w:val="single"/>
          <w:shd w:fill="auto" w:val="clear"/>
        </w:rPr>
      </w:pPr>
      <w:r>
        <w:rPr>
          <w:rFonts w:eastAsia="arial" w:cs="arial" w:ascii="arial" w:hAnsi="arial"/>
          <w:b/>
          <w:i w:val="false"/>
          <w:color w:val="000000"/>
          <w:sz w:val="20"/>
          <w:u w:val="single"/>
          <w:shd w:fill="auto" w:val="clear"/>
        </w:rPr>
        <w:t>Le jugement des offres sera effectué sur les critères pondérés suivants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1°) Prix de l'offre </w:t>
      </w:r>
      <w:r>
        <w:rPr>
          <w:rFonts w:eastAsia="arial" w:cs="arial" w:ascii="arial" w:hAnsi="arial"/>
          <w:b/>
          <w:i w:val="false"/>
          <w:color w:val="000000"/>
          <w:sz w:val="20"/>
          <w:u w:val="none"/>
          <w:shd w:fill="auto" w:val="clear"/>
        </w:rPr>
        <w:t>60 points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2°) Valeur technique de l'offre </w:t>
      </w:r>
      <w:r>
        <w:rPr>
          <w:rFonts w:eastAsia="arial" w:cs="arial" w:ascii="arial" w:hAnsi="arial"/>
          <w:b/>
          <w:bCs/>
          <w:i w:val="false"/>
          <w:color w:val="000000"/>
          <w:sz w:val="20"/>
          <w:u w:val="none"/>
          <w:shd w:fill="auto" w:val="clear"/>
        </w:rPr>
        <w:t>40 points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Modalités de mise en oeuvre de ces critères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1°) Prix de l'offre 60 points</w:t>
      </w:r>
    </w:p>
    <w:p>
      <w:pPr>
        <w:pStyle w:val="Normal"/>
        <w:spacing w:before="120" w:after="0"/>
        <w:rPr>
          <w:rFonts w:ascii="arial" w:hAnsi="arial" w:eastAsia="arial" w:cs="arial"/>
          <w:b w:val="false"/>
          <w:b w:val="false"/>
          <w:i w:val="false"/>
          <w:i w:val="false"/>
          <w:color w:val="000000"/>
          <w:sz w:val="20"/>
          <w:highlight w:val="none"/>
          <w:u w:val="single"/>
          <w:shd w:fill="auto" w:val="clear"/>
        </w:rPr>
      </w:pPr>
      <w:r>
        <w:rPr>
          <w:rFonts w:eastAsia="arial" w:cs="arial" w:ascii="arial" w:hAnsi="arial"/>
          <w:b w:val="false"/>
          <w:i w:val="false"/>
          <w:color w:val="000000"/>
          <w:sz w:val="20"/>
          <w:u w:val="single"/>
          <w:shd w:fill="auto" w:val="clear"/>
        </w:rPr>
      </w:r>
    </w:p>
    <w:p>
      <w:pPr>
        <w:pStyle w:val="Normal"/>
        <w:spacing w:lineRule="atLeast" w:line="288" w:before="0" w:after="119"/>
        <w:ind w:left="0" w:right="0" w:hanging="0"/>
        <w:jc w:val="left"/>
        <w:rPr>
          <w:rFonts w:eastAsia="Times New Roman" w:cs="Arial"/>
          <w:color w:val="000000"/>
          <w:sz w:val="20"/>
          <w:szCs w:val="20"/>
          <w:highlight w:val="none"/>
          <w:shd w:fill="auto" w:val="clear"/>
        </w:rPr>
      </w:pPr>
      <w:r>
        <w:rPr>
          <w:rFonts w:eastAsia="Times New Roman" w:cs="Arial"/>
          <w:color w:val="000000"/>
          <w:sz w:val="20"/>
          <w:szCs w:val="20"/>
          <w:shd w:fill="auto" w:val="clear"/>
        </w:rPr>
        <w:t>La comparaison des Prix sera effectuée à l'aide du Détail Quantitatif Estimatif (DQE) - cadre de réponse - complété par le candidat.</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La note maximum est de </w:t>
      </w:r>
      <w:r>
        <w:rPr>
          <w:rFonts w:eastAsia="arial" w:cs="arial" w:ascii="arial" w:hAnsi="arial"/>
          <w:b/>
          <w:bCs/>
          <w:i w:val="false"/>
          <w:color w:val="000000"/>
          <w:sz w:val="20"/>
          <w:u w:val="none"/>
          <w:shd w:fill="auto" w:val="clear"/>
        </w:rPr>
        <w:t>60 points</w:t>
      </w:r>
      <w:r>
        <w:rPr>
          <w:rFonts w:eastAsia="arial" w:cs="arial" w:ascii="arial" w:hAnsi="arial"/>
          <w:b w:val="false"/>
          <w:i w:val="false"/>
          <w:color w:val="000000"/>
          <w:sz w:val="20"/>
          <w:u w:val="none"/>
          <w:shd w:fill="auto" w:val="clear"/>
        </w:rPr>
        <w:t xml:space="preserve">. Après élimination des offres anormalement basses, la notation de l'offre du candidat (i) sera effectuée à l'aide de la formule suivante : </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NP(i) = 60 x P(m)/P(i)</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Dans laquelle : </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NP(i) est la note attribuée à l'offre de prix du candidat (i)</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P(i) est le prix de l'offre du candidat</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P(m) est le prix de l'offre la moins-disante.</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Normal"/>
        <w:spacing w:before="120" w:after="0"/>
        <w:rPr/>
      </w:pPr>
      <w: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2°) Valeur technique de l'offre 40 points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valeur technique du candidat sera appréciée à partir des éléments détaillés dans le mémoire technique relatifs aux sous-critères mentionnés ci-dessous, de la liste des matériels proposé par le candidat et de leur fiche technique, du tableau des caractéristiques techniques des luminaires LED.</w:t>
      </w:r>
    </w:p>
    <w:p>
      <w:pPr>
        <w:pStyle w:val="Normal"/>
        <w:spacing w:before="120" w:after="0"/>
        <w:rPr>
          <w:rFonts w:ascii="arial" w:hAnsi="arial" w:eastAsia="arial" w:cs="arial"/>
          <w:b/>
          <w:b/>
          <w:bCs/>
          <w:i w:val="false"/>
          <w:i w:val="false"/>
          <w:color w:val="000000"/>
          <w:sz w:val="20"/>
          <w:u w:val="none"/>
          <w:shd w:fill="auto" w:val="clear"/>
        </w:rPr>
      </w:pPr>
      <w:r>
        <w:rPr>
          <w:rFonts w:eastAsia="arial" w:cs="arial" w:ascii="arial" w:hAnsi="arial"/>
          <w:b/>
          <w:bCs/>
          <w:i w:val="false"/>
          <w:color w:val="000000"/>
          <w:sz w:val="20"/>
          <w:u w:val="none"/>
          <w:shd w:fill="auto" w:val="clear"/>
        </w:rPr>
      </w:r>
    </w:p>
    <w:p>
      <w:pPr>
        <w:pStyle w:val="Normal"/>
        <w:spacing w:before="120" w:after="0"/>
        <w:rPr>
          <w:highlight w:val="none"/>
          <w:shd w:fill="auto" w:val="clear"/>
        </w:rPr>
      </w:pPr>
      <w:r>
        <w:rPr>
          <w:rFonts w:eastAsia="arial" w:cs="arial" w:ascii="arial" w:hAnsi="arial"/>
          <w:b/>
          <w:bCs/>
          <w:i w:val="false"/>
          <w:color w:val="000000"/>
          <w:sz w:val="20"/>
          <w:u w:val="none"/>
          <w:shd w:fill="auto" w:val="clear"/>
        </w:rPr>
        <w:t>Il ne sera pas tenu compte dans l’analyse et la notation des candidats, des informations qu’ils pourraient indiquer concernant leur choix sur la renonciation ou pas de la période de préparation.</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shd w:fill="auto" w:val="clear"/>
        </w:rPr>
      </w:r>
    </w:p>
    <w:p>
      <w:pPr>
        <w:pStyle w:val="Normal"/>
        <w:spacing w:before="120" w:after="0"/>
        <w:rPr/>
      </w:pPr>
      <w:r>
        <w:rPr>
          <w:rFonts w:eastAsia="arial" w:cs="arial" w:ascii="arial" w:hAnsi="arial"/>
          <w:b/>
          <w:bCs/>
          <w:i w:val="false"/>
          <w:color w:val="000000"/>
          <w:sz w:val="20"/>
          <w:u w:val="single"/>
          <w:shd w:fill="auto" w:val="clear"/>
        </w:rPr>
        <w:t>Sous-critère 1</w:t>
      </w:r>
      <w:r>
        <w:rPr>
          <w:rFonts w:eastAsia="arial" w:cs="arial" w:ascii="arial" w:hAnsi="arial"/>
          <w:b w:val="false"/>
          <w:i w:val="false"/>
          <w:color w:val="000000"/>
          <w:sz w:val="20"/>
          <w:u w:val="none"/>
          <w:shd w:fill="auto" w:val="clear"/>
        </w:rPr>
        <w:t xml:space="preserve"> :  </w:t>
      </w:r>
      <w:r>
        <w:rPr>
          <w:rFonts w:eastAsia="arial" w:cs="arial" w:ascii="arial" w:hAnsi="arial"/>
          <w:b/>
          <w:bCs/>
          <w:i w:val="false"/>
          <w:color w:val="000000"/>
          <w:sz w:val="20"/>
          <w:u w:val="none"/>
          <w:shd w:fill="auto" w:val="clear"/>
        </w:rPr>
        <w:t xml:space="preserve">10 points maximum </w:t>
      </w:r>
    </w:p>
    <w:p>
      <w:pPr>
        <w:pStyle w:val="Normal"/>
        <w:spacing w:before="120" w:after="0"/>
        <w:rPr>
          <w:highlight w:val="none"/>
          <w:shd w:fill="auto" w:val="clear"/>
        </w:rPr>
      </w:pPr>
      <w:r>
        <w:rPr>
          <w:rFonts w:eastAsia="arial" w:cs="arial" w:ascii="arial" w:hAnsi="arial"/>
          <w:b/>
          <w:bCs/>
          <w:i w:val="false"/>
          <w:color w:val="000000"/>
          <w:sz w:val="20"/>
          <w:u w:val="none"/>
          <w:shd w:fill="auto" w:val="clear"/>
        </w:rPr>
        <w:t xml:space="preserve">Pertinence </w:t>
      </w:r>
      <w:r>
        <w:rPr>
          <w:b/>
          <w:bCs/>
          <w:shd w:fill="auto" w:val="clear"/>
        </w:rPr>
        <w:t xml:space="preserve">des méthodes de réalisation, y compris l’organisation des moyens humains et matériels, pour les missions suivantes issues du CCTP, relative au chapitre G2 Exploitation et l’Entretien  :  </w:t>
      </w:r>
    </w:p>
    <w:p>
      <w:pPr>
        <w:pStyle w:val="Normal"/>
        <w:spacing w:before="120" w:after="0"/>
        <w:rPr>
          <w:highlight w:val="none"/>
          <w:shd w:fill="auto" w:val="clear"/>
        </w:rPr>
      </w:pPr>
      <w:r>
        <w:rPr>
          <w:b w:val="false"/>
          <w:bCs w:val="false"/>
          <w:shd w:fill="auto" w:val="clear"/>
        </w:rPr>
        <w:t>- Prise en charge des installations</w:t>
      </w:r>
    </w:p>
    <w:p>
      <w:pPr>
        <w:pStyle w:val="Normal"/>
        <w:spacing w:before="120" w:after="0"/>
        <w:rPr>
          <w:b w:val="false"/>
          <w:b w:val="false"/>
          <w:bCs w:val="false"/>
          <w:highlight w:val="none"/>
          <w:shd w:fill="auto" w:val="clear"/>
        </w:rPr>
      </w:pPr>
      <w:r>
        <w:rPr>
          <w:b w:val="false"/>
          <w:bCs w:val="false"/>
          <w:shd w:fill="auto" w:val="clear"/>
        </w:rPr>
        <w:t xml:space="preserve">- Gestion informatisée de l’activité </w:t>
      </w:r>
    </w:p>
    <w:p>
      <w:pPr>
        <w:pStyle w:val="Normal"/>
        <w:spacing w:before="120" w:after="0"/>
        <w:rPr>
          <w:b w:val="false"/>
          <w:b w:val="false"/>
          <w:bCs w:val="false"/>
          <w:highlight w:val="none"/>
          <w:shd w:fill="auto" w:val="clear"/>
        </w:rPr>
      </w:pPr>
      <w:r>
        <w:rPr>
          <w:b w:val="false"/>
          <w:bCs w:val="false"/>
          <w:shd w:fill="auto" w:val="clear"/>
        </w:rPr>
        <w:t xml:space="preserve">- Mise à jour de la base de données et gestion de documents </w:t>
      </w:r>
    </w:p>
    <w:p>
      <w:pPr>
        <w:pStyle w:val="Normal"/>
        <w:spacing w:before="120" w:after="0"/>
        <w:rPr>
          <w:b w:val="false"/>
          <w:b w:val="false"/>
          <w:bCs w:val="false"/>
          <w:highlight w:val="none"/>
          <w:shd w:fill="auto" w:val="clear"/>
        </w:rPr>
      </w:pPr>
      <w:r>
        <w:rPr>
          <w:b w:val="false"/>
          <w:bCs w:val="false"/>
          <w:shd w:fill="auto" w:val="clear"/>
        </w:rPr>
        <w:t>- Surveillance des installations</w:t>
      </w:r>
    </w:p>
    <w:p>
      <w:pPr>
        <w:pStyle w:val="Normal"/>
        <w:spacing w:before="120" w:after="0"/>
        <w:rPr>
          <w:b w:val="false"/>
          <w:b w:val="false"/>
          <w:bCs w:val="false"/>
          <w:highlight w:val="none"/>
          <w:shd w:fill="auto" w:val="clear"/>
        </w:rPr>
      </w:pPr>
      <w:r>
        <w:rPr>
          <w:b w:val="false"/>
          <w:bCs w:val="false"/>
          <w:shd w:fill="auto" w:val="clear"/>
        </w:rPr>
        <w:t>- Renseignements sur les projets conduit par des tiers - Enquêtes - Gestion des interactions avec des tiers</w:t>
      </w:r>
    </w:p>
    <w:p>
      <w:pPr>
        <w:pStyle w:val="Normal"/>
        <w:spacing w:before="120" w:after="0"/>
        <w:rPr>
          <w:b w:val="false"/>
          <w:b w:val="false"/>
          <w:bCs w:val="false"/>
          <w:highlight w:val="none"/>
          <w:shd w:fill="auto" w:val="clear"/>
        </w:rPr>
      </w:pPr>
      <w:r>
        <w:rPr>
          <w:b w:val="false"/>
          <w:bCs w:val="false"/>
          <w:shd w:fill="auto" w:val="clear"/>
        </w:rPr>
        <w:t>- Gestion des sinistres - Création et gestion d’un stock de matériel</w:t>
      </w:r>
    </w:p>
    <w:p>
      <w:pPr>
        <w:pStyle w:val="Normal"/>
        <w:spacing w:before="120" w:after="0"/>
        <w:rPr>
          <w:b w:val="false"/>
          <w:b w:val="false"/>
          <w:bCs w:val="false"/>
          <w:highlight w:val="none"/>
          <w:shd w:fill="auto" w:val="clear"/>
        </w:rPr>
      </w:pPr>
      <w:r>
        <w:rPr>
          <w:b w:val="false"/>
          <w:bCs w:val="false"/>
          <w:shd w:fill="auto" w:val="clear"/>
        </w:rPr>
        <w:t>- Proposition de programmation des travaux du Chapitre G3 / Travaux</w:t>
      </w:r>
    </w:p>
    <w:p>
      <w:pPr>
        <w:pStyle w:val="Normal"/>
        <w:spacing w:before="120" w:after="0"/>
        <w:rPr>
          <w:b w:val="false"/>
          <w:b w:val="false"/>
          <w:bCs w:val="false"/>
          <w:highlight w:val="none"/>
          <w:shd w:fill="auto" w:val="clear"/>
        </w:rPr>
      </w:pPr>
      <w:r>
        <w:rPr>
          <w:b w:val="false"/>
          <w:bCs w:val="false"/>
          <w:shd w:fill="auto" w:val="clear"/>
        </w:rPr>
        <w:t>- Vérification des armoires d’alimentation - Surveillance mécanique des supports</w:t>
      </w:r>
    </w:p>
    <w:p>
      <w:pPr>
        <w:pStyle w:val="Normal"/>
        <w:spacing w:before="120" w:after="0"/>
        <w:rPr>
          <w:b w:val="false"/>
          <w:b w:val="false"/>
          <w:bCs w:val="false"/>
          <w:highlight w:val="none"/>
          <w:shd w:fill="auto" w:val="clear"/>
        </w:rPr>
      </w:pPr>
      <w:r>
        <w:rPr>
          <w:b w:val="false"/>
          <w:bCs w:val="false"/>
          <w:shd w:fill="auto" w:val="clear"/>
        </w:rPr>
        <w:t>- Suivi du contrat</w:t>
      </w:r>
    </w:p>
    <w:p>
      <w:pPr>
        <w:pStyle w:val="Normal"/>
        <w:spacing w:before="120" w:after="0"/>
        <w:rPr>
          <w:b w:val="false"/>
          <w:b w:val="false"/>
          <w:bCs w:val="false"/>
          <w:highlight w:val="none"/>
          <w:shd w:fill="auto" w:val="clear"/>
        </w:rPr>
      </w:pPr>
      <w:r>
        <w:rPr>
          <w:b w:val="false"/>
          <w:bCs w:val="false"/>
          <w:shd w:fill="auto" w:val="clear"/>
        </w:rPr>
        <w:t>- Astreinte - Modalités d’intervention</w:t>
      </w:r>
    </w:p>
    <w:p>
      <w:pPr>
        <w:pStyle w:val="Normal"/>
        <w:spacing w:before="120" w:after="0"/>
        <w:rPr>
          <w:highlight w:val="none"/>
          <w:shd w:fill="00FE7F" w:val="clear"/>
        </w:rPr>
      </w:pPr>
      <w:r>
        <w:rPr>
          <w:shd w:fill="00FE7F" w:val="clear"/>
        </w:rPr>
      </w:r>
    </w:p>
    <w:p>
      <w:pPr>
        <w:pStyle w:val="Normal"/>
        <w:spacing w:before="120" w:after="0"/>
        <w:rPr>
          <w:highlight w:val="none"/>
          <w:shd w:fill="auto" w:val="clear"/>
        </w:rPr>
      </w:pPr>
      <w:r>
        <w:rPr>
          <w:rFonts w:eastAsia="arial" w:cs="arial" w:ascii="arial" w:hAnsi="arial"/>
          <w:b/>
          <w:bCs/>
          <w:i w:val="false"/>
          <w:color w:val="000000"/>
          <w:sz w:val="20"/>
          <w:u w:val="single"/>
          <w:shd w:fill="auto" w:val="clear"/>
        </w:rPr>
        <w:t>Sous-critère 2</w:t>
      </w:r>
      <w:r>
        <w:rPr>
          <w:rFonts w:eastAsia="arial" w:cs="arial" w:ascii="arial" w:hAnsi="arial"/>
          <w:b w:val="false"/>
          <w:i w:val="false"/>
          <w:color w:val="000000"/>
          <w:sz w:val="20"/>
          <w:u w:val="none"/>
          <w:shd w:fill="auto" w:val="clear"/>
        </w:rPr>
        <w:t xml:space="preserve"> :  </w:t>
      </w:r>
      <w:r>
        <w:rPr>
          <w:rFonts w:eastAsia="arial" w:cs="arial" w:ascii="arial" w:hAnsi="arial"/>
          <w:b/>
          <w:bCs/>
          <w:i w:val="false"/>
          <w:color w:val="000000"/>
          <w:sz w:val="20"/>
          <w:u w:val="none"/>
          <w:shd w:fill="auto" w:val="clear"/>
        </w:rPr>
        <w:t>7 points maximum </w:t>
      </w:r>
    </w:p>
    <w:p>
      <w:pPr>
        <w:pStyle w:val="Normal"/>
        <w:spacing w:before="120" w:after="0"/>
        <w:rPr>
          <w:highlight w:val="none"/>
          <w:shd w:fill="auto" w:val="clear"/>
        </w:rPr>
      </w:pPr>
      <w:r>
        <w:rPr>
          <w:rFonts w:eastAsia="arial" w:cs="arial" w:ascii="arial" w:hAnsi="arial"/>
          <w:b/>
          <w:bCs/>
          <w:i w:val="false"/>
          <w:color w:val="000000"/>
          <w:sz w:val="20"/>
          <w:u w:val="none"/>
          <w:shd w:fill="auto" w:val="clear"/>
        </w:rPr>
        <w:t>Pertinence des méthodes de réalisation, y compris l’organisation des moyens humains et matériels, pour les missions suivantes issues du CCTP, relative au chapitre G2 Etudes et Investigations :</w:t>
      </w:r>
    </w:p>
    <w:p>
      <w:pPr>
        <w:pStyle w:val="Normal"/>
        <w:spacing w:before="120" w:after="0"/>
        <w:rPr>
          <w:b w:val="false"/>
          <w:b w:val="false"/>
          <w:bCs w:val="false"/>
          <w:highlight w:val="none"/>
          <w:shd w:fill="auto" w:val="clear"/>
        </w:rPr>
      </w:pPr>
      <w:r>
        <w:rPr>
          <w:b w:val="false"/>
          <w:bCs w:val="false"/>
          <w:shd w:fill="auto" w:val="clear"/>
        </w:rPr>
        <w:t>- Dossiers APS</w:t>
      </w:r>
    </w:p>
    <w:p>
      <w:pPr>
        <w:pStyle w:val="Normal"/>
        <w:spacing w:before="120" w:after="0"/>
        <w:rPr>
          <w:b w:val="false"/>
          <w:b w:val="false"/>
          <w:bCs w:val="false"/>
          <w:highlight w:val="none"/>
          <w:shd w:fill="auto" w:val="clear"/>
        </w:rPr>
      </w:pPr>
      <w:r>
        <w:rPr>
          <w:b w:val="false"/>
          <w:bCs w:val="false"/>
          <w:shd w:fill="auto" w:val="clear"/>
        </w:rPr>
        <w:t xml:space="preserve">- </w:t>
      </w:r>
      <w:r>
        <w:rPr>
          <w:b w:val="false"/>
          <w:bCs w:val="false"/>
          <w:color w:val="000000"/>
          <w:shd w:fill="auto" w:val="clear"/>
        </w:rPr>
        <w:t>Contrôles mécanique des supports</w:t>
      </w:r>
    </w:p>
    <w:p>
      <w:pPr>
        <w:pStyle w:val="Normal"/>
        <w:spacing w:before="120" w:after="0"/>
        <w:rPr>
          <w:b w:val="false"/>
          <w:b w:val="false"/>
          <w:bCs w:val="false"/>
          <w:highlight w:val="none"/>
          <w:shd w:fill="auto" w:val="clear"/>
        </w:rPr>
      </w:pPr>
      <w:r>
        <w:rPr>
          <w:b w:val="false"/>
          <w:bCs w:val="false"/>
          <w:shd w:fill="auto" w:val="clear"/>
        </w:rPr>
        <w:t xml:space="preserve">- </w:t>
      </w:r>
      <w:r>
        <w:rPr>
          <w:b w:val="false"/>
          <w:bCs w:val="false"/>
          <w:color w:val="000000"/>
          <w:shd w:fill="auto" w:val="clear"/>
        </w:rPr>
        <w:t xml:space="preserve">Contrôles de présence d’amiante sur voirie </w:t>
      </w:r>
    </w:p>
    <w:p>
      <w:pPr>
        <w:pStyle w:val="Normal"/>
        <w:spacing w:before="120" w:after="0"/>
        <w:rPr>
          <w:b w:val="false"/>
          <w:b w:val="false"/>
          <w:bCs w:val="false"/>
          <w:highlight w:val="none"/>
          <w:shd w:fill="auto" w:val="clear"/>
        </w:rPr>
      </w:pPr>
      <w:r>
        <w:rPr>
          <w:b w:val="false"/>
          <w:bCs w:val="false"/>
          <w:shd w:fill="auto" w:val="clear"/>
        </w:rPr>
        <w:t>- Déclarations de projet de Travaux( DT) et localisation de réseaux</w:t>
      </w:r>
    </w:p>
    <w:p>
      <w:pPr>
        <w:pStyle w:val="Normal"/>
        <w:spacing w:before="120" w:after="0"/>
        <w:rPr>
          <w:b w:val="false"/>
          <w:b w:val="false"/>
          <w:bCs w:val="false"/>
          <w:highlight w:val="none"/>
          <w:shd w:fill="auto" w:val="clear"/>
        </w:rPr>
      </w:pPr>
      <w:r>
        <w:rPr>
          <w:b w:val="false"/>
          <w:bCs w:val="false"/>
          <w:shd w:fill="auto" w:val="clear"/>
        </w:rPr>
        <w:t>- Test, sondages de fourreaux existants</w:t>
      </w:r>
    </w:p>
    <w:p>
      <w:pPr>
        <w:pStyle w:val="Normal"/>
        <w:spacing w:before="120" w:after="0"/>
        <w:rPr>
          <w:b w:val="false"/>
          <w:b w:val="false"/>
          <w:bCs w:val="false"/>
          <w:highlight w:val="none"/>
          <w:shd w:fill="auto" w:val="clear"/>
        </w:rPr>
      </w:pPr>
      <w:r>
        <w:rPr>
          <w:b w:val="false"/>
          <w:bCs w:val="false"/>
          <w:shd w:fill="auto" w:val="clear"/>
        </w:rPr>
        <w:t>- Mises à jour de la base de données</w:t>
      </w:r>
    </w:p>
    <w:p>
      <w:pPr>
        <w:pStyle w:val="Normal"/>
        <w:spacing w:before="120" w:after="0"/>
        <w:rPr>
          <w:highlight w:val="none"/>
          <w:shd w:fill="FFFF00" w:val="clear"/>
        </w:rPr>
      </w:pPr>
      <w:r>
        <w:rPr>
          <w:shd w:fill="FFFF00" w:val="clear"/>
        </w:rPr>
      </w:r>
    </w:p>
    <w:p>
      <w:pPr>
        <w:pStyle w:val="Normal"/>
        <w:spacing w:before="120" w:after="0"/>
        <w:rPr>
          <w:highlight w:val="none"/>
          <w:shd w:fill="FFFF00" w:val="clear"/>
        </w:rPr>
      </w:pPr>
      <w:r>
        <w:rPr>
          <w:shd w:fill="FFFF00" w:val="clear"/>
        </w:rPr>
      </w:r>
    </w:p>
    <w:p>
      <w:pPr>
        <w:pStyle w:val="Normal"/>
        <w:spacing w:before="120" w:after="0"/>
        <w:rPr>
          <w:highlight w:val="none"/>
          <w:shd w:fill="FFFF00" w:val="clear"/>
        </w:rPr>
      </w:pPr>
      <w:r>
        <w:rPr>
          <w:shd w:fill="FFFF00" w:val="clear"/>
        </w:rPr>
      </w:r>
    </w:p>
    <w:p>
      <w:pPr>
        <w:pStyle w:val="Normal"/>
        <w:spacing w:before="120" w:after="0"/>
        <w:rPr>
          <w:highlight w:val="none"/>
          <w:shd w:fill="FFFF00" w:val="clear"/>
        </w:rPr>
      </w:pPr>
      <w:r>
        <w:rPr>
          <w:shd w:fill="FFFF00" w:val="clear"/>
        </w:rPr>
      </w:r>
    </w:p>
    <w:p>
      <w:pPr>
        <w:pStyle w:val="Normal"/>
        <w:spacing w:before="120" w:after="0"/>
        <w:rPr/>
      </w:pPr>
      <w:r>
        <w:rPr>
          <w:rFonts w:eastAsia="arial" w:cs="arial" w:ascii="arial" w:hAnsi="arial"/>
          <w:b/>
          <w:bCs/>
          <w:i w:val="false"/>
          <w:color w:val="000000"/>
          <w:sz w:val="20"/>
          <w:u w:val="single"/>
          <w:shd w:fill="auto" w:val="clear"/>
        </w:rPr>
        <w:t>Sous-critère 3</w:t>
      </w:r>
      <w:r>
        <w:rPr>
          <w:rFonts w:eastAsia="arial" w:cs="arial" w:ascii="arial" w:hAnsi="arial"/>
          <w:b w:val="false"/>
          <w:i w:val="false"/>
          <w:color w:val="000000"/>
          <w:sz w:val="20"/>
          <w:u w:val="none"/>
          <w:shd w:fill="auto" w:val="clear"/>
        </w:rPr>
        <w:t xml:space="preserve"> : </w:t>
      </w:r>
      <w:r>
        <w:rPr>
          <w:rFonts w:eastAsia="arial" w:cs="arial" w:ascii="arial" w:hAnsi="arial"/>
          <w:b/>
          <w:bCs/>
          <w:i w:val="false"/>
          <w:color w:val="000000"/>
          <w:sz w:val="20"/>
          <w:u w:val="none"/>
          <w:shd w:fill="auto" w:val="clear"/>
        </w:rPr>
        <w:t>7 points maximum</w:t>
      </w:r>
    </w:p>
    <w:p>
      <w:pPr>
        <w:pStyle w:val="Normal"/>
        <w:spacing w:before="120" w:after="0"/>
        <w:rPr>
          <w:highlight w:val="none"/>
          <w:shd w:fill="auto" w:val="clear"/>
        </w:rPr>
      </w:pPr>
      <w:r>
        <w:rPr>
          <w:rFonts w:eastAsia="arial" w:cs="arial" w:ascii="arial" w:hAnsi="arial"/>
          <w:b/>
          <w:bCs/>
          <w:i w:val="false"/>
          <w:color w:val="000000"/>
          <w:sz w:val="20"/>
          <w:u w:val="none"/>
          <w:shd w:fill="auto" w:val="clear"/>
        </w:rPr>
        <w:t>Pertinence des méthodes de réalisation, y compris l’organisation des moyens humains et matériels, pour les missions suivantes issues du CCTP, relative au chapitre G3 Travaux</w:t>
      </w:r>
      <w:r>
        <w:rPr>
          <w:b/>
          <w:bCs/>
          <w:shd w:fill="auto" w:val="clear"/>
        </w:rPr>
        <w:t xml:space="preserve"> : </w:t>
      </w:r>
    </w:p>
    <w:p>
      <w:pPr>
        <w:pStyle w:val="Normal"/>
        <w:spacing w:before="120" w:after="0"/>
        <w:rPr>
          <w:b w:val="false"/>
          <w:b w:val="false"/>
          <w:bCs w:val="false"/>
          <w:highlight w:val="none"/>
          <w:shd w:fill="auto" w:val="clear"/>
        </w:rPr>
      </w:pPr>
      <w:r>
        <w:rPr>
          <w:b w:val="false"/>
          <w:bCs w:val="false"/>
          <w:shd w:fill="auto" w:val="clear"/>
        </w:rPr>
        <w:t>- Période de préparation de chantier</w:t>
      </w:r>
    </w:p>
    <w:p>
      <w:pPr>
        <w:pStyle w:val="Normal"/>
        <w:spacing w:before="120" w:after="0"/>
        <w:rPr>
          <w:b w:val="false"/>
          <w:b w:val="false"/>
          <w:bCs w:val="false"/>
          <w:highlight w:val="none"/>
          <w:shd w:fill="auto" w:val="clear"/>
        </w:rPr>
      </w:pPr>
      <w:r>
        <w:rPr>
          <w:b w:val="false"/>
          <w:bCs w:val="false"/>
          <w:shd w:fill="auto" w:val="clear"/>
        </w:rPr>
        <w:t>- Piquetages généraux ou spéciaux des installations et visites préalables</w:t>
      </w:r>
    </w:p>
    <w:p>
      <w:pPr>
        <w:pStyle w:val="Normal"/>
        <w:spacing w:before="120" w:after="0"/>
        <w:rPr>
          <w:b w:val="false"/>
          <w:b w:val="false"/>
          <w:bCs w:val="false"/>
          <w:highlight w:val="none"/>
          <w:shd w:fill="auto" w:val="clear"/>
        </w:rPr>
      </w:pPr>
      <w:bookmarkStart w:id="71" w:name="__RefHeading__19360_1877858327"/>
      <w:bookmarkEnd w:id="71"/>
      <w:r>
        <w:rPr>
          <w:b w:val="false"/>
          <w:bCs w:val="false"/>
          <w:shd w:fill="auto" w:val="clear"/>
        </w:rPr>
        <w:t>- Projets et dossiers d’exécution de travaux d’Eclairage Public ou de Mise en Lumière</w:t>
      </w:r>
    </w:p>
    <w:p>
      <w:pPr>
        <w:pStyle w:val="Normal"/>
        <w:spacing w:before="120" w:after="0"/>
        <w:rPr>
          <w:b w:val="false"/>
          <w:b w:val="false"/>
          <w:bCs w:val="false"/>
          <w:highlight w:val="none"/>
          <w:shd w:fill="auto" w:val="clear"/>
        </w:rPr>
      </w:pPr>
      <w:r>
        <w:rPr>
          <w:b w:val="false"/>
          <w:bCs w:val="false"/>
          <w:shd w:fill="auto" w:val="clear"/>
        </w:rPr>
        <w:t>- Signalisation du chantier - Exécution des prestations</w:t>
      </w:r>
    </w:p>
    <w:p>
      <w:pPr>
        <w:pStyle w:val="Normal"/>
        <w:spacing w:before="120" w:after="0"/>
        <w:rPr>
          <w:b w:val="false"/>
          <w:b w:val="false"/>
          <w:bCs w:val="false"/>
          <w:highlight w:val="none"/>
          <w:shd w:fill="auto" w:val="clear"/>
        </w:rPr>
      </w:pPr>
      <w:r>
        <w:rPr>
          <w:b w:val="false"/>
          <w:bCs w:val="false"/>
          <w:shd w:fill="auto" w:val="clear"/>
        </w:rPr>
        <w:t>- Dépose et remise en état des lieux</w:t>
      </w:r>
    </w:p>
    <w:p>
      <w:pPr>
        <w:pStyle w:val="Normal"/>
        <w:spacing w:before="120" w:after="0"/>
        <w:rPr>
          <w:b w:val="false"/>
          <w:b w:val="false"/>
          <w:bCs w:val="false"/>
          <w:highlight w:val="none"/>
          <w:shd w:fill="auto" w:val="clear"/>
        </w:rPr>
      </w:pPr>
      <w:r>
        <w:rPr>
          <w:b w:val="false"/>
          <w:bCs w:val="false"/>
          <w:shd w:fill="auto" w:val="clear"/>
        </w:rPr>
        <w:t>- Contrôles techniques - Essais et réglages</w:t>
      </w:r>
    </w:p>
    <w:p>
      <w:pPr>
        <w:pStyle w:val="Normal"/>
        <w:spacing w:before="120" w:after="0"/>
        <w:rPr>
          <w:b w:val="false"/>
          <w:b w:val="false"/>
          <w:bCs w:val="false"/>
          <w:highlight w:val="none"/>
          <w:shd w:fill="auto" w:val="clear"/>
        </w:rPr>
      </w:pPr>
      <w:r>
        <w:rPr>
          <w:b w:val="false"/>
          <w:bCs w:val="false"/>
          <w:shd w:fill="auto" w:val="clear"/>
        </w:rPr>
        <w:t>- Repliement des installations de chantier - Réception des ouvrages</w:t>
      </w:r>
    </w:p>
    <w:p>
      <w:pPr>
        <w:pStyle w:val="Normal"/>
        <w:spacing w:before="120" w:after="0"/>
        <w:rPr>
          <w:b/>
          <w:b/>
          <w:bCs/>
          <w:highlight w:val="none"/>
          <w:shd w:fill="00FFFF" w:val="clear"/>
        </w:rPr>
      </w:pPr>
      <w:r>
        <w:rPr>
          <w:b/>
          <w:bCs/>
          <w:shd w:fill="00FFFF" w:val="clear"/>
        </w:rPr>
      </w:r>
    </w:p>
    <w:p>
      <w:pPr>
        <w:pStyle w:val="Normal"/>
        <w:spacing w:before="120" w:after="0"/>
        <w:rPr>
          <w:highlight w:val="none"/>
          <w:shd w:fill="auto" w:val="clear"/>
        </w:rPr>
      </w:pPr>
      <w:r>
        <w:rPr>
          <w:rFonts w:eastAsia="arial" w:cs="arial" w:ascii="arial" w:hAnsi="arial"/>
          <w:b/>
          <w:bCs/>
          <w:i w:val="false"/>
          <w:color w:val="000000"/>
          <w:sz w:val="20"/>
          <w:u w:val="single"/>
          <w:shd w:fill="auto" w:val="clear"/>
        </w:rPr>
        <w:t>Sous-critère 4</w:t>
      </w:r>
      <w:r>
        <w:rPr>
          <w:rFonts w:eastAsia="arial" w:cs="arial" w:ascii="arial" w:hAnsi="arial"/>
          <w:b w:val="false"/>
          <w:i w:val="false"/>
          <w:color w:val="000000"/>
          <w:sz w:val="20"/>
          <w:u w:val="none"/>
          <w:shd w:fill="auto" w:val="clear"/>
        </w:rPr>
        <w:t xml:space="preserve"> :  </w:t>
      </w:r>
      <w:r>
        <w:rPr>
          <w:rFonts w:eastAsia="arial" w:cs="arial" w:ascii="arial" w:hAnsi="arial"/>
          <w:b/>
          <w:bCs/>
          <w:i w:val="false"/>
          <w:iCs w:val="false"/>
          <w:strike w:val="false"/>
          <w:dstrike w:val="false"/>
          <w:outline w:val="false"/>
          <w:shadow w:val="false"/>
          <w:color w:val="000000"/>
          <w:sz w:val="20"/>
          <w:szCs w:val="20"/>
          <w:u w:val="none"/>
          <w:shd w:fill="auto" w:val="clear"/>
        </w:rPr>
        <w:t xml:space="preserve">12 points maximum </w:t>
      </w:r>
    </w:p>
    <w:p>
      <w:pPr>
        <w:pStyle w:val="Normal"/>
        <w:spacing w:before="120" w:after="0"/>
        <w:rPr>
          <w:highlight w:val="none"/>
          <w:shd w:fill="auto" w:val="clear"/>
        </w:rPr>
      </w:pPr>
      <w:r>
        <w:rPr>
          <w:rFonts w:eastAsia="arial" w:cs="arial"/>
          <w:b/>
          <w:bCs/>
          <w:i w:val="false"/>
          <w:iCs w:val="false"/>
          <w:strike w:val="false"/>
          <w:dstrike w:val="false"/>
          <w:outline w:val="false"/>
          <w:shadow w:val="false"/>
          <w:color w:val="000000"/>
          <w:sz w:val="20"/>
          <w:szCs w:val="20"/>
          <w:u w:val="none"/>
          <w:shd w:fill="auto" w:val="clear"/>
        </w:rPr>
        <w:t>Performance des luminaires</w:t>
      </w:r>
      <w:r>
        <w:rPr>
          <w:rFonts w:eastAsia="arial" w:cs="arial"/>
          <w:b w:val="false"/>
          <w:bCs w:val="false"/>
          <w:i w:val="false"/>
          <w:iCs w:val="false"/>
          <w:strike w:val="false"/>
          <w:dstrike w:val="false"/>
          <w:outline w:val="false"/>
          <w:shadow w:val="false"/>
          <w:color w:val="000000"/>
          <w:sz w:val="20"/>
          <w:szCs w:val="20"/>
          <w:u w:val="none"/>
          <w:shd w:fill="auto" w:val="clear"/>
        </w:rPr>
        <w:t xml:space="preserve"> appréciée au regard du </w:t>
      </w:r>
      <w:r>
        <w:rPr>
          <w:rFonts w:eastAsia="arial" w:cs="arial"/>
          <w:b/>
          <w:bCs/>
          <w:i w:val="false"/>
          <w:iCs w:val="false"/>
          <w:strike w:val="false"/>
          <w:dstrike w:val="false"/>
          <w:outline w:val="false"/>
          <w:shadow w:val="false"/>
          <w:color w:val="000000"/>
          <w:sz w:val="20"/>
          <w:szCs w:val="20"/>
          <w:u w:val="none"/>
          <w:shd w:fill="auto" w:val="clear"/>
        </w:rPr>
        <w:t>nombre de photométrie</w:t>
      </w:r>
      <w:r>
        <w:rPr>
          <w:rFonts w:eastAsia="arial" w:cs="arial"/>
          <w:b w:val="false"/>
          <w:bCs w:val="false"/>
          <w:i w:val="false"/>
          <w:iCs w:val="false"/>
          <w:strike w:val="false"/>
          <w:dstrike w:val="false"/>
          <w:outline w:val="false"/>
          <w:shadow w:val="false"/>
          <w:color w:val="000000"/>
          <w:sz w:val="20"/>
          <w:szCs w:val="20"/>
          <w:u w:val="none"/>
          <w:shd w:fill="auto" w:val="clear"/>
        </w:rPr>
        <w:t xml:space="preserve">, du </w:t>
      </w:r>
      <w:r>
        <w:rPr>
          <w:rFonts w:eastAsia="arial" w:cs="arial"/>
          <w:b/>
          <w:bCs/>
          <w:i w:val="false"/>
          <w:iCs w:val="false"/>
          <w:strike w:val="false"/>
          <w:dstrike w:val="false"/>
          <w:outline w:val="false"/>
          <w:shadow w:val="false"/>
          <w:color w:val="000000"/>
          <w:sz w:val="20"/>
          <w:szCs w:val="20"/>
          <w:u w:val="none"/>
          <w:shd w:fill="auto" w:val="clear"/>
        </w:rPr>
        <w:t>rendement lumineux</w:t>
      </w:r>
      <w:r>
        <w:rPr>
          <w:rFonts w:eastAsia="arial" w:cs="arial"/>
          <w:b w:val="false"/>
          <w:bCs w:val="false"/>
          <w:i w:val="false"/>
          <w:iCs w:val="false"/>
          <w:strike w:val="false"/>
          <w:dstrike w:val="false"/>
          <w:outline w:val="false"/>
          <w:shadow w:val="false"/>
          <w:color w:val="000000"/>
          <w:sz w:val="20"/>
          <w:szCs w:val="20"/>
          <w:u w:val="none"/>
          <w:shd w:fill="auto" w:val="clear"/>
        </w:rPr>
        <w:t xml:space="preserve">, de </w:t>
      </w:r>
      <w:r>
        <w:rPr>
          <w:rFonts w:eastAsia="arial" w:cs="arial"/>
          <w:b/>
          <w:bCs/>
          <w:i w:val="false"/>
          <w:iCs w:val="false"/>
          <w:strike w:val="false"/>
          <w:dstrike w:val="false"/>
          <w:outline w:val="false"/>
          <w:shadow w:val="false"/>
          <w:color w:val="000000"/>
          <w:sz w:val="20"/>
          <w:szCs w:val="20"/>
          <w:u w:val="none"/>
          <w:shd w:fill="auto" w:val="clear"/>
        </w:rPr>
        <w:t>l’IP</w:t>
      </w:r>
      <w:r>
        <w:rPr>
          <w:rFonts w:eastAsia="arial" w:cs="arial"/>
          <w:b w:val="false"/>
          <w:bCs w:val="false"/>
          <w:i w:val="false"/>
          <w:iCs w:val="false"/>
          <w:strike w:val="false"/>
          <w:dstrike w:val="false"/>
          <w:outline w:val="false"/>
          <w:shadow w:val="false"/>
          <w:color w:val="000000"/>
          <w:sz w:val="20"/>
          <w:szCs w:val="20"/>
          <w:u w:val="none"/>
          <w:shd w:fill="auto" w:val="clear"/>
        </w:rPr>
        <w:t xml:space="preserve">, de </w:t>
      </w:r>
      <w:r>
        <w:rPr>
          <w:rFonts w:eastAsia="arial" w:cs="arial"/>
          <w:b/>
          <w:bCs/>
          <w:i w:val="false"/>
          <w:iCs w:val="false"/>
          <w:strike w:val="false"/>
          <w:dstrike w:val="false"/>
          <w:outline w:val="false"/>
          <w:shadow w:val="false"/>
          <w:color w:val="000000"/>
          <w:sz w:val="20"/>
          <w:szCs w:val="20"/>
          <w:u w:val="none"/>
          <w:shd w:fill="auto" w:val="clear"/>
        </w:rPr>
        <w:t>l’IK</w:t>
      </w:r>
      <w:r>
        <w:rPr>
          <w:rFonts w:eastAsia="arial" w:cs="arial"/>
          <w:b w:val="false"/>
          <w:bCs w:val="false"/>
          <w:i w:val="false"/>
          <w:iCs w:val="false"/>
          <w:strike w:val="false"/>
          <w:dstrike w:val="false"/>
          <w:outline w:val="false"/>
          <w:shadow w:val="false"/>
          <w:color w:val="000000"/>
          <w:sz w:val="20"/>
          <w:szCs w:val="20"/>
          <w:u w:val="none"/>
          <w:shd w:fill="auto" w:val="clear"/>
        </w:rPr>
        <w:t xml:space="preserve">, des </w:t>
      </w:r>
      <w:r>
        <w:rPr>
          <w:rFonts w:eastAsia="arial" w:cs="arial"/>
          <w:b/>
          <w:bCs/>
          <w:i w:val="false"/>
          <w:iCs w:val="false"/>
          <w:strike w:val="false"/>
          <w:dstrike w:val="false"/>
          <w:outline w:val="false"/>
          <w:shadow w:val="false"/>
          <w:color w:val="000000"/>
          <w:sz w:val="20"/>
          <w:szCs w:val="20"/>
          <w:u w:val="none"/>
          <w:shd w:fill="auto" w:val="clear"/>
        </w:rPr>
        <w:t>IRC</w:t>
      </w:r>
      <w:r>
        <w:rPr>
          <w:rFonts w:eastAsia="arial" w:cs="arial"/>
          <w:b w:val="false"/>
          <w:bCs w:val="false"/>
          <w:i w:val="false"/>
          <w:iCs w:val="false"/>
          <w:strike w:val="false"/>
          <w:dstrike w:val="false"/>
          <w:outline w:val="false"/>
          <w:shadow w:val="false"/>
          <w:color w:val="000000"/>
          <w:sz w:val="20"/>
          <w:szCs w:val="20"/>
          <w:u w:val="none"/>
          <w:shd w:fill="auto" w:val="clear"/>
        </w:rPr>
        <w:t xml:space="preserve"> </w:t>
      </w:r>
      <w:r>
        <w:rPr>
          <w:rFonts w:eastAsia="arial" w:cs="arial"/>
          <w:b/>
          <w:bCs/>
          <w:i w:val="false"/>
          <w:iCs w:val="false"/>
          <w:strike w:val="false"/>
          <w:dstrike w:val="false"/>
          <w:outline w:val="false"/>
          <w:shadow w:val="false"/>
          <w:color w:val="000000"/>
          <w:sz w:val="20"/>
          <w:szCs w:val="20"/>
          <w:u w:val="none"/>
          <w:shd w:fill="auto" w:val="clear"/>
        </w:rPr>
        <w:t>pour chaque luminaire issu de la liste du matériel proposé</w:t>
      </w:r>
      <w:r>
        <w:rPr>
          <w:rFonts w:eastAsia="arial" w:cs="arial"/>
          <w:b w:val="false"/>
          <w:bCs w:val="false"/>
          <w:i w:val="false"/>
          <w:iCs w:val="false"/>
          <w:strike w:val="false"/>
          <w:dstrike w:val="false"/>
          <w:outline w:val="false"/>
          <w:shadow w:val="false"/>
          <w:color w:val="000000"/>
          <w:sz w:val="20"/>
          <w:szCs w:val="20"/>
          <w:u w:val="none"/>
          <w:shd w:fill="auto" w:val="clear"/>
        </w:rPr>
        <w:t xml:space="preserve"> par le candidat. </w:t>
      </w:r>
    </w:p>
    <w:p>
      <w:pPr>
        <w:pStyle w:val="Contenudetableau"/>
        <w:jc w:val="left"/>
        <w:rPr>
          <w:rFonts w:ascii="Arial" w:hAnsi="Arial"/>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 xml:space="preserve">Photométrie : </w:t>
      </w:r>
      <w:r>
        <w:rPr>
          <w:b/>
          <w:bCs/>
          <w:i w:val="false"/>
          <w:iCs w:val="false"/>
          <w:strike w:val="false"/>
          <w:dstrike w:val="false"/>
          <w:outline w:val="false"/>
          <w:shadow w:val="false"/>
          <w:color w:val="000000"/>
          <w:sz w:val="20"/>
          <w:szCs w:val="20"/>
          <w:u w:val="none"/>
        </w:rPr>
        <w:t>5 points</w:t>
      </w:r>
    </w:p>
    <w:p>
      <w:pPr>
        <w:pStyle w:val="Contenudetableau"/>
        <w:jc w:val="left"/>
        <w:rPr>
          <w:rFonts w:ascii="Arial" w:hAnsi="Arial"/>
          <w:b w:val="false"/>
          <w:b w:val="false"/>
          <w:bCs w:val="false"/>
          <w:i w:val="false"/>
          <w:i w:val="false"/>
          <w:iCs w:val="false"/>
          <w:strike w:val="false"/>
          <w:dstrike w:val="false"/>
          <w:outline w:val="false"/>
          <w:shadow w:val="false"/>
          <w:color w:val="000000"/>
          <w:sz w:val="20"/>
          <w:szCs w:val="20"/>
          <w:u w:val="none"/>
        </w:rPr>
      </w:pPr>
      <w:r>
        <w:rPr>
          <w:rFonts w:eastAsia="arial" w:cs="arial"/>
          <w:b w:val="false"/>
          <w:bCs/>
          <w:i w:val="false"/>
          <w:iCs w:val="false"/>
          <w:strike w:val="false"/>
          <w:dstrike w:val="false"/>
          <w:outline w:val="false"/>
          <w:shadow w:val="false"/>
          <w:color w:val="000000"/>
          <w:sz w:val="20"/>
          <w:szCs w:val="20"/>
          <w:u w:val="none"/>
          <w:shd w:fill="auto" w:val="clear"/>
        </w:rPr>
        <w:t xml:space="preserve">rendement lumineux : </w:t>
      </w:r>
      <w:r>
        <w:rPr>
          <w:rFonts w:eastAsia="arial" w:cs="arial"/>
          <w:b/>
          <w:bCs/>
          <w:i w:val="false"/>
          <w:iCs w:val="false"/>
          <w:strike w:val="false"/>
          <w:dstrike w:val="false"/>
          <w:outline w:val="false"/>
          <w:shadow w:val="false"/>
          <w:color w:val="000000"/>
          <w:sz w:val="20"/>
          <w:szCs w:val="20"/>
          <w:u w:val="none"/>
          <w:shd w:fill="auto" w:val="clear"/>
        </w:rPr>
        <w:t>4 points</w:t>
      </w:r>
    </w:p>
    <w:p>
      <w:pPr>
        <w:pStyle w:val="Contenudetableau"/>
        <w:spacing w:before="120" w:after="0"/>
        <w:jc w:val="left"/>
        <w:rPr>
          <w:rFonts w:ascii="Arial" w:hAnsi="Arial"/>
          <w:b w:val="false"/>
          <w:b w:val="false"/>
          <w:bCs w:val="false"/>
          <w:i w:val="false"/>
          <w:i w:val="false"/>
          <w:iCs w:val="false"/>
          <w:strike w:val="false"/>
          <w:dstrike w:val="false"/>
          <w:outline w:val="false"/>
          <w:shadow w:val="false"/>
          <w:color w:val="000000"/>
          <w:sz w:val="20"/>
          <w:szCs w:val="20"/>
          <w:u w:val="none"/>
        </w:rPr>
      </w:pPr>
      <w:r>
        <w:rPr>
          <w:rFonts w:eastAsia="arial" w:cs="arial" w:ascii="arial" w:hAnsi="arial"/>
          <w:b w:val="false"/>
          <w:bCs w:val="false"/>
          <w:i w:val="false"/>
          <w:iCs w:val="false"/>
          <w:strike w:val="false"/>
          <w:dstrike w:val="false"/>
          <w:outline w:val="false"/>
          <w:shadow w:val="false"/>
          <w:color w:val="000000"/>
          <w:sz w:val="20"/>
          <w:szCs w:val="20"/>
          <w:u w:val="none"/>
          <w:shd w:fill="auto" w:val="clear"/>
        </w:rPr>
        <w:t xml:space="preserve">IP IK IRC : </w:t>
      </w:r>
      <w:r>
        <w:rPr>
          <w:rFonts w:eastAsia="arial" w:cs="arial" w:ascii="arial" w:hAnsi="arial"/>
          <w:b/>
          <w:bCs/>
          <w:i w:val="false"/>
          <w:iCs w:val="false"/>
          <w:strike w:val="false"/>
          <w:dstrike w:val="false"/>
          <w:outline w:val="false"/>
          <w:shadow w:val="false"/>
          <w:color w:val="000000"/>
          <w:sz w:val="20"/>
          <w:szCs w:val="20"/>
          <w:u w:val="none"/>
          <w:shd w:fill="auto" w:val="clear"/>
        </w:rPr>
        <w:t>3 points</w:t>
      </w:r>
    </w:p>
    <w:p>
      <w:pPr>
        <w:pStyle w:val="Normal"/>
        <w:spacing w:before="120" w:after="0"/>
        <w:rPr>
          <w:highlight w:val="none"/>
          <w:shd w:fill="FFFF00" w:val="clear"/>
        </w:rPr>
      </w:pPr>
      <w:r>
        <w:rPr>
          <w:rFonts w:eastAsia="arial" w:cs="arial" w:ascii="arial" w:hAnsi="arial"/>
          <w:b/>
          <w:bCs/>
          <w:i w:val="false"/>
          <w:iCs w:val="false"/>
          <w:strike w:val="false"/>
          <w:dstrike w:val="false"/>
          <w:outline w:val="false"/>
          <w:shadow w:val="false"/>
          <w:color w:val="000000"/>
          <w:sz w:val="20"/>
          <w:szCs w:val="20"/>
          <w:u w:val="none"/>
          <w:shd w:fill="FFFF00" w:val="clear"/>
        </w:rPr>
        <w:t xml:space="preserve">Le candidat doit, à partir de la liste du matériel qu’il propose et des fiches techniques, </w:t>
      </w:r>
      <w:r>
        <w:rPr>
          <w:rFonts w:eastAsia="arial" w:cs="arial" w:ascii="arial" w:hAnsi="arial"/>
          <w:b/>
          <w:bCs/>
          <w:i w:val="false"/>
          <w:iCs w:val="false"/>
          <w:strike w:val="false"/>
          <w:dstrike w:val="false"/>
          <w:outline w:val="false"/>
          <w:shadow w:val="false"/>
          <w:color w:val="000000"/>
          <w:sz w:val="20"/>
          <w:szCs w:val="20"/>
          <w:u w:val="single"/>
          <w:shd w:fill="FFFF00" w:val="clear"/>
        </w:rPr>
        <w:t>remplir obligatoirement</w:t>
      </w:r>
      <w:r>
        <w:rPr>
          <w:rFonts w:eastAsia="arial" w:cs="arial" w:ascii="arial" w:hAnsi="arial"/>
          <w:b/>
          <w:bCs/>
          <w:i w:val="false"/>
          <w:iCs w:val="false"/>
          <w:strike w:val="false"/>
          <w:dstrike w:val="false"/>
          <w:outline w:val="false"/>
          <w:shadow w:val="false"/>
          <w:color w:val="000000"/>
          <w:sz w:val="20"/>
          <w:szCs w:val="20"/>
          <w:u w:val="none"/>
          <w:shd w:fill="FFFF00" w:val="clear"/>
        </w:rPr>
        <w:t>, le tableau des caratéristiques techniques des luminaires LED fourni dans le DCE.</w:t>
      </w:r>
      <w:r>
        <w:rPr>
          <w:rFonts w:eastAsia="arial" w:cs="arial"/>
          <w:b w:val="false"/>
          <w:bCs/>
          <w:i w:val="false"/>
          <w:iCs w:val="false"/>
          <w:strike w:val="false"/>
          <w:dstrike w:val="false"/>
          <w:outline w:val="false"/>
          <w:shadow w:val="false"/>
          <w:color w:val="000000"/>
          <w:sz w:val="20"/>
          <w:szCs w:val="20"/>
          <w:u w:val="none"/>
          <w:shd w:fill="FFFF00" w:val="clear"/>
        </w:rPr>
        <w:t xml:space="preserve"> </w:t>
      </w:r>
    </w:p>
    <w:p>
      <w:pPr>
        <w:pStyle w:val="Contenudetableau"/>
        <w:spacing w:before="120" w:after="0"/>
        <w:jc w:val="left"/>
        <w:rPr>
          <w:b w:val="false"/>
          <w:b w:val="false"/>
          <w:bCs w:val="false"/>
        </w:rPr>
      </w:pPr>
      <w:r>
        <w:rPr>
          <w:rFonts w:eastAsia="arial" w:cs="arial" w:ascii="arial" w:hAnsi="arial"/>
          <w:b w:val="false"/>
          <w:bCs w:val="false"/>
          <w:i w:val="false"/>
          <w:color w:val="000000"/>
          <w:sz w:val="20"/>
          <w:u w:val="none"/>
          <w:shd w:fill="FFFF00" w:val="clear"/>
        </w:rPr>
        <w:t>Le candidat doit nécessairement présenter 2 produits distincts (modèle A, modèle B) pour chaque matériel sous peine d’irrégularité</w:t>
      </w:r>
      <w:r>
        <w:rPr>
          <w:rFonts w:eastAsia="arial" w:cs="arial" w:ascii="arial" w:hAnsi="arial"/>
          <w:b w:val="false"/>
          <w:bCs w:val="false"/>
          <w:i w:val="false"/>
          <w:color w:val="000000"/>
          <w:sz w:val="20"/>
          <w:u w:val="none"/>
          <w:shd w:fill="auto" w:val="clear"/>
        </w:rPr>
        <w:t>.</w:t>
      </w:r>
      <w:r>
        <w:rPr>
          <w:rFonts w:eastAsia="arial" w:cs="arial" w:ascii="arial" w:hAnsi="arial"/>
          <w:b w:val="false"/>
          <w:bCs w:val="false"/>
          <w:i w:val="false"/>
          <w:color w:val="000000"/>
          <w:sz w:val="20"/>
          <w:u w:val="none"/>
          <w:shd w:fill="FFFF00" w:val="clear"/>
        </w:rPr>
        <w:t xml:space="preserve"> </w:t>
      </w:r>
    </w:p>
    <w:p>
      <w:pPr>
        <w:pStyle w:val="Contenudetableau"/>
        <w:spacing w:before="120" w:after="0"/>
        <w:jc w:val="left"/>
        <w:rPr>
          <w:rFonts w:ascii="arial" w:hAnsi="arial" w:eastAsia="arial" w:cs="arial"/>
          <w:b/>
          <w:b/>
          <w:bCs/>
          <w:i w:val="false"/>
          <w:i w:val="false"/>
          <w:color w:val="000000"/>
          <w:sz w:val="20"/>
          <w:u w:val="none"/>
          <w:shd w:fill="auto" w:val="clear"/>
        </w:rPr>
      </w:pPr>
      <w:r>
        <w:rPr>
          <w:rFonts w:eastAsia="arial" w:cs="arial" w:ascii="arial" w:hAnsi="arial"/>
          <w:b/>
          <w:bCs/>
          <w:i w:val="false"/>
          <w:color w:val="000000"/>
          <w:sz w:val="20"/>
          <w:u w:val="none"/>
          <w:shd w:fill="auto" w:val="clear"/>
        </w:rPr>
      </w:r>
    </w:p>
    <w:p>
      <w:pPr>
        <w:pStyle w:val="Contenudetableau"/>
        <w:spacing w:before="120" w:after="0"/>
        <w:jc w:val="left"/>
        <w:rPr>
          <w:rFonts w:ascii="Arial" w:hAnsi="Arial"/>
          <w:b w:val="false"/>
          <w:b w:val="false"/>
          <w:bCs w:val="false"/>
          <w:i w:val="false"/>
          <w:i w:val="false"/>
          <w:iCs w:val="false"/>
          <w:strike w:val="false"/>
          <w:dstrike w:val="false"/>
          <w:outline w:val="false"/>
          <w:shadow w:val="false"/>
          <w:color w:val="000000"/>
          <w:sz w:val="20"/>
          <w:szCs w:val="20"/>
          <w:u w:val="none"/>
        </w:rPr>
      </w:pPr>
      <w:r>
        <w:rPr>
          <w:rFonts w:eastAsia="arial" w:cs="arial"/>
          <w:b w:val="false"/>
          <w:bCs w:val="false"/>
          <w:i w:val="false"/>
          <w:iCs w:val="false"/>
          <w:strike w:val="false"/>
          <w:dstrike w:val="false"/>
          <w:outline w:val="false"/>
          <w:shadow w:val="false"/>
          <w:color w:val="000000"/>
          <w:sz w:val="20"/>
          <w:szCs w:val="20"/>
          <w:u w:val="single"/>
          <w:shd w:fill="auto" w:val="clear"/>
        </w:rPr>
        <w:t>Rappel des luminaires figurant sur la liste de matériels à compléter par le candidat</w:t>
      </w:r>
      <w:r>
        <w:rPr>
          <w:rFonts w:eastAsia="arial" w:cs="arial"/>
          <w:b w:val="false"/>
          <w:bCs w:val="false"/>
          <w:i w:val="false"/>
          <w:iCs w:val="false"/>
          <w:strike w:val="false"/>
          <w:dstrike w:val="false"/>
          <w:outline w:val="false"/>
          <w:shadow w:val="false"/>
          <w:color w:val="000000"/>
          <w:sz w:val="20"/>
          <w:szCs w:val="20"/>
          <w:u w:val="none"/>
          <w:shd w:fill="auto" w:val="clear"/>
        </w:rPr>
        <w:t> :</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B, mod</w:t>
      </w:r>
      <w:r>
        <w:rPr>
          <w:b w:val="false"/>
          <w:bCs w:val="false"/>
          <w:i w:val="false"/>
          <w:strike w:val="false"/>
          <w:dstrike w:val="false"/>
          <w:outline w:val="false"/>
          <w:shadow w:val="false"/>
          <w:color w:val="000000"/>
          <w:sz w:val="20"/>
          <w:szCs w:val="20"/>
          <w:u w:val="none"/>
          <w:em w:val="none"/>
        </w:rPr>
        <w:t>èle A, pour toute hauteur de feux</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B, mod</w:t>
      </w:r>
      <w:r>
        <w:rPr>
          <w:b w:val="false"/>
          <w:bCs w:val="false"/>
          <w:i w:val="false"/>
          <w:strike w:val="false"/>
          <w:dstrike w:val="false"/>
          <w:outline w:val="false"/>
          <w:shadow w:val="false"/>
          <w:color w:val="000000"/>
          <w:sz w:val="20"/>
          <w:szCs w:val="20"/>
          <w:u w:val="none"/>
          <w:em w:val="none"/>
        </w:rPr>
        <w:t>èle B, pour toute hauteur de feux</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R taille 1, mod</w:t>
      </w:r>
      <w:r>
        <w:rPr>
          <w:b w:val="false"/>
          <w:bCs w:val="false"/>
          <w:i w:val="false"/>
          <w:strike w:val="false"/>
          <w:dstrike w:val="false"/>
          <w:outline w:val="false"/>
          <w:shadow w:val="false"/>
          <w:color w:val="000000"/>
          <w:sz w:val="20"/>
          <w:szCs w:val="20"/>
          <w:u w:val="none"/>
          <w:em w:val="none"/>
        </w:rPr>
        <w:t>èle A, pour une hauteur de feux jusqu’à 6 m</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R taille 1, mod</w:t>
      </w:r>
      <w:r>
        <w:rPr>
          <w:b w:val="false"/>
          <w:bCs w:val="false"/>
          <w:i w:val="false"/>
          <w:strike w:val="false"/>
          <w:dstrike w:val="false"/>
          <w:outline w:val="false"/>
          <w:shadow w:val="false"/>
          <w:color w:val="000000"/>
          <w:sz w:val="20"/>
          <w:szCs w:val="20"/>
          <w:u w:val="none"/>
          <w:em w:val="none"/>
        </w:rPr>
        <w:t>èle B, pour une hauteur de feux jusqu’à 6 m</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R taille 2, mod</w:t>
      </w:r>
      <w:r>
        <w:rPr>
          <w:b w:val="false"/>
          <w:bCs w:val="false"/>
          <w:i w:val="false"/>
          <w:strike w:val="false"/>
          <w:dstrike w:val="false"/>
          <w:outline w:val="false"/>
          <w:shadow w:val="false"/>
          <w:color w:val="000000"/>
          <w:sz w:val="20"/>
          <w:szCs w:val="20"/>
          <w:u w:val="none"/>
          <w:em w:val="none"/>
        </w:rPr>
        <w:t>èle A, pour une hauteur de feux supérieure à 6 m</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R taille 2, mod</w:t>
      </w:r>
      <w:r>
        <w:rPr>
          <w:b w:val="false"/>
          <w:bCs w:val="false"/>
          <w:i w:val="false"/>
          <w:strike w:val="false"/>
          <w:dstrike w:val="false"/>
          <w:outline w:val="false"/>
          <w:shadow w:val="false"/>
          <w:color w:val="000000"/>
          <w:sz w:val="20"/>
          <w:szCs w:val="20"/>
          <w:u w:val="none"/>
          <w:em w:val="none"/>
        </w:rPr>
        <w:t>èle B, pour une hauteur de feux supérieure à 6 m</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C taille 1, mod</w:t>
      </w:r>
      <w:r>
        <w:rPr>
          <w:b w:val="false"/>
          <w:bCs w:val="false"/>
          <w:i w:val="false"/>
          <w:strike w:val="false"/>
          <w:dstrike w:val="false"/>
          <w:outline w:val="false"/>
          <w:shadow w:val="false"/>
          <w:color w:val="000000"/>
          <w:sz w:val="20"/>
          <w:szCs w:val="20"/>
          <w:u w:val="none"/>
          <w:em w:val="none"/>
        </w:rPr>
        <w:t>èle A, pour une hauteur de feux jusqu’à 6 m</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C taille 1, mod</w:t>
      </w:r>
      <w:r>
        <w:rPr>
          <w:b w:val="false"/>
          <w:bCs w:val="false"/>
          <w:i w:val="false"/>
          <w:strike w:val="false"/>
          <w:dstrike w:val="false"/>
          <w:outline w:val="false"/>
          <w:shadow w:val="false"/>
          <w:color w:val="000000"/>
          <w:sz w:val="20"/>
          <w:szCs w:val="20"/>
          <w:u w:val="none"/>
          <w:em w:val="none"/>
        </w:rPr>
        <w:t>èle B, pour une hauteur de feux jusqu’à 6 m</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C taille 2, mod</w:t>
      </w:r>
      <w:r>
        <w:rPr>
          <w:b w:val="false"/>
          <w:bCs w:val="false"/>
          <w:i w:val="false"/>
          <w:strike w:val="false"/>
          <w:dstrike w:val="false"/>
          <w:outline w:val="false"/>
          <w:shadow w:val="false"/>
          <w:color w:val="000000"/>
          <w:sz w:val="20"/>
          <w:szCs w:val="20"/>
          <w:u w:val="none"/>
          <w:em w:val="none"/>
        </w:rPr>
        <w:t>èle A, pour une hauteur de feux supérieure à 6 m</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C taille 2, mod</w:t>
      </w:r>
      <w:r>
        <w:rPr>
          <w:b w:val="false"/>
          <w:bCs w:val="false"/>
          <w:i w:val="false"/>
          <w:strike w:val="false"/>
          <w:dstrike w:val="false"/>
          <w:outline w:val="false"/>
          <w:shadow w:val="false"/>
          <w:color w:val="000000"/>
          <w:sz w:val="20"/>
          <w:szCs w:val="20"/>
          <w:u w:val="none"/>
          <w:em w:val="none"/>
        </w:rPr>
        <w:t>èle B, pour une hauteur de feux supérieure à 6 m</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J, mod</w:t>
      </w:r>
      <w:r>
        <w:rPr>
          <w:b w:val="false"/>
          <w:bCs w:val="false"/>
          <w:i w:val="false"/>
          <w:strike w:val="false"/>
          <w:dstrike w:val="false"/>
          <w:outline w:val="false"/>
          <w:shadow w:val="false"/>
          <w:color w:val="000000"/>
          <w:sz w:val="20"/>
          <w:szCs w:val="20"/>
          <w:u w:val="none"/>
          <w:em w:val="none"/>
        </w:rPr>
        <w:t>èle A, pour toute hauteur de feux</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J, mod</w:t>
      </w:r>
      <w:r>
        <w:rPr>
          <w:b w:val="false"/>
          <w:bCs w:val="false"/>
          <w:i w:val="false"/>
          <w:strike w:val="false"/>
          <w:dstrike w:val="false"/>
          <w:outline w:val="false"/>
          <w:shadow w:val="false"/>
          <w:color w:val="000000"/>
          <w:sz w:val="20"/>
          <w:szCs w:val="20"/>
          <w:u w:val="none"/>
          <w:em w:val="none"/>
        </w:rPr>
        <w:t>èle B, pour toute hauteur de feux</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S, mod</w:t>
      </w:r>
      <w:r>
        <w:rPr>
          <w:b w:val="false"/>
          <w:bCs w:val="false"/>
          <w:i w:val="false"/>
          <w:strike w:val="false"/>
          <w:dstrike w:val="false"/>
          <w:outline w:val="false"/>
          <w:shadow w:val="false"/>
          <w:color w:val="000000"/>
          <w:sz w:val="20"/>
          <w:szCs w:val="20"/>
          <w:u w:val="none"/>
          <w:em w:val="none"/>
        </w:rPr>
        <w:t>èle A, pour toute hauteur de feux</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S, mod</w:t>
      </w:r>
      <w:r>
        <w:rPr>
          <w:b w:val="false"/>
          <w:bCs w:val="false"/>
          <w:i w:val="false"/>
          <w:strike w:val="false"/>
          <w:dstrike w:val="false"/>
          <w:outline w:val="false"/>
          <w:shadow w:val="false"/>
          <w:color w:val="000000"/>
          <w:sz w:val="20"/>
          <w:szCs w:val="20"/>
          <w:u w:val="none"/>
          <w:em w:val="none"/>
        </w:rPr>
        <w:t>èle B, pour toute hauteur de feux</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M, mod</w:t>
      </w:r>
      <w:r>
        <w:rPr>
          <w:b w:val="false"/>
          <w:bCs w:val="false"/>
          <w:i w:val="false"/>
          <w:strike w:val="false"/>
          <w:dstrike w:val="false"/>
          <w:outline w:val="false"/>
          <w:shadow w:val="false"/>
          <w:color w:val="000000"/>
          <w:sz w:val="20"/>
          <w:szCs w:val="20"/>
          <w:u w:val="none"/>
          <w:em w:val="none"/>
        </w:rPr>
        <w:t>èle A, pour toute hauteur de feux</w:t>
      </w:r>
    </w:p>
    <w:p>
      <w:pPr>
        <w:pStyle w:val="Normal"/>
        <w:bidi w:val="0"/>
        <w:spacing w:before="120" w:after="0"/>
        <w:jc w:val="left"/>
        <w:rPr>
          <w:sz w:val="20"/>
          <w:szCs w:val="20"/>
        </w:rPr>
      </w:pPr>
      <w:r>
        <w:rPr>
          <w:rFonts w:eastAsia="arial" w:cs="arial"/>
          <w:b w:val="false"/>
          <w:bCs w:val="false"/>
          <w:i w:val="false"/>
          <w:iCs w:val="false"/>
          <w:strike w:val="false"/>
          <w:dstrike w:val="false"/>
          <w:outline w:val="false"/>
          <w:shadow w:val="false"/>
          <w:color w:val="000000"/>
          <w:sz w:val="20"/>
          <w:szCs w:val="20"/>
          <w:u w:val="none"/>
          <w:shd w:fill="auto" w:val="clear"/>
          <w:em w:val="none"/>
        </w:rPr>
        <w:t>Luminaire LED type M, mod</w:t>
      </w:r>
      <w:r>
        <w:rPr>
          <w:b w:val="false"/>
          <w:bCs w:val="false"/>
          <w:i w:val="false"/>
          <w:strike w:val="false"/>
          <w:dstrike w:val="false"/>
          <w:outline w:val="false"/>
          <w:shadow w:val="false"/>
          <w:color w:val="000000"/>
          <w:sz w:val="20"/>
          <w:szCs w:val="20"/>
          <w:u w:val="none"/>
          <w:em w:val="none"/>
        </w:rPr>
        <w:t>èle B, pour toute hauteur de feux</w:t>
      </w:r>
    </w:p>
    <w:p>
      <w:pPr>
        <w:pStyle w:val="Normal"/>
        <w:spacing w:before="120" w:after="0"/>
        <w:jc w:val="left"/>
        <w:rPr>
          <w:rFonts w:ascii="Arial" w:hAnsi="Arial"/>
          <w:b w:val="false"/>
          <w:b w:val="false"/>
          <w:bCs w:val="false"/>
          <w:i w:val="false"/>
          <w:i w:val="false"/>
          <w:iCs w:val="false"/>
          <w:strike w:val="false"/>
          <w:dstrike w:val="false"/>
          <w:outline w:val="false"/>
          <w:shadow w:val="false"/>
          <w:color w:val="000000"/>
          <w:sz w:val="20"/>
          <w:szCs w:val="20"/>
          <w:u w:val="none"/>
        </w:rPr>
      </w:pPr>
      <w:r>
        <w:rPr>
          <w:rFonts w:eastAsia="arial" w:cs="arial" w:ascii="arial" w:hAnsi="arial"/>
          <w:b/>
          <w:bCs/>
          <w:i w:val="false"/>
          <w:color w:val="000000"/>
          <w:sz w:val="20"/>
          <w:u w:val="none"/>
          <w:shd w:fill="auto" w:val="clear"/>
        </w:rPr>
      </w:r>
    </w:p>
    <w:p>
      <w:pPr>
        <w:pStyle w:val="Normal"/>
        <w:spacing w:before="120" w:after="0"/>
        <w:rPr>
          <w:highlight w:val="none"/>
          <w:shd w:fill="auto" w:val="clear"/>
        </w:rPr>
      </w:pPr>
      <w:r>
        <w:rPr>
          <w:rFonts w:eastAsia="arial" w:cs="arial" w:ascii="arial" w:hAnsi="arial"/>
          <w:b/>
          <w:bCs/>
          <w:i w:val="false"/>
          <w:color w:val="000000"/>
          <w:sz w:val="20"/>
          <w:u w:val="single"/>
          <w:shd w:fill="auto" w:val="clear"/>
        </w:rPr>
        <w:t>Sous-critère 5 </w:t>
      </w:r>
      <w:r>
        <w:rPr>
          <w:rFonts w:eastAsia="arial" w:cs="arial" w:ascii="arial" w:hAnsi="arial"/>
          <w:b w:val="false"/>
          <w:i w:val="false"/>
          <w:color w:val="000000"/>
          <w:sz w:val="20"/>
          <w:u w:val="none"/>
          <w:shd w:fill="auto" w:val="clear"/>
        </w:rPr>
        <w:t xml:space="preserve">:   </w:t>
      </w:r>
      <w:r>
        <w:rPr>
          <w:rFonts w:eastAsia="arial" w:cs="arial" w:ascii="arial" w:hAnsi="arial"/>
          <w:b/>
          <w:bCs/>
          <w:i w:val="false"/>
          <w:color w:val="000000"/>
          <w:sz w:val="20"/>
          <w:u w:val="none"/>
          <w:shd w:fill="auto" w:val="clear"/>
        </w:rPr>
        <w:t>4</w:t>
      </w:r>
      <w:r>
        <w:rPr>
          <w:rFonts w:eastAsia="arial" w:cs="arial" w:ascii="arial" w:hAnsi="arial"/>
          <w:b w:val="false"/>
          <w:bCs w:val="false"/>
          <w:i w:val="false"/>
          <w:color w:val="000000"/>
          <w:sz w:val="20"/>
          <w:u w:val="none"/>
          <w:shd w:fill="auto" w:val="clear"/>
        </w:rPr>
        <w:t xml:space="preserve"> </w:t>
      </w:r>
      <w:r>
        <w:rPr>
          <w:rFonts w:eastAsia="arial" w:cs="arial" w:ascii="arial" w:hAnsi="arial"/>
          <w:b/>
          <w:bCs/>
          <w:i w:val="false"/>
          <w:color w:val="000000"/>
          <w:sz w:val="20"/>
          <w:u w:val="none"/>
          <w:shd w:fill="auto" w:val="clear"/>
        </w:rPr>
        <w:t>points maximum</w:t>
      </w:r>
    </w:p>
    <w:p>
      <w:pPr>
        <w:pStyle w:val="Normal"/>
        <w:spacing w:before="120" w:after="0"/>
        <w:rPr>
          <w:highlight w:val="none"/>
          <w:shd w:fill="auto" w:val="clear"/>
        </w:rPr>
      </w:pPr>
      <w:r>
        <w:rPr>
          <w:b w:val="false"/>
          <w:bCs w:val="false"/>
          <w:shd w:fill="auto" w:val="clear"/>
        </w:rPr>
        <w:t xml:space="preserve">Mesures et démarches environnementales adoptées par le candidat pour l’exécution du marché pour, diminuer l'impact des travaux au regard des nuisances sonores et de la pollution,  la valorisation des déchets issus du chantier et de la propreté des chantiers. </w:t>
      </w:r>
    </w:p>
    <w:p>
      <w:pPr>
        <w:pStyle w:val="Normal"/>
        <w:spacing w:before="120" w:after="0"/>
        <w:rPr/>
      </w:pPr>
      <w:r>
        <w:rPr/>
      </w:r>
    </w:p>
    <w:p>
      <w:pPr>
        <w:pStyle w:val="Normal"/>
        <w:spacing w:before="120" w:after="0"/>
        <w:rPr>
          <w:strike w:val="false"/>
          <w:dstrike w:val="false"/>
        </w:rPr>
      </w:pPr>
      <w:r>
        <w:rPr>
          <w:b/>
          <w:bCs/>
          <w:strike w:val="false"/>
          <w:dstrike w:val="false"/>
        </w:rPr>
        <w:t xml:space="preserve">Le candidat ayant obtenu sur un des sous-critères </w:t>
      </w:r>
      <w:r>
        <w:rPr>
          <w:b/>
          <w:bCs/>
          <w:strike w:val="false"/>
          <w:dstrike w:val="false"/>
        </w:rPr>
        <w:t xml:space="preserve">de la valeur technique, un nombre de point inférieur aux </w:t>
      </w:r>
      <w:r>
        <w:rPr>
          <w:b/>
          <w:bCs/>
          <w:strike w:val="false"/>
          <w:dstrike w:val="false"/>
        </w:rPr>
        <w:t xml:space="preserve">points minimum </w:t>
      </w:r>
      <w:r>
        <w:rPr>
          <w:b/>
          <w:bCs/>
          <w:strike w:val="false"/>
          <w:dstrike w:val="false"/>
        </w:rPr>
        <w:t xml:space="preserve">ci-dessous </w:t>
      </w:r>
      <w:r>
        <w:rPr>
          <w:b/>
          <w:bCs/>
          <w:strike w:val="false"/>
          <w:dstrike w:val="false"/>
        </w:rPr>
        <w:t xml:space="preserve"> verra son offre déclarée irrégulière.</w:t>
      </w:r>
    </w:p>
    <w:p>
      <w:pPr>
        <w:pStyle w:val="Normal"/>
        <w:spacing w:before="120" w:after="0"/>
        <w:rPr>
          <w:strike w:val="false"/>
          <w:dstrike w:val="false"/>
        </w:rPr>
      </w:pPr>
      <w:r>
        <w:rPr>
          <w:b/>
          <w:bCs/>
          <w:strike w:val="false"/>
          <w:dstrike w:val="false"/>
        </w:rPr>
        <w:t>Sous-critère 1 : 4 points minimum</w:t>
      </w:r>
    </w:p>
    <w:p>
      <w:pPr>
        <w:pStyle w:val="Normal"/>
        <w:spacing w:before="120" w:after="0"/>
        <w:rPr>
          <w:strike w:val="false"/>
          <w:dstrike w:val="false"/>
        </w:rPr>
      </w:pPr>
      <w:r>
        <w:rPr>
          <w:b/>
          <w:bCs/>
          <w:strike w:val="false"/>
          <w:dstrike w:val="false"/>
        </w:rPr>
        <w:t>Sous-critère 2 : 3 points minimum</w:t>
      </w:r>
    </w:p>
    <w:p>
      <w:pPr>
        <w:pStyle w:val="Normal"/>
        <w:spacing w:before="120" w:after="0"/>
        <w:rPr>
          <w:strike w:val="false"/>
          <w:dstrike w:val="false"/>
        </w:rPr>
      </w:pPr>
      <w:r>
        <w:rPr>
          <w:b/>
          <w:bCs/>
          <w:strike w:val="false"/>
          <w:dstrike w:val="false"/>
        </w:rPr>
        <w:t>Sous-critère 3 : 3 points minimum</w:t>
      </w:r>
    </w:p>
    <w:p>
      <w:pPr>
        <w:pStyle w:val="Normal"/>
        <w:spacing w:before="120" w:after="0"/>
        <w:rPr>
          <w:strike w:val="false"/>
          <w:dstrike w:val="false"/>
        </w:rPr>
      </w:pPr>
      <w:r>
        <w:rPr>
          <w:b/>
          <w:bCs/>
          <w:strike w:val="false"/>
          <w:dstrike w:val="false"/>
        </w:rPr>
        <w:t>Sous-critère 4 : 5 points minimum</w:t>
      </w:r>
    </w:p>
    <w:p>
      <w:pPr>
        <w:pStyle w:val="Normal"/>
        <w:spacing w:before="120" w:after="0"/>
        <w:rPr>
          <w:strike w:val="false"/>
          <w:dstrike w:val="false"/>
        </w:rPr>
      </w:pPr>
      <w:r>
        <w:rPr>
          <w:b/>
          <w:bCs/>
          <w:strike w:val="false"/>
          <w:dstrike w:val="false"/>
        </w:rPr>
        <w:t>Sous-critère 5 : 1 point minimum</w:t>
      </w:r>
    </w:p>
    <w:p>
      <w:pPr>
        <w:pStyle w:val="Normal"/>
        <w:spacing w:before="120" w:after="0"/>
        <w:rPr/>
      </w:pPr>
      <w:r>
        <w:rPr/>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Le total des points relatif à la valeur technique constituera la valeur technique (VT) du candidat, le maximum pouvant être de 40 points </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 total des points attribués à chaque sous-critère, constituera la valeur technique initiale VT (i) du candidat.</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Après élimination éventuelle des offres irrégulières ou inappropriées, la notation de l'offre du candidat (i) sera effectuée à l'aide de la formule suivante :</w:t>
      </w:r>
    </w:p>
    <w:p>
      <w:pPr>
        <w:pStyle w:val="Normal"/>
        <w:spacing w:before="120" w:after="0"/>
        <w:rPr/>
      </w:pPr>
      <w: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NVT = </w:t>
      </w:r>
      <w:r>
        <w:rPr>
          <w:rFonts w:eastAsia="arial" w:cs="arial" w:ascii="arial" w:hAnsi="arial"/>
          <w:b/>
          <w:i w:val="false"/>
          <w:color w:val="000000"/>
          <w:sz w:val="20"/>
          <w:u w:val="none"/>
          <w:shd w:fill="auto" w:val="clear"/>
        </w:rPr>
        <w:t>40</w:t>
      </w:r>
      <w:r>
        <w:rPr>
          <w:rFonts w:eastAsia="arial" w:cs="arial" w:ascii="arial" w:hAnsi="arial"/>
          <w:b w:val="false"/>
          <w:i w:val="false"/>
          <w:color w:val="000000"/>
          <w:sz w:val="20"/>
          <w:u w:val="none"/>
          <w:shd w:fill="auto" w:val="clear"/>
        </w:rPr>
        <w:t xml:space="preserve"> * (VT(i)/VT(m))</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Dans laquelle :</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NVT est la note finale attribuée à la valeur technique du candidat (i) ;</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VT (i) est la valeur technique initiale obtenue par le candidat (i) ;</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VT (m) est la valeur technique initiale obtenue par le candidat ayant la meilleure offre.</w:t>
      </w:r>
    </w:p>
    <w:p>
      <w:pPr>
        <w:pStyle w:val="Normal"/>
        <w:spacing w:before="120" w:after="0"/>
        <w:rPr>
          <w:rFonts w:ascii="arial" w:hAnsi="arial" w:eastAsia="arial" w:cs="arial"/>
          <w:b w:val="false"/>
          <w:b w:val="false"/>
          <w:bCs w:val="false"/>
          <w:i w:val="false"/>
          <w:i w:val="false"/>
          <w:color w:val="000000"/>
          <w:sz w:val="20"/>
          <w:szCs w:val="20"/>
          <w:u w:val="none"/>
        </w:rPr>
      </w:pPr>
      <w:r>
        <w:rPr>
          <w:rFonts w:eastAsia="arial" w:cs="arial" w:ascii="arial" w:hAnsi="arial"/>
          <w:b w:val="false"/>
          <w:bCs w:val="false"/>
          <w:i w:val="false"/>
          <w:color w:val="000000"/>
          <w:sz w:val="20"/>
          <w:szCs w:val="20"/>
          <w:u w:val="none"/>
        </w:rPr>
      </w:r>
    </w:p>
    <w:p>
      <w:pPr>
        <w:pStyle w:val="Normal"/>
        <w:rPr>
          <w:highlight w:val="none"/>
          <w:shd w:fill="auto" w:val="clear"/>
        </w:rPr>
      </w:pPr>
      <w:r>
        <w:rPr>
          <w:rFonts w:eastAsia="arial" w:cs="arial" w:ascii="arial" w:hAnsi="arial"/>
          <w:b w:val="false"/>
          <w:i w:val="false"/>
          <w:color w:val="000000"/>
          <w:sz w:val="20"/>
          <w:u w:val="single"/>
          <w:shd w:fill="auto" w:val="clear"/>
        </w:rPr>
        <w:t>Analyse du prix de l'offre</w:t>
      </w:r>
      <w:r>
        <w:rPr>
          <w:rFonts w:eastAsia="arial" w:cs="arial" w:ascii="arial" w:hAnsi="arial"/>
          <w:b w:val="false"/>
          <w:i w:val="false"/>
          <w:color w:val="000000"/>
          <w:sz w:val="20"/>
          <w:u w:val="none"/>
          <w:shd w:fill="auto" w:val="clear"/>
        </w:rPr>
        <w:t xml:space="preserve"> :</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Les offres doivent obligatoirement être libellées en euros.</w:t>
      </w:r>
    </w:p>
    <w:p>
      <w:pPr>
        <w:pStyle w:val="Normal"/>
        <w:rPr>
          <w:rFonts w:ascii="arial" w:hAnsi="arial" w:eastAsia="arial" w:cs="arial"/>
          <w:b/>
          <w:b/>
          <w:i w:val="false"/>
          <w:i w:val="false"/>
          <w:color w:val="000000"/>
          <w:sz w:val="20"/>
          <w:highlight w:val="none"/>
          <w:u w:val="none"/>
          <w:shd w:fill="auto" w:val="clear"/>
        </w:rPr>
      </w:pPr>
      <w:r>
        <w:rPr>
          <w:rFonts w:eastAsia="arial" w:cs="arial" w:ascii="arial" w:hAnsi="arial"/>
          <w:b/>
          <w:i w:val="false"/>
          <w:color w:val="000000"/>
          <w:sz w:val="20"/>
          <w:u w:val="none"/>
          <w:shd w:fill="auto" w:val="clear"/>
        </w:rPr>
        <w:t>Prix unitaires :</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La comparaison des Prix sera effectuée à l'aide du Détail Quantitatif Estimatif (DQE) complété par le candidat.</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Ce dernier complètera le Bordereau de Prix Unitaires (BPU) ainsi que le DQE fournis en indiquant les prix unitaires et totaux.</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Chaque candidat veillera à la concordance entre le BPU et le DQE. En cas de discordance entre ces deux documents, c'est le prix unitaire figurant sur le BPU qui prévaudra et le DQE sera corrigé en conséquence. </w:t>
      </w:r>
      <w:r>
        <w:rPr>
          <w:rFonts w:eastAsia="arial" w:cs="arial" w:ascii="arial" w:hAnsi="arial"/>
          <w:b/>
          <w:bCs/>
          <w:i w:val="false"/>
          <w:color w:val="000000"/>
          <w:sz w:val="20"/>
          <w:u w:val="none"/>
          <w:shd w:fill="auto" w:val="clear"/>
        </w:rPr>
        <w:t>En cas de contradiction entre la version PDF et la version modifiable du BPU, le PDF primera.</w:t>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t xml:space="preserve">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Evaluation finale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Les offres sont classées suivant la valeur de la note N correspondant à la note définitive. L'entreprise classée première est celle ayant la note la plus élevée.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pondération s'effectuera sur la base de : 60 points pour le prix, 40 points pour la valeur technique, en fonction de la formule suivante :</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N(note définitive) = NP(i) + NVT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 pouvoir adjudicateur peut ne pas donner suite à la consultation.</w:t>
      </w:r>
    </w:p>
    <w:p>
      <w:pPr>
        <w:pStyle w:val="Titre1"/>
        <w:keepNext w:val="true"/>
        <w:widowControl w:val="false"/>
        <w:numPr>
          <w:ilvl w:val="0"/>
          <w:numId w:val="2"/>
        </w:numPr>
        <w:suppressAutoHyphens w:val="true"/>
        <w:overflowPunct w:val="true"/>
        <w:bidi w:val="0"/>
        <w:spacing w:before="360" w:after="0"/>
        <w:ind w:left="0" w:right="0" w:hanging="0"/>
        <w:jc w:val="left"/>
        <w:rPr/>
      </w:pPr>
      <w:bookmarkStart w:id="72" w:name="__RefHeading___Toc2076_402348459"/>
      <w:bookmarkStart w:id="73" w:name="_Toc3573"/>
      <w:bookmarkEnd w:id="72"/>
      <w:r>
        <w:rPr/>
        <w:t>PIECES A REMETTRE PAR LE(S) CANDIDAT(S) RETENU(S)</w:t>
      </w:r>
      <w:bookmarkEnd w:id="73"/>
      <w:r>
        <w:rPr/>
        <w:t xml:space="preserve"> – DECISION DU CANDIDAT SUR LA PERIODE DE PREPARATION</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w:t>
      </w:r>
      <w:r>
        <w:rPr>
          <w:rFonts w:eastAsia="arial" w:cs="arial" w:ascii="arial" w:hAnsi="arial"/>
          <w:b/>
          <w:bCs/>
          <w:i w:val="false"/>
          <w:color w:val="000000"/>
          <w:sz w:val="20"/>
          <w:u w:val="none"/>
          <w:shd w:fill="auto" w:val="clear"/>
        </w:rPr>
        <w:t xml:space="preserve"> ainsi que l’annexe sur la protection des données.</w:t>
      </w:r>
    </w:p>
    <w:p>
      <w:pPr>
        <w:pStyle w:val="Normal"/>
        <w:rPr>
          <w:rFonts w:ascii="arial" w:hAnsi="arial" w:eastAsia="arial" w:cs="arial"/>
          <w:b/>
          <w:b/>
          <w:bCs/>
          <w:i w:val="false"/>
          <w:i w:val="false"/>
          <w:color w:val="000000"/>
          <w:sz w:val="24"/>
          <w:szCs w:val="24"/>
          <w:highlight w:val="none"/>
          <w:u w:val="none"/>
          <w:shd w:fill="auto" w:val="clear"/>
        </w:rPr>
      </w:pPr>
      <w:r>
        <w:rPr>
          <w:rFonts w:eastAsia="arial" w:cs="arial" w:ascii="arial" w:hAnsi="arial"/>
          <w:b/>
          <w:bCs/>
          <w:i w:val="false"/>
          <w:color w:val="000000"/>
          <w:sz w:val="24"/>
          <w:szCs w:val="24"/>
          <w:u w:val="none"/>
          <w:shd w:fill="auto" w:val="clear"/>
        </w:rPr>
        <w:t>De plus, le candidat devra lors de l’envoi des documents mentionnés ci-dessus,  indiquer s’il entend bénéficier de la période de préparation de 1 mois prévue dans les documents du marché ou s’il souhaite y renoncer.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 xml:space="preserve">Dans le cas où la </w:t>
      </w:r>
      <w:r>
        <w:rPr>
          <w:rFonts w:eastAsia="Times New Roman" w:cs="Tahoma" w:ascii="Tahoma" w:hAnsi="Tahoma"/>
          <w:b w:val="false"/>
          <w:i w:val="false"/>
          <w:color w:val="000000"/>
          <w:kern w:val="2"/>
          <w:sz w:val="20"/>
          <w:u w:val="none"/>
          <w:shd w:fill="auto" w:val="clear"/>
          <w:lang w:eastAsia="fr-FR"/>
        </w:rPr>
        <w:t>Mairie</w:t>
      </w:r>
      <w:r>
        <w:rPr>
          <w:rFonts w:eastAsia="arial" w:cs="arial" w:ascii="arial" w:hAnsi="arial"/>
          <w:b w:val="false"/>
          <w:i w:val="false"/>
          <w:color w:val="000000"/>
          <w:sz w:val="20"/>
          <w:u w:val="none"/>
          <w:shd w:fill="auto" w:val="clear"/>
        </w:rPr>
        <w:t xml:space="preserv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La </w:t>
      </w:r>
      <w:r>
        <w:rPr>
          <w:rFonts w:eastAsia="Times New Roman" w:cs="Tahoma" w:ascii="Tahoma" w:hAnsi="Tahoma"/>
          <w:b w:val="false"/>
          <w:i w:val="false"/>
          <w:color w:val="000000"/>
          <w:kern w:val="2"/>
          <w:sz w:val="20"/>
          <w:u w:val="none"/>
          <w:shd w:fill="auto" w:val="clear"/>
          <w:lang w:eastAsia="fr-FR"/>
        </w:rPr>
        <w:t>Mairie</w:t>
      </w:r>
      <w:r>
        <w:rPr>
          <w:rFonts w:eastAsia="arial" w:cs="arial" w:ascii="arial" w:hAnsi="arial"/>
          <w:b w:val="false"/>
          <w:i w:val="false"/>
          <w:color w:val="000000"/>
          <w:sz w:val="20"/>
          <w:u w:val="none"/>
          <w:shd w:fill="auto" w:val="clear"/>
        </w:rPr>
        <w:t xml:space="preserv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keepNext w:val="true"/>
        <w:widowControl w:val="false"/>
        <w:numPr>
          <w:ilvl w:val="0"/>
          <w:numId w:val="2"/>
        </w:numPr>
        <w:suppressAutoHyphens w:val="true"/>
        <w:overflowPunct w:val="true"/>
        <w:bidi w:val="0"/>
        <w:spacing w:before="360" w:after="0"/>
        <w:ind w:left="0" w:right="0" w:hanging="0"/>
        <w:jc w:val="left"/>
        <w:rPr/>
      </w:pPr>
      <w:bookmarkStart w:id="74" w:name="__RefHeading___Toc2078_402348459"/>
      <w:bookmarkStart w:id="75" w:name="_Toc3574"/>
      <w:bookmarkEnd w:id="74"/>
      <w:r>
        <w:rPr/>
        <w:t>MODALITES RELATIVES AUX COMMUNICATIONS ET AUX ECHANGES D'INFORMATION</w:t>
      </w:r>
      <w:bookmarkEnd w:id="75"/>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76" w:name="__RefHeading___Toc2080_402348459"/>
      <w:bookmarkStart w:id="77" w:name="_Toc3575"/>
      <w:bookmarkEnd w:id="76"/>
      <w:r>
        <w:rPr/>
        <w:t>Règles liées aux échanges électroniques</w:t>
      </w:r>
      <w:bookmarkEnd w:id="77"/>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pPr>
      <w:r>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keepNext w:val="true"/>
        <w:widowControl w:val="false"/>
        <w:numPr>
          <w:ilvl w:val="1"/>
          <w:numId w:val="2"/>
        </w:numPr>
        <w:suppressAutoHyphens w:val="true"/>
        <w:overflowPunct w:val="true"/>
        <w:bidi w:val="0"/>
        <w:spacing w:before="240" w:after="240"/>
        <w:ind w:left="567" w:right="0" w:hanging="0"/>
        <w:jc w:val="left"/>
        <w:rPr/>
      </w:pPr>
      <w:bookmarkStart w:id="78" w:name="__RefHeading___Toc2082_402348459"/>
      <w:bookmarkStart w:id="79" w:name="_Toc3576"/>
      <w:bookmarkEnd w:id="78"/>
      <w:r>
        <w:rPr/>
        <w:t>Demandes de renseignements en cours de consultation</w:t>
      </w:r>
      <w:bookmarkEnd w:id="79"/>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Ces demandes peuvent être adressées au représentant du pouvoir adjudicateur, par écrit, au plus tard </w:t>
      </w:r>
      <w:r>
        <w:rPr>
          <w:rFonts w:eastAsia="arial" w:cs="arial" w:ascii="arial" w:hAnsi="arial"/>
          <w:b/>
          <w:i w:val="false"/>
          <w:color w:val="0000FF"/>
          <w:sz w:val="20"/>
          <w:u w:val="none"/>
          <w:shd w:fill="auto" w:val="clear"/>
        </w:rPr>
        <w:t>10 (dix)</w:t>
      </w:r>
      <w:r>
        <w:rPr>
          <w:rFonts w:eastAsia="arial" w:cs="arial" w:ascii="arial" w:hAnsi="arial"/>
          <w:b w:val="false"/>
          <w:i w:val="false"/>
          <w:color w:val="000000"/>
          <w:sz w:val="20"/>
          <w:u w:val="none"/>
          <w:shd w:fill="auto" w:val="clear"/>
        </w:rPr>
        <w:t xml:space="preserve"> jours calendaires avant la date limite de remise des plis. Une réponse sera alors adressée au plus tard</w:t>
      </w:r>
      <w:r>
        <w:rPr>
          <w:rFonts w:eastAsia="arial" w:cs="arial" w:ascii="arial" w:hAnsi="arial"/>
          <w:b/>
          <w:i w:val="false"/>
          <w:color w:val="0000FF"/>
          <w:sz w:val="20"/>
          <w:u w:val="none"/>
          <w:shd w:fill="auto" w:val="clear"/>
        </w:rPr>
        <w:t xml:space="preserve"> 7 (sept)</w:t>
      </w:r>
      <w:r>
        <w:rPr>
          <w:rFonts w:eastAsia="arial" w:cs="arial" w:ascii="arial" w:hAnsi="arial"/>
          <w:b w:val="false"/>
          <w:i w:val="false"/>
          <w:color w:val="000000"/>
          <w:sz w:val="20"/>
          <w:u w:val="none"/>
          <w:shd w:fill="auto" w:val="clear"/>
        </w:rPr>
        <w:t xml:space="preserve"> jours calendaires avant la date limite de remise des plis, à tous les candidats ayant retiré un dossier de consultation.</w:t>
      </w:r>
    </w:p>
    <w:sectPr>
      <w:headerReference w:type="default" r:id="rId4"/>
      <w:headerReference w:type="first" r:id="rId5"/>
      <w:footerReference w:type="default" r:id="rId6"/>
      <w:footerReference w:type="first" r:id="rId7"/>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rPr>
      <w:t>RC_EXPLOITATION ET MAINTIEN DE L'ECLAIRAGE PUBLIC SUR LE TERRITOIRE DE LA VILLE DE MARSEILLE</w:t>
    </w:r>
    <w:r>
      <w:rPr/>
      <w:tab/>
      <w:tab/>
    </w:r>
    <w:r>
      <w:rPr/>
      <w:fldChar w:fldCharType="begin"/>
    </w:r>
    <w:r>
      <w:rPr/>
      <w:instrText> PAGE </w:instrText>
    </w:r>
    <w:r>
      <w:rPr/>
      <w:fldChar w:fldCharType="separate"/>
    </w:r>
    <w:r>
      <w:rPr/>
      <w:t>17</w:t>
    </w:r>
    <w:r>
      <w:rPr/>
      <w:fldChar w:fldCharType="end"/>
    </w:r>
    <w:r>
      <w:rPr/>
      <w:t>/</w:t>
    </w:r>
    <w:r>
      <w:rPr/>
      <w:fldChar w:fldCharType="begin"/>
    </w:r>
    <w:r>
      <w:rPr/>
      <w:instrText> NUMPAGES </w:instrText>
    </w:r>
    <w:r>
      <w:rPr/>
      <w:fldChar w:fldCharType="separate"/>
    </w:r>
    <w:r>
      <w:rPr/>
      <w:t>17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sz w:val="18"/>
        <w:szCs w:val="18"/>
        <w:shd w:fill="FFFFFF" w:val="clear"/>
        <w:lang w:val="fr-FR"/>
      </w:rPr>
      <w:t>Règlement de consultation</w:t>
    </w:r>
    <w:r>
      <w:rPr>
        <w:rStyle w:val="Policepardfaut"/>
        <w:rFonts w:cs="Arial"/>
        <w:b w:val="false"/>
        <w:bCs w:val="false"/>
        <w:i/>
        <w:color w:val="000000"/>
        <w:sz w:val="18"/>
        <w:szCs w:val="18"/>
        <w:shd w:fill="FFFFFF" w:val="clear"/>
        <w:lang w:val="fr-FR"/>
      </w:rPr>
      <w:t xml:space="preserve">  consultation : </w:t>
    </w:r>
    <w:r>
      <w:rPr>
        <w:rStyle w:val="Policepardfaut"/>
        <w:rFonts w:cs="Arial"/>
        <w:b w:val="false"/>
        <w:bCs w:val="false"/>
        <w:i/>
        <w:color w:val="4472C4"/>
        <w:sz w:val="18"/>
        <w:szCs w:val="18"/>
        <w:shd w:fill="FFFFFF" w:val="clear"/>
        <w:lang w:val="fr-FR"/>
      </w:rPr>
      <w:t>23_2499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-103505</wp:posOffset>
          </wp:positionH>
          <wp:positionV relativeFrom="paragraph">
            <wp:posOffset>1176655</wp:posOffset>
          </wp:positionV>
          <wp:extent cx="1527810" cy="1004570"/>
          <wp:effectExtent l="0" t="0" r="0" b="0"/>
          <wp:wrapSquare wrapText="bothSides"/>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style w:type="paragraph" w:styleId="Normal">
    <w:name w:val="Normal"/>
    <w:qFormat/>
    <w:pPr>
      <w:widowControl/>
      <w:suppressAutoHyphens w:val="true"/>
      <w:overflowPunct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qFormat/>
    <w:pPr>
      <w:keepNext w:val="true"/>
      <w:widowControl w:val="false"/>
      <w:numPr>
        <w:ilvl w:val="0"/>
        <w:numId w:val="1"/>
      </w:numPr>
      <w:spacing w:before="360" w:after="0"/>
      <w:ind w:left="1701" w:right="0"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qFormat/>
    <w:pPr>
      <w:keepNext w:val="true"/>
      <w:widowControl w:val="false"/>
      <w:numPr>
        <w:ilvl w:val="1"/>
        <w:numId w:val="1"/>
      </w:numPr>
      <w:spacing w:before="240" w:after="240"/>
      <w:ind w:left="1701" w:right="0"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qFormat/>
    <w:pPr>
      <w:keepNext w:val="true"/>
      <w:widowControl w:val="false"/>
      <w:numPr>
        <w:ilvl w:val="2"/>
        <w:numId w:val="1"/>
      </w:numPr>
      <w:spacing w:before="240" w:after="0"/>
      <w:ind w:left="1701" w:right="0"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qFormat/>
    <w:pPr>
      <w:keepNext w:val="true"/>
      <w:keepLines/>
      <w:widowControl w:val="false"/>
      <w:numPr>
        <w:ilvl w:val="3"/>
        <w:numId w:val="1"/>
      </w:numPr>
      <w:spacing w:before="240" w:after="0"/>
      <w:ind w:left="1701" w:right="0"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qFormat/>
    <w:pPr>
      <w:numPr>
        <w:ilvl w:val="5"/>
        <w:numId w:val="1"/>
      </w:numPr>
      <w:spacing w:before="283" w:after="283"/>
      <w:jc w:val="both"/>
      <w:outlineLvl w:val="5"/>
    </w:pPr>
    <w:rPr>
      <w:bCs/>
      <w:sz w:val="22"/>
    </w:rPr>
  </w:style>
  <w:style w:type="paragraph" w:styleId="Titre7">
    <w:name w:val="Heading 7"/>
    <w:basedOn w:val="Titre"/>
    <w:qFormat/>
    <w:pPr>
      <w:numPr>
        <w:ilvl w:val="6"/>
        <w:numId w:val="1"/>
      </w:numPr>
      <w:spacing w:before="283" w:after="57"/>
      <w:jc w:val="both"/>
      <w:outlineLvl w:val="6"/>
    </w:pPr>
    <w:rPr>
      <w:bCs/>
      <w:sz w:val="22"/>
    </w:rPr>
  </w:style>
  <w:style w:type="paragraph" w:styleId="Titre8">
    <w:name w:val="Heading 8"/>
    <w:basedOn w:val="Titre"/>
    <w:qFormat/>
    <w:pPr>
      <w:numPr>
        <w:ilvl w:val="7"/>
        <w:numId w:val="1"/>
      </w:numPr>
      <w:spacing w:before="283" w:after="57"/>
      <w:jc w:val="both"/>
      <w:outlineLvl w:val="7"/>
    </w:pPr>
    <w:rPr>
      <w:bCs/>
      <w:sz w:val="21"/>
    </w:rPr>
  </w:style>
  <w:style w:type="paragraph" w:styleId="Titre9">
    <w:name w:val="Heading 9"/>
    <w:basedOn w:val="Titre"/>
    <w:qFormat/>
    <w:pPr>
      <w:numPr>
        <w:ilvl w:val="8"/>
        <w:numId w:val="1"/>
      </w:numPr>
      <w:spacing w:before="283" w:after="57"/>
      <w:jc w:val="both"/>
      <w:outlineLvl w:val="8"/>
    </w:pPr>
    <w:rPr>
      <w:bCs/>
      <w:sz w:val="21"/>
    </w:rPr>
  </w:style>
  <w:style w:type="character" w:styleId="Heading1Char">
    <w:name w:val="Heading 1 Char"/>
    <w:basedOn w:val="DefaultParagraphFont"/>
    <w:qFormat/>
    <w:rPr>
      <w:rFonts w:ascii="Arial" w:hAnsi="Arial" w:eastAsia="Arial" w:cs="Arial"/>
      <w:sz w:val="40"/>
      <w:szCs w:val="40"/>
    </w:rPr>
  </w:style>
  <w:style w:type="character" w:styleId="Heading2Char">
    <w:name w:val="Heading 2 Char"/>
    <w:basedOn w:val="DefaultParagraphFont"/>
    <w:qFormat/>
    <w:rPr>
      <w:rFonts w:ascii="Arial" w:hAnsi="Arial" w:eastAsia="Arial" w:cs="Arial"/>
      <w:sz w:val="34"/>
    </w:rPr>
  </w:style>
  <w:style w:type="character" w:styleId="Heading3Char">
    <w:name w:val="Heading 3 Char"/>
    <w:basedOn w:val="DefaultParagraphFont"/>
    <w:qFormat/>
    <w:rPr>
      <w:rFonts w:ascii="Arial" w:hAnsi="Arial" w:eastAsia="Arial" w:cs="Arial"/>
      <w:sz w:val="30"/>
      <w:szCs w:val="30"/>
    </w:rPr>
  </w:style>
  <w:style w:type="character" w:styleId="Heading4Char">
    <w:name w:val="Heading 4 Char"/>
    <w:basedOn w:val="DefaultParagraphFont"/>
    <w:qFormat/>
    <w:rPr>
      <w:rFonts w:ascii="Arial" w:hAnsi="Arial" w:eastAsia="Arial" w:cs="Arial"/>
      <w:b/>
      <w:bCs/>
      <w:sz w:val="26"/>
      <w:szCs w:val="26"/>
    </w:rPr>
  </w:style>
  <w:style w:type="character" w:styleId="Heading5Char">
    <w:name w:val="Heading 5 Char"/>
    <w:basedOn w:val="DefaultParagraphFont"/>
    <w:qFormat/>
    <w:rPr>
      <w:rFonts w:ascii="Arial" w:hAnsi="Arial" w:eastAsia="Arial" w:cs="Arial"/>
      <w:b/>
      <w:bCs/>
      <w:sz w:val="24"/>
      <w:szCs w:val="24"/>
    </w:rPr>
  </w:style>
  <w:style w:type="character" w:styleId="Heading6Char">
    <w:name w:val="Heading 6 Char"/>
    <w:basedOn w:val="DefaultParagraphFont"/>
    <w:qFormat/>
    <w:rPr>
      <w:rFonts w:ascii="Arial" w:hAnsi="Arial" w:eastAsia="Arial" w:cs="Arial"/>
      <w:b/>
      <w:bCs/>
      <w:sz w:val="22"/>
      <w:szCs w:val="22"/>
    </w:rPr>
  </w:style>
  <w:style w:type="character" w:styleId="Heading7Char">
    <w:name w:val="Heading 7 Char"/>
    <w:basedOn w:val="DefaultParagraphFont"/>
    <w:qFormat/>
    <w:rPr>
      <w:rFonts w:ascii="Arial" w:hAnsi="Arial" w:eastAsia="Arial" w:cs="Arial"/>
      <w:b/>
      <w:bCs/>
      <w:i/>
      <w:iCs/>
      <w:sz w:val="22"/>
      <w:szCs w:val="22"/>
    </w:rPr>
  </w:style>
  <w:style w:type="character" w:styleId="Heading8Char">
    <w:name w:val="Heading 8 Char"/>
    <w:basedOn w:val="DefaultParagraphFont"/>
    <w:qFormat/>
    <w:rPr>
      <w:rFonts w:ascii="Arial" w:hAnsi="Arial" w:eastAsia="Arial" w:cs="Arial"/>
      <w:i/>
      <w:iCs/>
      <w:sz w:val="22"/>
      <w:szCs w:val="22"/>
    </w:rPr>
  </w:style>
  <w:style w:type="character" w:styleId="Heading9Char">
    <w:name w:val="Heading 9 Char"/>
    <w:basedOn w:val="DefaultParagraphFont"/>
    <w:qFormat/>
    <w:rPr>
      <w:rFonts w:ascii="Arial" w:hAnsi="Arial" w:eastAsia="Arial" w:cs="Arial"/>
      <w:i/>
      <w:iCs/>
      <w:sz w:val="21"/>
      <w:szCs w:val="21"/>
    </w:rPr>
  </w:style>
  <w:style w:type="character" w:styleId="TitleChar">
    <w:name w:val="Title Char"/>
    <w:basedOn w:val="DefaultParagraphFont"/>
    <w:qFormat/>
    <w:rPr>
      <w:sz w:val="48"/>
      <w:szCs w:val="48"/>
    </w:rPr>
  </w:style>
  <w:style w:type="character" w:styleId="SubtitleChar">
    <w:name w:val="Subtitle Char"/>
    <w:basedOn w:val="DefaultParagraphFont"/>
    <w:qFormat/>
    <w:rPr>
      <w:sz w:val="24"/>
      <w:szCs w:val="24"/>
    </w:rPr>
  </w:style>
  <w:style w:type="character" w:styleId="QuoteChar">
    <w:name w:val="Quote Char"/>
    <w:qFormat/>
    <w:rPr>
      <w:i/>
    </w:rPr>
  </w:style>
  <w:style w:type="character" w:styleId="IntenseQuoteChar">
    <w:name w:val="Intense Quote Char"/>
    <w:qFormat/>
    <w:rPr>
      <w:i/>
    </w:rPr>
  </w:style>
  <w:style w:type="character" w:styleId="HeaderChar">
    <w:name w:val="Header Char"/>
    <w:basedOn w:val="DefaultParagraphFont"/>
    <w:qFormat/>
    <w:rPr/>
  </w:style>
  <w:style w:type="character" w:styleId="CaptionChar">
    <w:name w:val="Caption Char"/>
    <w:qFormat/>
    <w:rPr/>
  </w:style>
  <w:style w:type="character" w:styleId="LienInternet">
    <w:name w:val="Lien Internet"/>
    <w:basedOn w:val="DefaultParagraphFont"/>
    <w:rPr>
      <w:color w:val="0563C1"/>
      <w:u w:val="single"/>
    </w:rPr>
  </w:style>
  <w:style w:type="character" w:styleId="FootnoteTextChar">
    <w:name w:val="Footnote Text Char"/>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qFormat/>
    <w:rPr>
      <w:vertAlign w:val="superscript"/>
    </w:rPr>
  </w:style>
  <w:style w:type="character" w:styleId="EndnoteTextChar">
    <w:name w:val="Endnote Text Char"/>
    <w:qFormat/>
    <w:rPr>
      <w:sz w:val="20"/>
    </w:rPr>
  </w:style>
  <w:style w:type="character" w:styleId="Ancredenotedefin">
    <w:name w:val="Ancre de note de fin"/>
    <w:rPr>
      <w:vertAlign w:val="superscript"/>
    </w:rPr>
  </w:style>
  <w:style w:type="character" w:styleId="EndnoteCharacters">
    <w:name w:val="Endnote Characters"/>
    <w:basedOn w:val="DefaultParagraphFont"/>
    <w:qFormat/>
    <w:rPr>
      <w:vertAlign w:val="superscript"/>
    </w:rPr>
  </w:style>
  <w:style w:type="character" w:styleId="DefaultParagraphFont">
    <w:name w:val="Default Paragraph Font"/>
    <w:qFormat/>
    <w:rPr/>
  </w:style>
  <w:style w:type="character" w:styleId="Titre1Car">
    <w:name w:val="Titre 1 Car"/>
    <w:basedOn w:val="DefaultParagraphFont"/>
    <w:qFormat/>
    <w:rPr>
      <w:rFonts w:ascii="Arial" w:hAnsi="Arial" w:eastAsia="Arial" w:cs="Arial"/>
      <w:sz w:val="40"/>
      <w:szCs w:val="40"/>
    </w:rPr>
  </w:style>
  <w:style w:type="character" w:styleId="Titre2Car">
    <w:name w:val="Titre 2 Car"/>
    <w:basedOn w:val="DefaultParagraphFont"/>
    <w:qFormat/>
    <w:rPr>
      <w:rFonts w:ascii="Arial" w:hAnsi="Arial"/>
      <w:b/>
      <w:bCs/>
      <w:iCs/>
      <w:color w:val="666699"/>
      <w:sz w:val="22"/>
      <w:szCs w:val="28"/>
      <w:u w:val="single"/>
    </w:rPr>
  </w:style>
  <w:style w:type="character" w:styleId="Titre3Car">
    <w:name w:val="Titre 3 Car"/>
    <w:basedOn w:val="DefaultParagraphFont"/>
    <w:qFormat/>
    <w:rPr>
      <w:rFonts w:ascii="Arial" w:hAnsi="Arial" w:eastAsia="Arial" w:cs="Arial"/>
      <w:sz w:val="30"/>
      <w:szCs w:val="30"/>
    </w:rPr>
  </w:style>
  <w:style w:type="character" w:styleId="Titre4Car">
    <w:name w:val="Titre 4 Car"/>
    <w:basedOn w:val="DefaultParagraphFont"/>
    <w:qFormat/>
    <w:rPr>
      <w:rFonts w:ascii="Arial" w:hAnsi="Arial" w:eastAsia="Arial" w:cs="Arial"/>
      <w:b/>
      <w:bCs/>
      <w:sz w:val="26"/>
      <w:szCs w:val="26"/>
    </w:rPr>
  </w:style>
  <w:style w:type="character" w:styleId="Titre5Car">
    <w:name w:val="Titre 5 Car"/>
    <w:basedOn w:val="DefaultParagraphFont"/>
    <w:qFormat/>
    <w:rPr>
      <w:rFonts w:ascii="Arial" w:hAnsi="Arial" w:eastAsia="Arial" w:cs="Arial"/>
      <w:b/>
      <w:bCs/>
      <w:sz w:val="24"/>
      <w:szCs w:val="24"/>
    </w:rPr>
  </w:style>
  <w:style w:type="character" w:styleId="Titre6Car">
    <w:name w:val="Titre 6 Car"/>
    <w:basedOn w:val="DefaultParagraphFont"/>
    <w:qFormat/>
    <w:rPr>
      <w:rFonts w:ascii="Arial" w:hAnsi="Arial" w:eastAsia="Arial" w:cs="Arial"/>
      <w:b/>
      <w:bCs/>
      <w:sz w:val="22"/>
      <w:szCs w:val="22"/>
    </w:rPr>
  </w:style>
  <w:style w:type="character" w:styleId="Titre7Car">
    <w:name w:val="Titre 7 Car"/>
    <w:basedOn w:val="DefaultParagraphFont"/>
    <w:qFormat/>
    <w:rPr>
      <w:rFonts w:ascii="Arial" w:hAnsi="Arial" w:eastAsia="Arial" w:cs="Arial"/>
      <w:b/>
      <w:bCs/>
      <w:i/>
      <w:iCs/>
      <w:sz w:val="22"/>
      <w:szCs w:val="22"/>
    </w:rPr>
  </w:style>
  <w:style w:type="character" w:styleId="Titre8Car">
    <w:name w:val="Titre 8 Car"/>
    <w:basedOn w:val="DefaultParagraphFont"/>
    <w:qFormat/>
    <w:rPr>
      <w:rFonts w:ascii="Arial" w:hAnsi="Arial" w:eastAsia="Arial" w:cs="Arial"/>
      <w:i/>
      <w:iCs/>
      <w:sz w:val="22"/>
      <w:szCs w:val="22"/>
    </w:rPr>
  </w:style>
  <w:style w:type="character" w:styleId="Titre9Car">
    <w:name w:val="Titre 9 Car"/>
    <w:basedOn w:val="DefaultParagraphFont"/>
    <w:qFormat/>
    <w:rPr>
      <w:rFonts w:ascii="Arial" w:hAnsi="Arial" w:eastAsia="Arial" w:cs="Arial"/>
      <w:i/>
      <w:iCs/>
      <w:sz w:val="21"/>
      <w:szCs w:val="21"/>
    </w:rPr>
  </w:style>
  <w:style w:type="character" w:styleId="TitreCar">
    <w:name w:val="Titre Car"/>
    <w:basedOn w:val="DefaultParagraphFont"/>
    <w:qFormat/>
    <w:rPr>
      <w:sz w:val="48"/>
      <w:szCs w:val="48"/>
    </w:rPr>
  </w:style>
  <w:style w:type="character" w:styleId="SoustitreCar">
    <w:name w:val="Sous-titre Car"/>
    <w:basedOn w:val="DefaultParagraphFont"/>
    <w:qFormat/>
    <w:rPr>
      <w:sz w:val="24"/>
      <w:szCs w:val="24"/>
    </w:rPr>
  </w:style>
  <w:style w:type="character" w:styleId="CitationCar">
    <w:name w:val="Citation Car"/>
    <w:qFormat/>
    <w:rPr>
      <w:i/>
    </w:rPr>
  </w:style>
  <w:style w:type="character" w:styleId="CitationintenseCar">
    <w:name w:val="Citation intense Car"/>
    <w:qFormat/>
    <w:rPr>
      <w:i/>
    </w:rPr>
  </w:style>
  <w:style w:type="character" w:styleId="EntteCar">
    <w:name w:val="En-tête Car"/>
    <w:basedOn w:val="DefaultParagraphFont"/>
    <w:qFormat/>
    <w:rPr/>
  </w:style>
  <w:style w:type="character" w:styleId="FooterChar">
    <w:name w:val="Footer Char"/>
    <w:basedOn w:val="DefaultParagraphFont"/>
    <w:qFormat/>
    <w:rPr/>
  </w:style>
  <w:style w:type="character" w:styleId="PieddepageCar">
    <w:name w:val="Pied de page Car"/>
    <w:qFormat/>
    <w:rPr/>
  </w:style>
  <w:style w:type="character" w:styleId="NotedebasdepageCar">
    <w:name w:val="Note de bas de page Car"/>
    <w:qFormat/>
    <w:rPr>
      <w:sz w:val="18"/>
    </w:rPr>
  </w:style>
  <w:style w:type="character" w:styleId="NotedefinCar">
    <w:name w:val="Note de fin Car"/>
    <w:qFormat/>
    <w:rPr>
      <w:sz w:val="20"/>
    </w:rPr>
  </w:style>
  <w:style w:type="character" w:styleId="Caractresdenumrotation">
    <w:name w:val="Caractères de numérotation"/>
    <w:qFormat/>
    <w:rPr/>
  </w:style>
  <w:style w:type="character" w:styleId="StandardCar">
    <w:name w:val="Standard Car"/>
    <w:basedOn w:val="DefaultParagraphFont"/>
    <w:qFormat/>
    <w:rPr>
      <w:rFonts w:ascii="Arial" w:hAnsi="Arial"/>
      <w:sz w:val="20"/>
    </w:rPr>
  </w:style>
  <w:style w:type="character" w:styleId="Policepardfaut">
    <w:name w:val="Police par défaut"/>
    <w:qFormat/>
    <w:rPr/>
  </w:style>
  <w:style w:type="character" w:styleId="Sautdindex">
    <w:name w:val="Saut d'index"/>
    <w:qFormat/>
    <w:rPr/>
  </w:style>
  <w:style w:type="paragraph" w:styleId="Titre">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qFormat/>
    <w:pPr>
      <w:spacing w:before="0" w:after="0"/>
    </w:pPr>
    <w:rPr/>
  </w:style>
  <w:style w:type="paragraph" w:styleId="ListParagraph">
    <w:name w:val="List Paragraph"/>
    <w:basedOn w:val="Normal"/>
    <w:qFormat/>
    <w:pPr>
      <w:spacing w:before="120" w:after="0"/>
      <w:ind w:left="720" w:right="0" w:hanging="0"/>
      <w:contextualSpacing/>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qFormat/>
    <w:pPr>
      <w:spacing w:before="300" w:after="200"/>
      <w:contextualSpacing/>
    </w:pPr>
    <w:rPr>
      <w:sz w:val="48"/>
      <w:szCs w:val="48"/>
    </w:rPr>
  </w:style>
  <w:style w:type="paragraph" w:styleId="Soustitre">
    <w:name w:val="Subtitle"/>
    <w:basedOn w:val="Normal"/>
    <w:qFormat/>
    <w:pPr>
      <w:spacing w:before="200" w:after="200"/>
    </w:pPr>
    <w:rPr>
      <w:sz w:val="24"/>
    </w:rPr>
  </w:style>
  <w:style w:type="paragraph" w:styleId="Quote">
    <w:name w:val="Quote"/>
    <w:basedOn w:val="Normal"/>
    <w:qFormat/>
    <w:pPr>
      <w:ind w:left="720" w:right="720" w:hanging="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fill="F2F2F2"/>
      <w:ind w:left="720" w:right="720" w:hanging="0"/>
    </w:pPr>
    <w:rPr>
      <w:i/>
    </w:rPr>
  </w:style>
  <w:style w:type="paragraph" w:styleId="Notedebasdepage">
    <w:name w:val="Footnote Text"/>
    <w:basedOn w:val="Normal"/>
    <w:pPr>
      <w:spacing w:before="120" w:after="40"/>
    </w:pPr>
    <w:rPr>
      <w:sz w:val="18"/>
    </w:rPr>
  </w:style>
  <w:style w:type="paragraph" w:styleId="Notedefin">
    <w:name w:val="Endnote Text"/>
    <w:basedOn w:val="Normal"/>
    <w:pPr/>
    <w:rPr/>
  </w:style>
  <w:style w:type="paragraph" w:styleId="Tabledesmatiresniveau4">
    <w:name w:val="TOC 4"/>
    <w:basedOn w:val="Normal"/>
    <w:pPr>
      <w:widowControl/>
      <w:tabs>
        <w:tab w:val="clear" w:pos="706"/>
        <w:tab w:val="right" w:pos="9128" w:leader="dot"/>
      </w:tabs>
      <w:ind w:left="709" w:right="0" w:hanging="0"/>
      <w:jc w:val="left"/>
    </w:pPr>
    <w:rPr>
      <w:sz w:val="16"/>
    </w:rPr>
  </w:style>
  <w:style w:type="paragraph" w:styleId="Tabledesmatiresniveau5">
    <w:name w:val="TOC 5"/>
    <w:basedOn w:val="Normal"/>
    <w:pPr>
      <w:widowControl/>
      <w:tabs>
        <w:tab w:val="clear" w:pos="706"/>
        <w:tab w:val="right" w:pos="9015" w:leader="dot"/>
      </w:tabs>
      <w:ind w:left="851" w:right="0" w:hanging="0"/>
      <w:jc w:val="left"/>
    </w:pPr>
    <w:rPr>
      <w:sz w:val="16"/>
    </w:rPr>
  </w:style>
  <w:style w:type="paragraph" w:styleId="Tabledesmatiresniveau6">
    <w:name w:val="TOC 6"/>
    <w:basedOn w:val="Normal"/>
    <w:pPr>
      <w:widowControl/>
      <w:tabs>
        <w:tab w:val="clear" w:pos="706"/>
        <w:tab w:val="right" w:pos="9015" w:leader="dot"/>
      </w:tabs>
      <w:ind w:left="880" w:right="0" w:hanging="0"/>
      <w:jc w:val="left"/>
    </w:pPr>
    <w:rPr>
      <w:sz w:val="14"/>
    </w:rPr>
  </w:style>
  <w:style w:type="paragraph" w:styleId="Tabledesmatiresniveau7">
    <w:name w:val="TOC 7"/>
    <w:basedOn w:val="Normal"/>
    <w:pPr>
      <w:widowControl/>
      <w:tabs>
        <w:tab w:val="clear" w:pos="706"/>
        <w:tab w:val="right" w:pos="9015" w:leader="dot"/>
      </w:tabs>
      <w:ind w:left="900" w:right="0" w:hanging="0"/>
      <w:jc w:val="left"/>
    </w:pPr>
    <w:rPr>
      <w:sz w:val="14"/>
    </w:rPr>
  </w:style>
  <w:style w:type="paragraph" w:styleId="Tabledesmatiresniveau8">
    <w:name w:val="TOC 8"/>
    <w:basedOn w:val="Normal"/>
    <w:pPr>
      <w:widowControl/>
      <w:tabs>
        <w:tab w:val="clear" w:pos="706"/>
        <w:tab w:val="right" w:pos="9015" w:leader="dot"/>
      </w:tabs>
      <w:ind w:left="910" w:right="0" w:hanging="0"/>
      <w:jc w:val="left"/>
    </w:pPr>
    <w:rPr>
      <w:sz w:val="14"/>
    </w:rPr>
  </w:style>
  <w:style w:type="paragraph" w:styleId="Tabledesmatiresniveau9">
    <w:name w:val="TOC 9"/>
    <w:basedOn w:val="Normal"/>
    <w:pPr>
      <w:widowControl/>
      <w:tabs>
        <w:tab w:val="clear" w:pos="706"/>
        <w:tab w:val="right" w:pos="9015" w:leader="dot"/>
      </w:tabs>
      <w:ind w:left="920" w:right="0" w:hanging="0"/>
      <w:jc w:val="left"/>
    </w:pPr>
    <w:rPr>
      <w:sz w:val="14"/>
    </w:rPr>
  </w:style>
  <w:style w:type="paragraph" w:styleId="Standard">
    <w:name w:val="Standard"/>
    <w:qFormat/>
    <w:pPr>
      <w:widowControl/>
      <w:suppressAutoHyphens w:val="true"/>
      <w:overflowPunct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name w:val="TOC 1"/>
    <w:basedOn w:val="Index"/>
    <w:pPr>
      <w:tabs>
        <w:tab w:val="clear" w:pos="706"/>
        <w:tab w:val="right" w:pos="9637" w:leader="dot"/>
      </w:tabs>
      <w:spacing w:before="120" w:after="120"/>
    </w:pPr>
    <w:rPr>
      <w:rFonts w:ascii="Arial Gras" w:hAnsi="Arial Gras"/>
      <w:b/>
      <w:smallCaps/>
      <w:sz w:val="18"/>
    </w:rPr>
  </w:style>
  <w:style w:type="paragraph" w:styleId="Contenudetableau">
    <w:name w:val="Contenu de tableau"/>
    <w:basedOn w:val="Standard"/>
    <w:qFormat/>
    <w:pPr/>
    <w:rPr>
      <w:sz w:val="17"/>
    </w:rPr>
  </w:style>
  <w:style w:type="paragraph" w:styleId="Titredetableau">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pPr>
      <w:tabs>
        <w:tab w:val="clear" w:pos="706"/>
        <w:tab w:val="center" w:pos="4818" w:leader="none"/>
        <w:tab w:val="right" w:pos="9637" w:leader="none"/>
      </w:tabs>
    </w:pPr>
    <w:rPr/>
  </w:style>
  <w:style w:type="paragraph" w:styleId="Tabledesmatiresniveau2">
    <w:name w:val="TOC 2"/>
    <w:basedOn w:val="Index"/>
    <w:pPr>
      <w:spacing w:before="0" w:after="0"/>
      <w:ind w:left="238" w:right="0" w:hanging="0"/>
    </w:pPr>
    <w:rPr>
      <w:rFonts w:ascii="Arial" w:hAnsi="Arial"/>
      <w:sz w:val="18"/>
    </w:rPr>
  </w:style>
  <w:style w:type="paragraph" w:styleId="ContentsHeading">
    <w:name w:val="Contents Heading"/>
    <w:basedOn w:val="Titre"/>
    <w:qFormat/>
    <w:pPr>
      <w:pageBreakBefore/>
      <w:spacing w:before="0" w:after="283"/>
    </w:pPr>
    <w:rPr>
      <w:bCs/>
      <w:szCs w:val="32"/>
    </w:rPr>
  </w:style>
  <w:style w:type="paragraph" w:styleId="Contents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name w:val="Contents 2"/>
    <w:basedOn w:val="Index"/>
    <w:qFormat/>
    <w:pPr>
      <w:spacing w:before="0" w:after="0"/>
      <w:ind w:left="238" w:right="0" w:hanging="0"/>
    </w:pPr>
    <w:rPr>
      <w:sz w:val="18"/>
    </w:rPr>
  </w:style>
  <w:style w:type="paragraph" w:styleId="Contents3">
    <w:name w:val="Contents 3"/>
    <w:basedOn w:val="Index"/>
    <w:qFormat/>
    <w:pPr>
      <w:tabs>
        <w:tab w:val="clear" w:pos="706"/>
        <w:tab w:val="right" w:pos="9241" w:leader="dot"/>
      </w:tabs>
      <w:spacing w:before="0" w:after="0"/>
      <w:ind w:left="482" w:right="0" w:hanging="0"/>
    </w:pPr>
    <w:rPr>
      <w:sz w:val="16"/>
    </w:rPr>
  </w:style>
  <w:style w:type="paragraph" w:styleId="Contents4">
    <w:name w:val="Contents 4"/>
    <w:basedOn w:val="Index"/>
    <w:qFormat/>
    <w:pPr>
      <w:tabs>
        <w:tab w:val="clear" w:pos="706"/>
        <w:tab w:val="right" w:pos="9128" w:leader="dot"/>
      </w:tabs>
      <w:spacing w:before="0" w:after="0"/>
      <w:ind w:left="709" w:right="0" w:hanging="0"/>
    </w:pPr>
    <w:rPr>
      <w:sz w:val="16"/>
    </w:rPr>
  </w:style>
  <w:style w:type="paragraph" w:styleId="Contents5">
    <w:name w:val="Contents 5"/>
    <w:basedOn w:val="Index"/>
    <w:qFormat/>
    <w:pPr>
      <w:tabs>
        <w:tab w:val="clear" w:pos="706"/>
        <w:tab w:val="right" w:pos="9015" w:leader="dot"/>
      </w:tabs>
      <w:spacing w:before="0" w:after="0"/>
      <w:ind w:left="851" w:right="0" w:hanging="0"/>
    </w:pPr>
    <w:rPr>
      <w:sz w:val="16"/>
    </w:rPr>
  </w:style>
  <w:style w:type="paragraph" w:styleId="Pieddepage">
    <w:name w:val="Footer"/>
    <w:basedOn w:val="Standard"/>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name w:val="Titre 10"/>
    <w:basedOn w:val="Titre"/>
    <w:qFormat/>
    <w:pPr/>
    <w:rPr>
      <w:bCs/>
    </w:rPr>
  </w:style>
  <w:style w:type="paragraph" w:styleId="Tableau">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pPr>
      <w:keepLines/>
      <w:numPr>
        <w:ilvl w:val="0"/>
        <w:numId w:val="0"/>
      </w:numPr>
      <w:spacing w:lineRule="auto" w:line="259" w:before="240" w:after="0"/>
      <w:ind w:left="1701" w:right="0" w:hanging="1701"/>
      <w:jc w:val="left"/>
      <w:outlineLvl w:val="9"/>
    </w:pPr>
    <w:rPr>
      <w:rFonts w:ascii="Calibri Light" w:hAnsi="Calibri Light" w:eastAsia="Calibri Light" w:cs="Calibri Light"/>
      <w:b w:val="false"/>
      <w:color w:val="2F5496"/>
      <w:sz w:val="32"/>
      <w:szCs w:val="32"/>
      <w:lang w:eastAsia="fr-FR" w:bidi="ar-SA"/>
    </w:rPr>
  </w:style>
  <w:style w:type="paragraph" w:styleId="Tabledesmatiresniveau3">
    <w:name w:val="TOC 3"/>
    <w:basedOn w:val="Index"/>
    <w:pPr>
      <w:tabs>
        <w:tab w:val="clear" w:pos="706"/>
        <w:tab w:val="right" w:pos="9241" w:leader="dot"/>
      </w:tabs>
      <w:spacing w:before="0" w:after="0"/>
      <w:ind w:left="482" w:right="0" w:hanging="0"/>
    </w:pPr>
    <w:rPr>
      <w:rFonts w:ascii="Arial" w:hAnsi="Arial"/>
      <w:sz w:val="16"/>
    </w:rPr>
  </w:style>
  <w:style w:type="paragraph" w:styleId="Titre11">
    <w:name w:val="Titre1"/>
    <w:qFormat/>
    <w:pPr>
      <w:widowControl/>
      <w:shd w:val="clear" w:fill="FFFFFF"/>
      <w:suppressAutoHyphens w:val="true"/>
      <w:overflowPunct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umbering11">
    <w:name w:val="Numbering 1_1"/>
    <w:qFormat/>
  </w:style>
  <w:style w:type="numbering" w:styleId="Numrotation2">
    <w:name w:val="Numérotation 2"/>
    <w:qFormat/>
  </w:style>
  <w:style w:type="numbering" w:styleId="Numrotation3">
    <w:name w:val="Numérotation 3"/>
    <w:qFormat/>
  </w:style>
  <w:style w:type="numbering" w:styleId="Numrotation4">
    <w:name w:val="Numérotation 4"/>
    <w:qFormat/>
  </w:style>
  <w:style w:type="numbering" w:styleId="Numrotation5">
    <w:name w:val="Numérotation 5"/>
    <w:qFormat/>
  </w:style>
  <w:style w:type="numbering" w:styleId="Puce1">
    <w:name w:val="Puce 1"/>
    <w:qFormat/>
  </w:style>
  <w:style w:type="numbering" w:styleId="Liste21">
    <w:name w:val="Liste 21"/>
    <w:qFormat/>
  </w:style>
  <w:style w:type="numbering" w:styleId="Liste31">
    <w:name w:val="Liste 31"/>
    <w:qFormat/>
  </w:style>
  <w:style w:type="numbering" w:styleId="Liste41">
    <w:name w:val="Liste 41"/>
    <w:qFormat/>
  </w:style>
  <w:style w:type="numbering" w:styleId="Liste51">
    <w:name w:val="Liste 51"/>
    <w:qFormat/>
  </w:style>
  <w:style w:type="numbering" w:styleId="RTFNum2">
    <w:name w:val="RTF_Num 2"/>
    <w:qFormat/>
  </w:style>
  <w:style w:type="numbering" w:styleId="RTFNum3">
    <w:name w:val="RTF_Num 3"/>
    <w:qFormat/>
  </w:style>
  <w:style w:type="numbering" w:styleId="RTFNum4">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marseille.f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Normal</Template>
  <TotalTime>607</TotalTime>
  <Application>LibreOffice/7.2.7.2$Windows_X86_64 LibreOffice_project/8d71d29d553c0f7dcbfa38fbfda25ee34cce99a2</Application>
  <AppVersion>15.0000</AppVersion>
  <Pages>17</Pages>
  <Words>5478</Words>
  <Characters>29380</Characters>
  <CharactersWithSpaces>34648</CharactersWithSpaces>
  <Paragraphs>349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LH</cp:lastModifiedBy>
  <cp:lastPrinted>2023-09-12T08:46:06Z</cp:lastPrinted>
  <dcterms:modified xsi:type="dcterms:W3CDTF">2023-10-12T17:09:20Z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