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au"/>
        <w:spacing w:before="120" w:after="120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2122170</wp:posOffset>
            </wp:positionH>
            <wp:positionV relativeFrom="paragraph">
              <wp:posOffset>-430530</wp:posOffset>
            </wp:positionV>
            <wp:extent cx="1527810" cy="100457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ableau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</w:r>
    </w:p>
    <w:p>
      <w:pPr>
        <w:pStyle w:val="PA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PouvoirAdjudicateur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Ville de Marseille - Mairie des 13e et 14e Arrondissements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Corpsdetexte"/>
        <w:keepNext w:val="true"/>
        <w:keepLines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Corpsdetexte"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Direction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DirectionService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MA-MA1314 (17704)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Direction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Direction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TypeDocument3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DETAIL QUANTITATIF ESTIMATIF</w:t>
      </w:r>
      <w:r>
        <w:rPr>
          <w:rFonts w:ascii="Times New Roman" w:hAnsi="Times New Roman"/>
          <w:i w:val="false"/>
          <w:iCs w:val="false"/>
        </w:rPr>
        <w:t xml:space="preserve"> (</w:t>
      </w:r>
      <w:r>
        <w:rPr>
          <w:rFonts w:ascii="Times New Roman" w:hAnsi="Times New Roman"/>
          <w:i w:val="false"/>
          <w:iCs w:val="false"/>
        </w:rPr>
        <w:t>DQE</w:t>
      </w:r>
      <w:r>
        <w:rPr>
          <w:rFonts w:ascii="Times New Roman" w:hAnsi="Times New Roman"/>
          <w:i w:val="false"/>
          <w:iCs w:val="false"/>
        </w:rPr>
        <w:t>)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Intitule2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Prestations d’entretien et de nettoyage des espaces publics transférés de la </w:t>
      </w:r>
      <w:r>
        <w:rPr>
          <w:rFonts w:ascii="Times New Roman" w:hAnsi="Times New Roman"/>
          <w:i w:val="false"/>
          <w:iCs w:val="false"/>
        </w:rPr>
        <w:t>Mairie 13ème et 14ème arrondissements</w:t>
      </w:r>
    </w:p>
    <w:p>
      <w:pPr>
        <w:pStyle w:val="Intitule2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LOT</w:t>
      </w:r>
      <w:r>
        <w:rPr>
          <w:rFonts w:ascii="Times New Roman" w:hAnsi="Times New Roman"/>
          <w:i w:val="false"/>
          <w:iCs w:val="false"/>
        </w:rPr>
        <w:t xml:space="preserve">  </w:t>
      </w:r>
      <w:r>
        <w:rPr>
          <w:rFonts w:ascii="Times New Roman" w:hAnsi="Times New Roman"/>
          <w:i w:val="false"/>
          <w:iCs w:val="false"/>
        </w:rPr>
        <w:t>2</w:t>
      </w:r>
      <w:r>
        <w:rPr>
          <w:rFonts w:ascii="Times New Roman" w:hAnsi="Times New Roman"/>
          <w:i w:val="false"/>
          <w:iCs w:val="false"/>
        </w:rPr>
        <w:t xml:space="preserve">  -  zone 1</w:t>
      </w:r>
      <w:r>
        <w:rPr>
          <w:rFonts w:ascii="Times New Roman" w:hAnsi="Times New Roman"/>
          <w:i w:val="false"/>
          <w:iCs w:val="false"/>
        </w:rPr>
        <w:t>3</w:t>
      </w:r>
      <w:r>
        <w:rPr>
          <w:rFonts w:ascii="Times New Roman" w:hAnsi="Times New Roman"/>
          <w:i w:val="false"/>
          <w:iCs w:val="false"/>
        </w:rPr>
        <w:t xml:space="preserve">ème 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NumeroConsultation"/>
        <w:ind w:left="3600" w:right="0" w:hanging="309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Numéro de la consultation</w:t>
        <w:tab/>
        <w:t>:</w:t>
      </w:r>
      <w:r>
        <w:rPr>
          <w:rFonts w:cs="Arial" w:ascii="Times New Roman" w:hAnsi="Times New Roman"/>
          <w:b/>
          <w:bCs/>
          <w:i w:val="false"/>
          <w:iCs w:val="false"/>
        </w:rPr>
        <w:tab/>
      </w:r>
      <w:r>
        <w:rPr>
          <w:rFonts w:cs="Arial" w:ascii="Times New Roman" w:hAnsi="Times New Roman"/>
          <w:b/>
          <w:bCs/>
          <w:i w:val="false"/>
          <w:iCs w:val="false"/>
        </w:rPr>
        <w:t>23_2059</w:t>
      </w:r>
    </w:p>
    <w:p>
      <w:pPr>
        <w:pStyle w:val="Normal"/>
        <w:jc w:val="both"/>
        <w:rPr>
          <w:rFonts w:ascii="Times New Roman" w:hAnsi="Times New Roman" w:cs="Arial"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Times New Roman" w:hAnsi="Times New Roman"/>
          <w:i w:val="false"/>
          <w:iCs w:val="false"/>
          <w:color w:val="000000"/>
          <w:sz w:val="20"/>
          <w:szCs w:val="20"/>
        </w:rPr>
      </w:r>
    </w:p>
    <w:p>
      <w:pPr>
        <w:pStyle w:val="Procedure"/>
        <w:ind w:left="4292" w:right="0" w:hanging="376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Procédure de passation :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 xml:space="preserve">                 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P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rocédure adaptée</w:t>
      </w:r>
    </w:p>
    <w:p>
      <w:pPr>
        <w:pStyle w:val="Normal"/>
        <w:tabs>
          <w:tab w:val="clear" w:pos="420"/>
          <w:tab w:val="left" w:pos="0" w:leader="none"/>
        </w:tabs>
        <w:ind w:left="3600" w:right="0" w:hanging="360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b/>
          <w:bCs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u w:val="single"/>
        </w:rPr>
        <w:t>Date de noti</w:t>
      </w:r>
      <w:r>
        <w:rPr>
          <w:rFonts w:ascii="Times New Roman" w:hAnsi="Times New Roman"/>
          <w:b/>
          <w:bCs/>
          <w:i w:val="false"/>
          <w:iCs w:val="false"/>
          <w:u w:val="single"/>
        </w:rPr>
        <w:t>fication :</w:t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ind w:left="4269" w:right="0" w:hanging="3762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MAPA 2021_17702_0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163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 – LOT2 –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ZONE 13ème </w:t>
      </w:r>
    </w:p>
    <w:p>
      <w:pPr>
        <w:pStyle w:val="Corpsdetext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675"/>
        <w:gridCol w:w="1365"/>
        <w:gridCol w:w="1860"/>
        <w:gridCol w:w="1545"/>
      </w:tblGrid>
      <w:tr>
        <w:trPr/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de la prestation hebdomadaire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2"/>
                <w:szCs w:val="22"/>
              </w:rPr>
              <w:t>Quantités estimatives annuelles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HT en €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en €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Nettoyage poubelle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La prestation comprend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 xml:space="preserve">la vidange des corbeilles à papiers et la mise en place, à chaque passage, d’un sachet en plastique de réception, adapté au type de corbeilles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>installée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>s sur l’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 xml:space="preserve">espace dans tous les sites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>du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 xml:space="preserve"> lots du marché, le transport et la mise en déchetterie contrôlée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lineRule="auto" w:line="36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lineRule="auto" w:line="36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600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unités 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Nettoyage des détritus.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en le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nettoyage de tou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de détritus dans tous les sites d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lot du marché (sachets, plastiques, emballages, papiers) et la prestation comprend le ramassage, le transport et la mise en déchetterie contrôlée.  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M²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30 000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Nettoyage des détritus à risque infectieux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consiste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en le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nettoyage et ramassage de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tous les déchets à risque infectieux (masques, seringues, débris de verre, défection animal etc...) sur tous les sites d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lot du marché, le transport et la mise en déchetterie contrôlée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M²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30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000 m2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Nettoyage des détritus en hauteur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consiste en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l’enlèvement de tout type de détritus (sac plastique et autres) accroché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dans les arbres à plus de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3</w:t>
            </w:r>
            <w:commentRangeStart w:id="0"/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m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</w:r>
            <w:commentRangeEnd w:id="0"/>
            <w:r>
              <w:commentReference w:id="0"/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avec outils manuel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sur tou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les sites des deux lots du marché, elle comprend aussi le ramassage, le transport et la mise en déchetterie contrôlée 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M²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3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0 000 m2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Enlèvement d’encombrant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 en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l’enlèvement d’encombrant de tout type (caddies, gravats, produits électroménager etc...) sur tou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les sites d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u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lot du marché, elle comprend le ramassage, le transport et la mise en déchetter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ie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M³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de la prestation hebdomadaire 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2"/>
                <w:szCs w:val="22"/>
              </w:rPr>
              <w:t>Quantités estimatives annuelles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HT en €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TTC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en €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Balayage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 en le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 balayage de tout type (mégots, feuilles…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) sur tous les sites du lot du marché, le ramassage, le transport et la mise en déchetterie contrôlée.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30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000 m2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Enlèvement de sable et de terre.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 en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l’enlèvement de sable, de terre ou graviers sur l’ensemble des sites d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lot du marché, le ramassage, le transport et la mise en déchetterie contrôlée.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M³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Nom du candidat :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54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Date : 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signature et cachet de l’entreprise</w:t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/>
      </w:pPr>
      <w:hyperlink w:anchor="__RefHeading___Toc525048137">
        <w:r>
          <w:rPr/>
        </w:r>
      </w:hyperlink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  <w:t xml:space="preserve">Le DQE (Détail Quantitatif Estimatif) est un document, non contractuel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Ce DQE devra être dûment rempli et complété par l’opérateur  où figurera  le prix remisé pour chaque item décrit dans ce DQE. sous peine de non conformité de l'offre.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Le candidat devra compléer ce DQE, même s'il propose des tarifs à 0,00 €HT il doit l'indiquer dans la case correspondante.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S'il ne peut proposer le service demandé dans le DQE, il doit également le mentionner.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sz w:val="24"/>
          <w:szCs w:val="24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Les prix sont exprimés avec deux décimales comprennent le contenu des prestations décrites dans le CCTP et le CCAP, ainsi que tous les frais afférents à l'exécution des prestations, y compris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la remise en état des sites,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l'information, le conseil, l'assistance, les réunions de cadrage et de suivi d'exécution du marché, les moyens techniques, les moyens en personnels qualifiés,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C9211E"/>
          <w:sz w:val="24"/>
          <w:szCs w:val="24"/>
          <w:u w:val="none"/>
          <w:em w:val="none"/>
        </w:rPr>
        <w:t>la livraison des produits finis,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les corrections éventuelles, les droits de propriété, l'assurance, les frais généraux, ainsi que toutes charges fiscales, parafiscales ou autres frappant obligatoirement les prestations.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FFFF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FFFF"/>
          <w:sz w:val="24"/>
          <w:szCs w:val="24"/>
          <w:u w:val="none"/>
          <w:em w:val="none"/>
        </w:rPr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  <w:t>Le DQE ne peut en aucun cas être modifié.</w:t>
      </w:r>
    </w:p>
    <w:p>
      <w:pPr>
        <w:pStyle w:val="Normal"/>
        <w:rPr>
          <w:rFonts w:ascii="Liberation Sans" w:hAnsi="Liberation Sans" w:eastAsia="Microsoft YaHei" w:cs="Arial"/>
          <w:sz w:val="24"/>
          <w:szCs w:val="24"/>
          <w:lang w:val="fr-FR" w:eastAsia="fr-FR"/>
        </w:rPr>
      </w:pPr>
      <w:r>
        <w:rPr>
          <w:rFonts w:eastAsia="Microsoft YaHei" w:cs="Arial" w:ascii="Liberation Sans" w:hAnsi="Liberation Sans"/>
          <w:sz w:val="24"/>
          <w:szCs w:val="24"/>
          <w:lang w:val="fr-FR" w:eastAsia="fr-F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Lea Meloni" w:date="2023-07-17T14:46:36Z" w:initials="LM">
    <w:p>
      <w:r>
        <w:rPr>
          <w:rFonts w:ascii="Liberation Serif" w:hAnsi="Liberation Serif" w:eastAsia="SimSu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val="fr-FR" w:eastAsia="zh-CN" w:bidi="hi-IN"/>
        </w:rPr>
        <w:t>Il est écrit 3m au CCTP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MV Boli">
    <w:charset w:val="00"/>
    <w:family w:val="auto"/>
    <w:pitch w:val="variable"/>
  </w:font>
  <w:font w:name="Liberation Sans">
    <w:altName w:val="Arial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docVars>
    <w:docVar w:name="PouvoirAdjudicateur" w:val="Ville de Marseille - Mairie des 13e et 14e Arrondissements"/>
    <w:docVar w:name="DirectionService" w:val="MA-MA1314 (17704)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desmatiresniveau3">
    <w:name w:val="TOC 3"/>
    <w:basedOn w:val="Normal"/>
    <w:next w:val="Normal"/>
    <w:pPr>
      <w:ind w:left="480" w:right="0" w:hanging="0"/>
    </w:pPr>
    <w:rPr>
      <w:rFonts w:ascii="Helvetica" w:hAnsi="Helvetica" w:cs="Helvetica"/>
      <w:szCs w:val="20"/>
    </w:rPr>
  </w:style>
  <w:style w:type="paragraph" w:styleId="Tabledesmatiresniveau1">
    <w:name w:val="TOC 1"/>
    <w:basedOn w:val="Normal"/>
    <w:next w:val="Normal"/>
    <w:pPr/>
    <w:rPr>
      <w:rFonts w:ascii="Helvetica" w:hAnsi="Helvetica" w:cs="Helvetica"/>
      <w:szCs w:val="20"/>
    </w:rPr>
  </w:style>
  <w:style w:type="paragraph" w:styleId="Tabledesmatiresniveau2">
    <w:name w:val="TOC 2"/>
    <w:basedOn w:val="Normal"/>
    <w:next w:val="Normal"/>
    <w:pPr>
      <w:ind w:left="240" w:right="0" w:hanging="0"/>
    </w:pPr>
    <w:rPr>
      <w:rFonts w:ascii="Helvetica" w:hAnsi="Helvetica" w:cs="Helvetica"/>
      <w:szCs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Intitule">
    <w:name w:val="Intitule"/>
    <w:basedOn w:val="Normal"/>
    <w:qFormat/>
    <w:pPr>
      <w:pBdr>
        <w:top w:val="single" w:sz="20" w:space="1" w:color="000000"/>
        <w:left w:val="single" w:sz="20" w:space="4" w:color="000000"/>
        <w:bottom w:val="single" w:sz="20" w:space="1" w:color="000000"/>
        <w:right w:val="single" w:sz="20" w:space="16" w:color="000000"/>
      </w:pBdr>
      <w:tabs>
        <w:tab w:val="clear" w:pos="420"/>
        <w:tab w:val="left" w:pos="0" w:leader="none"/>
      </w:tabs>
      <w:spacing w:before="0" w:after="0"/>
      <w:ind w:left="0" w:right="0" w:hanging="0"/>
      <w:jc w:val="center"/>
    </w:pPr>
    <w:rPr>
      <w:rFonts w:ascii="Arial" w:hAnsi="Arial" w:cs="Arial"/>
      <w:b/>
      <w:color w:val="000000"/>
      <w:sz w:val="36"/>
      <w:szCs w:val="24"/>
      <w:shd w:fill="FFFFFF" w:val="clear"/>
      <w:lang w:val="fr-FR"/>
    </w:rPr>
  </w:style>
  <w:style w:type="paragraph" w:styleId="Intitule2">
    <w:name w:val="Intitule2"/>
    <w:basedOn w:val="Intitule"/>
    <w:qFormat/>
    <w:pPr/>
    <w:rPr>
      <w:shd w:fill="auto" w:val="clear"/>
    </w:rPr>
  </w:style>
  <w:style w:type="paragraph" w:styleId="TypeDocument3">
    <w:name w:val="TypeDocument3"/>
    <w:basedOn w:val="Corpsdetexte"/>
    <w:qFormat/>
    <w:pPr>
      <w:jc w:val="center"/>
    </w:pPr>
    <w:rPr>
      <w:b/>
      <w:sz w:val="44"/>
    </w:rPr>
  </w:style>
  <w:style w:type="paragraph" w:styleId="Tableau">
    <w:name w:val="Tableau"/>
    <w:basedOn w:val="Lgende"/>
    <w:qFormat/>
    <w:pPr/>
    <w:rPr>
      <w:i w:val="false"/>
    </w:rPr>
  </w:style>
  <w:style w:type="paragraph" w:styleId="PA">
    <w:name w:val="PA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/>
      <w:bCs/>
      <w:sz w:val="40"/>
      <w:szCs w:val="40"/>
      <w:lang w:val="zxx" w:eastAsia="zxx" w:bidi="zxx"/>
    </w:rPr>
  </w:style>
  <w:style w:type="paragraph" w:styleId="Direction">
    <w:name w:val="Direction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 w:val="false"/>
      <w:bCs w:val="false"/>
      <w:sz w:val="36"/>
      <w:szCs w:val="28"/>
      <w:lang w:val="zxx" w:eastAsia="zxx" w:bidi="zxx"/>
    </w:rPr>
  </w:style>
  <w:style w:type="paragraph" w:styleId="DateLimite">
    <w:name w:val="DateLimite"/>
    <w:basedOn w:val="Normal"/>
    <w:qFormat/>
    <w:pPr>
      <w:tabs>
        <w:tab w:val="clear" w:pos="420"/>
        <w:tab w:val="left" w:pos="0" w:leader="none"/>
      </w:tabs>
      <w:spacing w:before="0" w:after="0"/>
      <w:ind w:left="3600" w:right="0" w:hanging="3600"/>
      <w:jc w:val="center"/>
    </w:pPr>
    <w:rPr>
      <w:rFonts w:ascii="Arial" w:hAnsi="Arial" w:cs="Arial"/>
      <w:b/>
      <w:color w:val="000000"/>
      <w:sz w:val="24"/>
      <w:szCs w:val="20"/>
    </w:rPr>
  </w:style>
  <w:style w:type="paragraph" w:styleId="NumeroConsultation">
    <w:name w:val="NumeroConsultation"/>
    <w:basedOn w:val="Normal"/>
    <w:qFormat/>
    <w:pPr>
      <w:tabs>
        <w:tab w:val="clear" w:pos="420"/>
        <w:tab w:val="left" w:pos="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  <w:style w:type="paragraph" w:styleId="Procedure">
    <w:name w:val="Procedure"/>
    <w:basedOn w:val="Normal"/>
    <w:qFormat/>
    <w:pPr>
      <w:tabs>
        <w:tab w:val="clear" w:pos="420"/>
        <w:tab w:val="left" w:pos="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LibreOffice/7.2.7.2$Windows_X86_64 LibreOffice_project/8d71d29d553c0f7dcbfa38fbfda25ee34cce99a2</Application>
  <AppVersion>15.0000</AppVersion>
  <Pages>3</Pages>
  <Words>596</Words>
  <Characters>3069</Characters>
  <CharactersWithSpaces>3650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2021-04-28T09:59:26Z</dcterms:created>
  <dc:creator/>
  <dc:description/>
  <dc:language>fr-FR</dc:language>
  <cp:lastModifiedBy/>
  <dcterms:modified xsi:type="dcterms:W3CDTF">2023-07-24T12:14:29Z</dcterms:modified>
  <cp:revision>36</cp:revision>
  <dc:subject/>
  <dc:title/>
</cp:coreProperties>
</file>