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ableau"/>
        <w:bidi w:val="0"/>
        <w:spacing w:before="120" w:after="120"/>
        <w:jc w:val="left"/>
        <w:rPr>
          <w:rFonts w:ascii="MV Boli" w:hAnsi="MV Boli"/>
          <w:i/>
          <w:i/>
          <w:iCs/>
        </w:rPr>
      </w:pPr>
      <w:r>
        <w:rPr>
          <w:rFonts w:ascii="MV Boli" w:hAnsi="MV Boli"/>
          <w:i/>
          <w:i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2160270</wp:posOffset>
            </wp:positionH>
            <wp:positionV relativeFrom="paragraph">
              <wp:posOffset>-118110</wp:posOffset>
            </wp:positionV>
            <wp:extent cx="1527810" cy="1004570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004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ableau"/>
        <w:bidi w:val="0"/>
        <w:jc w:val="left"/>
        <w:rPr>
          <w:rFonts w:ascii="MV Boli" w:hAnsi="MV Boli"/>
          <w:i/>
          <w:i/>
          <w:iCs/>
        </w:rPr>
      </w:pPr>
      <w:r>
        <w:rPr>
          <w:rFonts w:ascii="MV Boli" w:hAnsi="MV Boli"/>
          <w:i/>
          <w:iCs/>
        </w:rPr>
      </w:r>
    </w:p>
    <w:p>
      <w:pPr>
        <w:pStyle w:val="Tableau"/>
        <w:bidi w:val="0"/>
        <w:jc w:val="left"/>
        <w:rPr>
          <w:rFonts w:ascii="MV Boli" w:hAnsi="MV Boli"/>
          <w:i/>
          <w:i/>
          <w:iCs/>
        </w:rPr>
      </w:pPr>
      <w:r>
        <w:rPr>
          <w:rFonts w:ascii="MV Boli" w:hAnsi="MV Boli"/>
          <w:i/>
          <w:iCs/>
        </w:rPr>
      </w:r>
    </w:p>
    <w:p>
      <w:pPr>
        <w:pStyle w:val="PA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fldChar w:fldCharType="begin"/>
      </w:r>
      <w:r>
        <w:rPr>
          <w:i w:val="false"/>
          <w:iCs w:val="false"/>
          <w:rFonts w:ascii="Times New Roman" w:hAnsi="Times New Roman"/>
        </w:rPr>
        <w:instrText> DOCVARIABLE PouvoirAdjudicateur </w:instrText>
      </w:r>
      <w:r>
        <w:rPr>
          <w:i w:val="false"/>
          <w:iCs w:val="false"/>
          <w:rFonts w:ascii="Times New Roman" w:hAnsi="Times New Roman"/>
        </w:rPr>
        <w:fldChar w:fldCharType="separate"/>
      </w:r>
      <w:r>
        <w:rPr>
          <w:i w:val="false"/>
          <w:iCs w:val="false"/>
          <w:rFonts w:ascii="Times New Roman" w:hAnsi="Times New Roman"/>
        </w:rPr>
        <w:t>Ville de Marseille - Mairie des 13e et 14e Arrondissements</w:t>
      </w:r>
      <w:r>
        <w:rPr>
          <w:i w:val="false"/>
          <w:iCs w:val="false"/>
          <w:rFonts w:ascii="Times New Roman" w:hAnsi="Times New Roman"/>
        </w:rPr>
        <w:fldChar w:fldCharType="end"/>
      </w:r>
    </w:p>
    <w:p>
      <w:pPr>
        <w:pStyle w:val="Corpsdetexte"/>
        <w:keepNext w:val="true"/>
        <w:keepLines/>
        <w:bidi w:val="0"/>
        <w:jc w:val="both"/>
        <w:textAlignment w:val="center"/>
        <w:rPr>
          <w:rFonts w:ascii="Times New Roman" w:hAnsi="Times New Roman"/>
          <w:i w:val="false"/>
          <w:i w:val="false"/>
          <w:i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zxx" w:eastAsia="zxx" w:bidi="zxx"/>
        </w:rPr>
      </w:r>
    </w:p>
    <w:p>
      <w:pPr>
        <w:pStyle w:val="Corpsdetexte"/>
        <w:bidi w:val="0"/>
        <w:jc w:val="both"/>
        <w:textAlignment w:val="center"/>
        <w:rPr>
          <w:rFonts w:ascii="Times New Roman" w:hAnsi="Times New Roman"/>
          <w:i w:val="false"/>
          <w:i w:val="false"/>
          <w:iCs w:val="false"/>
          <w:sz w:val="28"/>
          <w:szCs w:val="28"/>
          <w:lang w:val="zxx" w:eastAsia="zxx" w:bidi="zxx"/>
        </w:rPr>
      </w:pPr>
      <w:r>
        <w:rPr>
          <w:rFonts w:ascii="Times New Roman" w:hAnsi="Times New Roman"/>
          <w:i w:val="false"/>
          <w:iCs w:val="false"/>
          <w:sz w:val="28"/>
          <w:szCs w:val="28"/>
          <w:lang w:val="zxx" w:eastAsia="zxx" w:bidi="zxx"/>
        </w:rPr>
      </w:r>
    </w:p>
    <w:p>
      <w:pPr>
        <w:pStyle w:val="Direction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fldChar w:fldCharType="begin"/>
      </w:r>
      <w:r>
        <w:rPr>
          <w:i w:val="false"/>
          <w:iCs w:val="false"/>
          <w:rFonts w:ascii="Times New Roman" w:hAnsi="Times New Roman"/>
        </w:rPr>
        <w:instrText> DOCVARIABLE DirectionService </w:instrText>
      </w:r>
      <w:r>
        <w:rPr>
          <w:i w:val="false"/>
          <w:iCs w:val="false"/>
          <w:rFonts w:ascii="Times New Roman" w:hAnsi="Times New Roman"/>
        </w:rPr>
        <w:fldChar w:fldCharType="separate"/>
      </w:r>
      <w:r>
        <w:rPr>
          <w:i w:val="false"/>
          <w:iCs w:val="false"/>
          <w:rFonts w:ascii="Times New Roman" w:hAnsi="Times New Roman"/>
        </w:rPr>
        <w:t>MA-MA1314 (17704)</w:t>
      </w:r>
      <w:r>
        <w:rPr>
          <w:i w:val="false"/>
          <w:iCs w:val="false"/>
          <w:rFonts w:ascii="Times New Roman" w:hAnsi="Times New Roman"/>
        </w:rPr>
        <w:fldChar w:fldCharType="end"/>
      </w:r>
    </w:p>
    <w:p>
      <w:pPr>
        <w:pStyle w:val="Direction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Direction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</w:r>
    </w:p>
    <w:p>
      <w:pPr>
        <w:pStyle w:val="TypeDocument3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DETAIL QUANTITATIF ESTIMATIF</w:t>
      </w:r>
      <w:r>
        <w:rPr>
          <w:rFonts w:ascii="Times New Roman" w:hAnsi="Times New Roman"/>
          <w:i w:val="false"/>
          <w:iCs w:val="false"/>
        </w:rPr>
        <w:t xml:space="preserve"> (</w:t>
      </w:r>
      <w:r>
        <w:rPr>
          <w:rFonts w:ascii="Times New Roman" w:hAnsi="Times New Roman"/>
          <w:i w:val="false"/>
          <w:iCs w:val="false"/>
        </w:rPr>
        <w:t>DQE</w:t>
      </w:r>
      <w:r>
        <w:rPr>
          <w:rFonts w:ascii="Times New Roman" w:hAnsi="Times New Roman"/>
          <w:i w:val="false"/>
          <w:iCs w:val="false"/>
        </w:rPr>
        <w:t>)</w:t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Intitule2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 xml:space="preserve">Prestations d’entretien et de nettoyage des espaces publics transférés de la </w:t>
      </w:r>
      <w:r>
        <w:rPr>
          <w:rFonts w:ascii="Times New Roman" w:hAnsi="Times New Roman"/>
          <w:i w:val="false"/>
          <w:iCs w:val="false"/>
        </w:rPr>
        <w:t>Mairie 13ème et 14ème arrondissements</w:t>
      </w:r>
    </w:p>
    <w:p>
      <w:pPr>
        <w:pStyle w:val="Intitule2"/>
        <w:bidi w:val="0"/>
        <w:rPr>
          <w:rFonts w:ascii="Times New Roman" w:hAnsi="Times New Roman"/>
          <w:i w:val="false"/>
          <w:i w:val="false"/>
          <w:iCs w:val="false"/>
        </w:rPr>
      </w:pPr>
      <w:r>
        <w:rPr>
          <w:rFonts w:ascii="Times New Roman" w:hAnsi="Times New Roman"/>
          <w:i w:val="false"/>
          <w:iCs w:val="false"/>
        </w:rPr>
        <w:t>LOT 1</w:t>
      </w:r>
      <w:r>
        <w:rPr>
          <w:rFonts w:ascii="Times New Roman" w:hAnsi="Times New Roman"/>
          <w:i w:val="false"/>
          <w:iCs w:val="false"/>
        </w:rPr>
        <w:t xml:space="preserve">  zone 14ème </w:t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Corpsdetexte"/>
        <w:bidi w:val="0"/>
        <w:jc w:val="left"/>
        <w:rPr/>
      </w:pPr>
      <w:r>
        <w:rPr/>
      </w:r>
    </w:p>
    <w:p>
      <w:pPr>
        <w:pStyle w:val="NumeroConsultation"/>
        <w:bidi w:val="0"/>
        <w:ind w:left="3600" w:right="0" w:hanging="3092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b/>
          <w:bCs/>
          <w:i w:val="false"/>
          <w:iCs w:val="false"/>
          <w:u w:val="single"/>
        </w:rPr>
        <w:t>Numéro de la consultation</w:t>
        <w:tab/>
        <w:t>:</w:t>
      </w:r>
      <w:r>
        <w:rPr>
          <w:rFonts w:cs="Arial" w:ascii="Times New Roman" w:hAnsi="Times New Roman"/>
          <w:b/>
          <w:bCs/>
          <w:i w:val="false"/>
          <w:iCs w:val="false"/>
        </w:rPr>
        <w:tab/>
      </w:r>
      <w:r>
        <w:rPr>
          <w:rFonts w:cs="Arial" w:ascii="Times New Roman" w:hAnsi="Times New Roman"/>
          <w:b/>
          <w:bCs/>
          <w:i w:val="false"/>
          <w:iCs w:val="false"/>
        </w:rPr>
        <w:t>23_2059</w:t>
      </w:r>
    </w:p>
    <w:p>
      <w:pPr>
        <w:pStyle w:val="Normal"/>
        <w:bidi w:val="0"/>
        <w:jc w:val="both"/>
        <w:rPr>
          <w:rFonts w:ascii="Times New Roman" w:hAnsi="Times New Roman" w:cs="Arial"/>
          <w:i w:val="false"/>
          <w:i w:val="false"/>
          <w:iCs w:val="false"/>
          <w:color w:val="000000"/>
          <w:sz w:val="20"/>
          <w:szCs w:val="20"/>
          <w:shd w:fill="FFFFFF" w:val="clear"/>
        </w:rPr>
      </w:pPr>
      <w:r>
        <w:rPr>
          <w:rFonts w:cs="Arial" w:ascii="Times New Roman" w:hAnsi="Times New Roman"/>
          <w:i w:val="false"/>
          <w:iCs w:val="false"/>
          <w:color w:val="000000"/>
          <w:sz w:val="20"/>
          <w:szCs w:val="20"/>
          <w:shd w:fill="FFFFFF" w:val="clear"/>
        </w:rPr>
      </w:r>
    </w:p>
    <w:p>
      <w:pPr>
        <w:pStyle w:val="Normal"/>
        <w:bidi w:val="0"/>
        <w:jc w:val="both"/>
        <w:rPr>
          <w:rFonts w:ascii="Times New Roman" w:hAnsi="Times New Roman"/>
          <w:i w:val="false"/>
          <w:i w:val="false"/>
          <w:iCs w:val="false"/>
          <w:color w:val="000000"/>
          <w:sz w:val="20"/>
          <w:szCs w:val="20"/>
        </w:rPr>
      </w:pPr>
      <w:r>
        <w:rPr>
          <w:rFonts w:ascii="Times New Roman" w:hAnsi="Times New Roman"/>
          <w:i w:val="false"/>
          <w:iCs w:val="false"/>
          <w:color w:val="000000"/>
          <w:sz w:val="20"/>
          <w:szCs w:val="20"/>
        </w:rPr>
      </w:r>
    </w:p>
    <w:p>
      <w:pPr>
        <w:pStyle w:val="Procedure"/>
        <w:bidi w:val="0"/>
        <w:ind w:left="4292" w:right="0" w:hanging="3762"/>
        <w:jc w:val="left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 w:ascii="Times New Roman" w:hAnsi="Times New Roman"/>
          <w:b/>
          <w:bCs/>
          <w:i w:val="false"/>
          <w:iCs w:val="false"/>
          <w:u w:val="single"/>
        </w:rPr>
        <w:t>Procédure de passation :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 xml:space="preserve">                 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>P</w:t>
      </w:r>
      <w:r>
        <w:rPr>
          <w:rFonts w:cs="Arial" w:ascii="Times New Roman" w:hAnsi="Times New Roman"/>
          <w:b/>
          <w:bCs/>
          <w:i w:val="false"/>
          <w:iCs w:val="false"/>
          <w:u w:val="none"/>
        </w:rPr>
        <w:t>rocédure adaptée</w:t>
      </w:r>
    </w:p>
    <w:p>
      <w:pPr>
        <w:pStyle w:val="Procedure"/>
        <w:bidi w:val="0"/>
        <w:ind w:left="4292" w:right="0" w:hanging="3762"/>
        <w:jc w:val="left"/>
        <w:rPr>
          <w:rFonts w:ascii="Times New Roman" w:hAnsi="Times New Roman" w:cs="Arial"/>
          <w:b/>
          <w:b/>
          <w:bCs/>
          <w:i w:val="false"/>
          <w:i w:val="false"/>
          <w:iCs w:val="false"/>
          <w:u w:val="none"/>
        </w:rPr>
      </w:pPr>
      <w:r>
        <w:rPr>
          <w:rFonts w:cs="Arial" w:ascii="Times New Roman" w:hAnsi="Times New Roman"/>
          <w:b/>
          <w:bCs/>
          <w:i w:val="false"/>
          <w:iCs w:val="false"/>
          <w:u w:val="non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/>
      </w:pPr>
      <w:r>
        <w:rPr>
          <w:rFonts w:ascii="Times New Roman" w:hAnsi="Times New Roman"/>
          <w:b/>
          <w:bCs/>
          <w:i w:val="false"/>
          <w:iCs w:val="false"/>
          <w:u w:val="single"/>
        </w:rPr>
        <w:t>Date de noti</w:t>
      </w:r>
      <w:r>
        <w:rPr>
          <w:rFonts w:ascii="Times New Roman" w:hAnsi="Times New Roman"/>
          <w:b/>
          <w:bCs/>
          <w:i w:val="false"/>
          <w:iCs w:val="false"/>
          <w:u w:val="single"/>
        </w:rPr>
        <w:t>fication :</w:t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u w:val="single"/>
        </w:rPr>
      </w:pPr>
      <w:r>
        <w:rPr>
          <w:rFonts w:ascii="Times New Roman" w:hAnsi="Times New Roman"/>
          <w:b/>
          <w:bCs/>
          <w:i w:val="false"/>
          <w:iCs w:val="false"/>
          <w:u w:val="single"/>
        </w:rPr>
      </w:r>
    </w:p>
    <w:p>
      <w:pPr>
        <w:pStyle w:val="DateLimite"/>
        <w:bidi w:val="0"/>
        <w:ind w:left="4269" w:right="0" w:hanging="3762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>MAPA 2021_17702_0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>163</w:t>
      </w: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  <w:t xml:space="preserve"> – LOT 1 – ZONE 14ème </w:t>
      </w:r>
    </w:p>
    <w:p>
      <w:pPr>
        <w:pStyle w:val="DateLimite"/>
        <w:bidi w:val="0"/>
        <w:ind w:left="4269" w:right="0" w:hanging="3762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200"/>
        <w:gridCol w:w="675"/>
        <w:gridCol w:w="1755"/>
        <w:gridCol w:w="1425"/>
        <w:gridCol w:w="1590"/>
      </w:tblGrid>
      <w:tr>
        <w:trPr/>
        <w:tc>
          <w:tcPr>
            <w:tcW w:w="4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Désignation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de la prestation hebdomadaire </w:t>
            </w:r>
          </w:p>
        </w:tc>
        <w:tc>
          <w:tcPr>
            <w:tcW w:w="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2"/>
                <w:szCs w:val="22"/>
              </w:rPr>
              <w:t>Unité</w:t>
            </w: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Quantités estimatives annuelles</w:t>
            </w: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total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HT en €</w:t>
            </w: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total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TTC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en €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Nettoyage poubelle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La prestation comprend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 xml:space="preserve">la vidange des corbeilles à papiers et la mise en place, à chaque passage, d’un sachet en plastique de réception, adapté au type de corbeilles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>installée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>s sur l’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 xml:space="preserve">espace dans tous les sites 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>du</w:t>
            </w:r>
            <w:r>
              <w:rPr>
                <w:rFonts w:eastAsia="Arial" w:cs="Arial" w:ascii="Liberation Sans" w:hAnsi="Liberation Sans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vanish w:val="false"/>
                <w:color w:val="000000"/>
                <w:spacing w:val="0"/>
                <w:w w:val="100"/>
                <w:kern w:val="2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  <w:lang w:val="fr-FR" w:eastAsia="zh-CN" w:bidi="ar-SA"/>
              </w:rPr>
              <w:t xml:space="preserve"> lots du marché, le transport et la mise en déchetterie contrôlée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36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spacing w:lineRule="auto" w:line="36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400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unités 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Nettoyage des détritus.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consiste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en le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nettoyage de tou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type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de détritus dans tous les sites d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u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lot du marché (sachets, plastiques, emballages, papiers) et la prestation comprend le ramassage, le transport et la mise en déchetterie contrôlée.  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M² 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1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5 000 m2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Nettoyage des détritus à risque infectieux 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consiste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en le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nettoyage et ramassage de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tous les déchets à risque infectieux (masques, seringues, débris de verre, défection animal etc...) sur tous les sites d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u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lot du marché, le transport et la mise en déchetterie contrôlée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M² 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1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5 000 m2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Nettoyage des détritus en hauteur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 w:val="false"/>
                <w:b w:val="false"/>
                <w:bCs w:val="false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La prestation 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consiste en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l’enlèvement de tout type de détritus (sac plastique et autres) accroché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dans les arbres à plus de </w:t>
            </w:r>
            <w:commentRangeStart w:id="0"/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2m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</w:r>
            <w:commentRangeEnd w:id="0"/>
            <w:r>
              <w:commentReference w:id="0"/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avec outils manuel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sur tou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b w:val="false"/>
                <w:bCs w:val="false"/>
                <w:sz w:val="24"/>
                <w:szCs w:val="24"/>
              </w:rPr>
              <w:t xml:space="preserve"> les sites des deux lots du marché, elle comprend aussi le ramassage, le transport et la mise en déchetterie contrôlée 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M² 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6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000 m2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Enlèvement d’encombrant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consiste en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l’enlèvement d’encombrant de tout type (caddies, gravats, produits électroménager etc...) sur tou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s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les sites d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u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lot du marché, elle comprend le ramassage, le transport et la mise en déchetterie contrôlée.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M³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1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m3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Désignation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de la prestation hebdomadaire 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2"/>
                <w:szCs w:val="22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2"/>
                <w:szCs w:val="22"/>
              </w:rPr>
              <w:t>Unité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Quantités estimatives annuelles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total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HT en €</w:t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Prix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total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TTC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en €</w:t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Balayage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consiste en le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balayage de tout type (mégots, feuilles…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) sur tous les sites du lot du marché, le ramassage, le transport et la mise en déchetterie contrôlée.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M²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1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5 000 m2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Enlèvement de sable et de terre.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Cette prestation 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consiste en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l’enlèvement de sable, de terre ou graviers sur l’ensemble des sites d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>u</w:t>
            </w:r>
            <w:r>
              <w:rPr>
                <w:rFonts w:eastAsia="Microsoft YaHei" w:cs="Arial" w:ascii="Liberation Sans" w:hAnsi="Liberation Sans"/>
                <w:sz w:val="24"/>
                <w:szCs w:val="24"/>
              </w:rPr>
              <w:t xml:space="preserve"> lot du marché, le ramassage, le transport et la mise en déchetterie contrôlée.</w:t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M³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1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 xml:space="preserve">0 </w:t>
            </w: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m3</w:t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Total</w:t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bidi w:val="0"/>
              <w:jc w:val="both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  <w:tc>
          <w:tcPr>
            <w:tcW w:w="67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</w:tcPr>
          <w:p>
            <w:pPr>
              <w:pStyle w:val="Contenudetableau"/>
              <w:bidi w:val="0"/>
              <w:jc w:val="center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  <w:tc>
          <w:tcPr>
            <w:tcW w:w="1425" w:type="dxa"/>
            <w:tcBorders>
              <w:left w:val="single" w:sz="2" w:space="0" w:color="000000"/>
              <w:bottom w:val="single" w:sz="2" w:space="0" w:color="000000"/>
            </w:tcBorders>
            <w:shd w:fill="FFFFFF" w:val="clear"/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  <w:tc>
          <w:tcPr>
            <w:tcW w:w="159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FFFFFF" w:val="clear"/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sz w:val="24"/>
                <w:szCs w:val="24"/>
              </w:rPr>
            </w:r>
          </w:p>
        </w:tc>
      </w:tr>
      <w:tr>
        <w:trPr/>
        <w:tc>
          <w:tcPr>
            <w:tcW w:w="420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  <w:t>Nom du candidat :</w:t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4"/>
                <w:szCs w:val="24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4"/>
                <w:szCs w:val="24"/>
              </w:rPr>
            </w:r>
          </w:p>
        </w:tc>
        <w:tc>
          <w:tcPr>
            <w:tcW w:w="5445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 xml:space="preserve">Date : </w:t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  <w:t>signature et cachet de l’entreprise</w:t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  <w:p>
            <w:pPr>
              <w:pStyle w:val="Contenudetableau"/>
              <w:bidi w:val="0"/>
              <w:jc w:val="left"/>
              <w:rPr>
                <w:rFonts w:ascii="Liberation Sans" w:hAnsi="Liberation Sans" w:eastAsia="Microsoft YaHei" w:cs="Arial"/>
                <w:b/>
                <w:b/>
                <w:bCs/>
                <w:sz w:val="28"/>
                <w:szCs w:val="28"/>
              </w:rPr>
            </w:pPr>
            <w:r>
              <w:rPr>
                <w:rFonts w:eastAsia="Microsoft YaHei" w:cs="Arial" w:ascii="Liberation Sans" w:hAnsi="Liberation Sans"/>
                <w:b/>
                <w:bCs/>
                <w:sz w:val="28"/>
                <w:szCs w:val="28"/>
              </w:rPr>
            </w:r>
          </w:p>
        </w:tc>
      </w:tr>
    </w:tbl>
    <w:p>
      <w:pPr>
        <w:pStyle w:val="Titre"/>
        <w:bidi w:val="0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sz w:val="28"/>
          <w:szCs w:val="28"/>
          <w:u w:val="none"/>
        </w:rPr>
      </w:pPr>
      <w:r>
        <w:rPr>
          <w:rFonts w:ascii="Times New Roman" w:hAnsi="Times New Roman"/>
          <w:b/>
          <w:bCs/>
          <w:i w:val="false"/>
          <w:iCs w:val="false"/>
          <w:sz w:val="28"/>
          <w:szCs w:val="28"/>
          <w:u w:val="none"/>
        </w:rPr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FF0000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0000"/>
          <w:sz w:val="24"/>
          <w:szCs w:val="24"/>
          <w:u w:val="none"/>
          <w:em w:val="none"/>
        </w:rPr>
        <w:t xml:space="preserve">Le DQE (Détail Quantitatif Estimatif) est un document, non contractuel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Ce DQE devra être dûment rempli et complété par l’opérateur  où figurera  le prix remisé pour chaque item décrit dans ce DQE. sous peine de non conformité de l'offre.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>Le candidat devra compléer ce DQE, même s'il propose des tarifs à 0,00 €HT il doit l'indiquer dans la case correspondante.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S'il ne peut proposer le service demandé dans le DQE, il doit également le mentionner.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sz w:val="24"/>
          <w:szCs w:val="24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Les prix sont exprimés avec deux décimales comprennent le contenu des prestations décrites dans le CCTP et le CCAP, ainsi que tous les frais afférents à l'exécution des prestations, y compris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la remise en état des sites,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l'information, le conseil, l'assistance, les réunions de cadrage et de suivi d'exécution du marché, les moyens techniques, les moyens en personnels qualifiés, 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C9211E"/>
          <w:sz w:val="24"/>
          <w:szCs w:val="24"/>
          <w:u w:val="none"/>
          <w:em w:val="none"/>
        </w:rPr>
        <w:t>la livraison des produits finis,</w:t>
      </w: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000000"/>
          <w:sz w:val="24"/>
          <w:szCs w:val="24"/>
          <w:u w:val="none"/>
          <w:em w:val="none"/>
        </w:rPr>
        <w:t xml:space="preserve"> les corrections éventuelles, les droits de propriété, l'assurance, les frais généraux, ainsi que toutes charges fiscales, parafiscales ou autres frappant obligatoirement les prestations. </w:t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FFFFFF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FFFF"/>
          <w:sz w:val="24"/>
          <w:szCs w:val="24"/>
          <w:u w:val="none"/>
          <w:em w:val="none"/>
        </w:rPr>
      </w:r>
    </w:p>
    <w:p>
      <w:pPr>
        <w:pStyle w:val="Normal"/>
        <w:bidi w:val="0"/>
        <w:jc w:val="center"/>
        <w:rPr>
          <w:rFonts w:ascii="Liberation Sans" w:hAnsi="Liberation Sans" w:eastAsia="Microsoft YaHei" w:cs="Arial"/>
          <w:b/>
          <w:b/>
          <w:i w:val="false"/>
          <w:i w:val="false"/>
          <w:strike w:val="false"/>
          <w:dstrike w:val="false"/>
          <w:outline w:val="false"/>
          <w:shadow w:val="false"/>
          <w:color w:val="FF0000"/>
          <w:sz w:val="24"/>
          <w:szCs w:val="24"/>
          <w:u w:val="none"/>
          <w:em w:val="none"/>
        </w:rPr>
      </w:pPr>
      <w:r>
        <w:rPr>
          <w:rFonts w:eastAsia="Microsoft YaHei" w:cs="Arial" w:ascii="Liberation Sans" w:hAnsi="Liberation Sans"/>
          <w:b/>
          <w:i w:val="false"/>
          <w:strike w:val="false"/>
          <w:dstrike w:val="false"/>
          <w:outline w:val="false"/>
          <w:shadow w:val="false"/>
          <w:color w:val="FF0000"/>
          <w:sz w:val="24"/>
          <w:szCs w:val="24"/>
          <w:u w:val="none"/>
          <w:em w:val="none"/>
        </w:rPr>
        <w:t>Le DQE ne peut en aucun cas être modifié.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Lea Meloni" w:date="2023-07-17T14:50:15Z" w:initials="LM">
    <w:p>
      <w:r>
        <w:rPr>
          <w:rFonts w:ascii="Liberation Serif" w:hAnsi="Liberation Serif" w:eastAsia="SimSun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outline w:val="false"/>
          <w:shadow w:val="false"/>
          <w:emboss w:val="false"/>
          <w:imprint w:val="false"/>
          <w:color w:val="auto"/>
          <w:spacing w:val="0"/>
          <w:w w:val="100"/>
          <w:kern w:val="2"/>
          <w:position w:val="0"/>
          <w:sz w:val="20"/>
          <w:szCs w:val="24"/>
          <w:u w:val="none"/>
          <w:vertAlign w:val="baseline"/>
          <w:em w:val="none"/>
          <w:lang w:val="fr-FR" w:eastAsia="zh-CN" w:bidi="hi-IN"/>
        </w:rPr>
        <w:t>P4 du CCTP il est écrit 3 m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  <w:font w:name="MV Boli">
    <w:charset w:val="00"/>
    <w:family w:val="auto"/>
    <w:pitch w:val="variable"/>
  </w:font>
  <w:font w:name="Liberation Sans">
    <w:altName w:val="Arial"/>
    <w:charset w:val="00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compatSetting w:name="compatibilityMode" w:uri="http://schemas.microsoft.com/office/word" w:val="15"/>
  </w:compat>
  <w:docVars>
    <w:docVar w:name="PouvoirAdjudicateur" w:val="Ville de Marseille - Mairie des 13e et 14e Arrondissements"/>
    <w:docVar w:name="DirectionService" w:val="MA-MA1314 (17704)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 w:val="24"/>
        <w:szCs w:val="24"/>
        <w:lang w:val="fr-F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Arial"/>
      <w:color w:val="auto"/>
      <w:kern w:val="2"/>
      <w:sz w:val="24"/>
      <w:szCs w:val="24"/>
      <w:lang w:val="fr-FR" w:eastAsia="zh-CN" w:bidi="hi-IN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Tabledesmatiresniveau3">
    <w:name w:val="TOC 3"/>
    <w:basedOn w:val="Normal"/>
    <w:next w:val="Normal"/>
    <w:pPr>
      <w:ind w:left="480" w:right="0" w:hanging="0"/>
    </w:pPr>
    <w:rPr>
      <w:rFonts w:ascii="Helvetica" w:hAnsi="Helvetica" w:cs="Helvetica"/>
      <w:szCs w:val="20"/>
    </w:rPr>
  </w:style>
  <w:style w:type="paragraph" w:styleId="Tabledesmatiresniveau1">
    <w:name w:val="TOC 1"/>
    <w:basedOn w:val="Normal"/>
    <w:next w:val="Normal"/>
    <w:pPr/>
    <w:rPr>
      <w:rFonts w:ascii="Helvetica" w:hAnsi="Helvetica" w:cs="Helvetica"/>
      <w:szCs w:val="20"/>
    </w:rPr>
  </w:style>
  <w:style w:type="paragraph" w:styleId="Tabledesmatiresniveau2">
    <w:name w:val="TOC 2"/>
    <w:basedOn w:val="Normal"/>
    <w:next w:val="Normal"/>
    <w:pPr>
      <w:ind w:left="240" w:right="0" w:hanging="0"/>
    </w:pPr>
    <w:rPr>
      <w:rFonts w:ascii="Helvetica" w:hAnsi="Helvetica" w:cs="Helvetica"/>
      <w:szCs w:val="20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Intitule">
    <w:name w:val="Intitule"/>
    <w:basedOn w:val="Normal"/>
    <w:qFormat/>
    <w:pPr>
      <w:pBdr>
        <w:top w:val="single" w:sz="20" w:space="1" w:color="000000"/>
        <w:left w:val="single" w:sz="20" w:space="4" w:color="000000"/>
        <w:bottom w:val="single" w:sz="20" w:space="1" w:color="000000"/>
        <w:right w:val="single" w:sz="20" w:space="16" w:color="000000"/>
      </w:pBdr>
      <w:tabs>
        <w:tab w:val="clear" w:pos="420"/>
        <w:tab w:val="left" w:pos="0" w:leader="none"/>
      </w:tabs>
      <w:spacing w:before="0" w:after="0"/>
      <w:ind w:left="0" w:right="0" w:hanging="0"/>
      <w:jc w:val="center"/>
    </w:pPr>
    <w:rPr>
      <w:rFonts w:ascii="Arial" w:hAnsi="Arial" w:cs="Arial"/>
      <w:b/>
      <w:color w:val="000000"/>
      <w:sz w:val="36"/>
      <w:szCs w:val="24"/>
      <w:shd w:fill="FFFFFF" w:val="clear"/>
      <w:lang w:val="fr-FR"/>
    </w:rPr>
  </w:style>
  <w:style w:type="paragraph" w:styleId="Intitule2">
    <w:name w:val="Intitule2"/>
    <w:basedOn w:val="Intitule"/>
    <w:qFormat/>
    <w:pPr/>
    <w:rPr>
      <w:shd w:fill="auto" w:val="clear"/>
    </w:rPr>
  </w:style>
  <w:style w:type="paragraph" w:styleId="TypeDocument3">
    <w:name w:val="TypeDocument3"/>
    <w:basedOn w:val="Corpsdetexte"/>
    <w:qFormat/>
    <w:pPr>
      <w:jc w:val="center"/>
    </w:pPr>
    <w:rPr>
      <w:b/>
      <w:sz w:val="44"/>
    </w:rPr>
  </w:style>
  <w:style w:type="paragraph" w:styleId="Tableau">
    <w:name w:val="Tableau"/>
    <w:basedOn w:val="Lgende"/>
    <w:qFormat/>
    <w:pPr/>
    <w:rPr>
      <w:i w:val="false"/>
    </w:rPr>
  </w:style>
  <w:style w:type="paragraph" w:styleId="PA">
    <w:name w:val="PA"/>
    <w:basedOn w:val="Normal"/>
    <w:qFormat/>
    <w:pPr>
      <w:keepNext w:val="true"/>
      <w:keepLines/>
      <w:spacing w:before="0" w:after="0"/>
      <w:ind w:left="0" w:right="0" w:hanging="0"/>
      <w:jc w:val="center"/>
      <w:textAlignment w:val="center"/>
    </w:pPr>
    <w:rPr>
      <w:rFonts w:ascii="Arial" w:hAnsi="Arial" w:cs="Arial"/>
      <w:b/>
      <w:bCs/>
      <w:sz w:val="40"/>
      <w:szCs w:val="40"/>
      <w:lang w:val="zxx" w:eastAsia="zxx" w:bidi="zxx"/>
    </w:rPr>
  </w:style>
  <w:style w:type="paragraph" w:styleId="Direction">
    <w:name w:val="Direction"/>
    <w:basedOn w:val="Normal"/>
    <w:qFormat/>
    <w:pPr>
      <w:keepNext w:val="true"/>
      <w:keepLines/>
      <w:spacing w:before="0" w:after="0"/>
      <w:ind w:left="0" w:right="0" w:hanging="0"/>
      <w:jc w:val="center"/>
      <w:textAlignment w:val="center"/>
    </w:pPr>
    <w:rPr>
      <w:rFonts w:ascii="Arial" w:hAnsi="Arial" w:cs="Arial"/>
      <w:b w:val="false"/>
      <w:bCs w:val="false"/>
      <w:sz w:val="36"/>
      <w:szCs w:val="28"/>
      <w:lang w:val="zxx" w:eastAsia="zxx" w:bidi="zxx"/>
    </w:rPr>
  </w:style>
  <w:style w:type="paragraph" w:styleId="DateLimite">
    <w:name w:val="DateLimite"/>
    <w:basedOn w:val="Normal"/>
    <w:qFormat/>
    <w:pPr>
      <w:tabs>
        <w:tab w:val="clear" w:pos="420"/>
        <w:tab w:val="left" w:pos="3600" w:leader="none"/>
      </w:tabs>
      <w:spacing w:before="0" w:after="0"/>
      <w:ind w:left="3600" w:right="0" w:hanging="3600"/>
      <w:jc w:val="center"/>
    </w:pPr>
    <w:rPr>
      <w:rFonts w:ascii="Arial" w:hAnsi="Arial" w:cs="Arial"/>
      <w:b/>
      <w:color w:val="000000"/>
      <w:sz w:val="24"/>
      <w:szCs w:val="20"/>
    </w:rPr>
  </w:style>
  <w:style w:type="paragraph" w:styleId="NumeroConsultation">
    <w:name w:val="NumeroConsultation"/>
    <w:basedOn w:val="Normal"/>
    <w:qFormat/>
    <w:pPr>
      <w:tabs>
        <w:tab w:val="clear" w:pos="420"/>
        <w:tab w:val="left" w:pos="3600" w:leader="none"/>
      </w:tabs>
      <w:spacing w:before="0" w:after="0"/>
      <w:ind w:left="3600" w:right="0" w:hanging="3600"/>
      <w:jc w:val="center"/>
    </w:pPr>
    <w:rPr>
      <w:rFonts w:ascii="Arial" w:hAnsi="Arial"/>
      <w:b/>
      <w:color w:val="000000"/>
      <w:sz w:val="24"/>
      <w:szCs w:val="20"/>
    </w:rPr>
  </w:style>
  <w:style w:type="paragraph" w:styleId="Procedure">
    <w:name w:val="Procedure"/>
    <w:basedOn w:val="Normal"/>
    <w:qFormat/>
    <w:pPr>
      <w:tabs>
        <w:tab w:val="clear" w:pos="420"/>
        <w:tab w:val="left" w:pos="3600" w:leader="none"/>
      </w:tabs>
      <w:spacing w:before="0" w:after="0"/>
      <w:ind w:left="3600" w:right="0" w:hanging="3600"/>
      <w:jc w:val="center"/>
    </w:pPr>
    <w:rPr>
      <w:rFonts w:ascii="Arial" w:hAnsi="Arial"/>
      <w:b/>
      <w:color w:val="000000"/>
      <w:sz w:val="24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comments" Target="comments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221</TotalTime>
  <Application>LibreOffice/7.2.7.2$Windows_X86_64 LibreOffice_project/8d71d29d553c0f7dcbfa38fbfda25ee34cce99a2</Application>
  <AppVersion>15.0000</AppVersion>
  <Pages>3</Pages>
  <Words>597</Words>
  <Characters>3077</Characters>
  <CharactersWithSpaces>3658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2021-04-28T09:59:26Z</dcterms:created>
  <dc:creator/>
  <dc:description/>
  <dc:language>fr-FR</dc:language>
  <cp:lastModifiedBy/>
  <cp:lastPrinted>2023-06-21T15:42:31Z</cp:lastPrinted>
  <dcterms:modified xsi:type="dcterms:W3CDTF">2023-07-24T12:07:21Z</dcterms:modified>
  <cp:revision>32</cp:revision>
  <dc:subject/>
  <dc:title/>
</cp:coreProperties>
</file>