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au"/>
        <w:bidi w:val="0"/>
        <w:spacing w:before="120" w:after="120"/>
        <w:jc w:val="left"/>
        <w:rPr>
          <w:rFonts w:ascii="MV Boli" w:hAnsi="MV Boli"/>
          <w:i/>
          <w:i/>
          <w:iCs/>
        </w:rPr>
      </w:pPr>
      <w:r>
        <w:rPr>
          <w:rFonts w:ascii="MV Boli" w:hAnsi="MV Boli"/>
          <w:i/>
          <w:i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2259330</wp:posOffset>
            </wp:positionH>
            <wp:positionV relativeFrom="paragraph">
              <wp:posOffset>-400050</wp:posOffset>
            </wp:positionV>
            <wp:extent cx="1527810" cy="100457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ableau"/>
        <w:bidi w:val="0"/>
        <w:jc w:val="left"/>
        <w:rPr>
          <w:rFonts w:ascii="MV Boli" w:hAnsi="MV Boli"/>
          <w:i/>
          <w:i/>
          <w:iCs/>
        </w:rPr>
      </w:pPr>
      <w:r>
        <w:rPr>
          <w:rFonts w:ascii="MV Boli" w:hAnsi="MV Boli"/>
          <w:i/>
          <w:iCs/>
        </w:rPr>
      </w:r>
    </w:p>
    <w:p>
      <w:pPr>
        <w:pStyle w:val="PA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fldChar w:fldCharType="begin"/>
      </w:r>
      <w:r>
        <w:rPr>
          <w:i w:val="false"/>
          <w:iCs w:val="false"/>
          <w:rFonts w:ascii="Times New Roman" w:hAnsi="Times New Roman"/>
        </w:rPr>
        <w:instrText> DOCVARIABLE PouvoirAdjudicateur </w:instrText>
      </w:r>
      <w:r>
        <w:rPr>
          <w:i w:val="false"/>
          <w:iCs w:val="false"/>
          <w:rFonts w:ascii="Times New Roman" w:hAnsi="Times New Roman"/>
        </w:rPr>
        <w:fldChar w:fldCharType="separate"/>
      </w:r>
      <w:r>
        <w:rPr>
          <w:i w:val="false"/>
          <w:iCs w:val="false"/>
          <w:rFonts w:ascii="Times New Roman" w:hAnsi="Times New Roman"/>
        </w:rPr>
        <w:t>Ville de Marseille - Mairie des 13e et 14e Arrondissements</w:t>
      </w:r>
      <w:r>
        <w:rPr>
          <w:i w:val="false"/>
          <w:iCs w:val="false"/>
          <w:rFonts w:ascii="Times New Roman" w:hAnsi="Times New Roman"/>
        </w:rPr>
        <w:fldChar w:fldCharType="end"/>
      </w:r>
    </w:p>
    <w:p>
      <w:pPr>
        <w:pStyle w:val="Corpsdetexte"/>
        <w:keepNext w:val="true"/>
        <w:keepLines/>
        <w:bidi w:val="0"/>
        <w:jc w:val="both"/>
        <w:textAlignment w:val="center"/>
        <w:rPr>
          <w:rFonts w:ascii="Times New Roman" w:hAnsi="Times New Roman"/>
          <w:i w:val="false"/>
          <w:i w:val="false"/>
          <w:i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zxx" w:eastAsia="zxx" w:bidi="zxx"/>
        </w:rPr>
      </w:r>
    </w:p>
    <w:p>
      <w:pPr>
        <w:pStyle w:val="Corpsdetexte"/>
        <w:bidi w:val="0"/>
        <w:jc w:val="both"/>
        <w:textAlignment w:val="center"/>
        <w:rPr>
          <w:rFonts w:ascii="Times New Roman" w:hAnsi="Times New Roman"/>
          <w:i w:val="false"/>
          <w:i w:val="false"/>
          <w:i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zxx" w:eastAsia="zxx" w:bidi="zxx"/>
        </w:rPr>
      </w:r>
    </w:p>
    <w:p>
      <w:pPr>
        <w:pStyle w:val="Direction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fldChar w:fldCharType="begin"/>
      </w:r>
      <w:r>
        <w:rPr>
          <w:i w:val="false"/>
          <w:iCs w:val="false"/>
          <w:rFonts w:ascii="Times New Roman" w:hAnsi="Times New Roman"/>
        </w:rPr>
        <w:instrText> DOCVARIABLE DirectionService </w:instrText>
      </w:r>
      <w:r>
        <w:rPr>
          <w:i w:val="false"/>
          <w:iCs w:val="false"/>
          <w:rFonts w:ascii="Times New Roman" w:hAnsi="Times New Roman"/>
        </w:rPr>
        <w:fldChar w:fldCharType="separate"/>
      </w:r>
      <w:r>
        <w:rPr>
          <w:i w:val="false"/>
          <w:iCs w:val="false"/>
          <w:rFonts w:ascii="Times New Roman" w:hAnsi="Times New Roman"/>
        </w:rPr>
        <w:t>MA-MA1314 (17704)</w:t>
      </w:r>
      <w:r>
        <w:rPr>
          <w:i w:val="false"/>
          <w:iCs w:val="false"/>
          <w:rFonts w:ascii="Times New Roman" w:hAnsi="Times New Roman"/>
        </w:rPr>
        <w:fldChar w:fldCharType="end"/>
      </w:r>
    </w:p>
    <w:p>
      <w:pPr>
        <w:pStyle w:val="Direction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Direction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TypeDocument3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B</w:t>
      </w:r>
      <w:r>
        <w:rPr>
          <w:rFonts w:ascii="Times New Roman" w:hAnsi="Times New Roman"/>
          <w:i w:val="false"/>
          <w:iCs w:val="false"/>
        </w:rPr>
        <w:t>ORDEREAU DE PRIX UNITAIRES</w:t>
      </w:r>
      <w:r>
        <w:rPr>
          <w:rFonts w:ascii="Times New Roman" w:hAnsi="Times New Roman"/>
          <w:i w:val="false"/>
          <w:iCs w:val="false"/>
        </w:rPr>
        <w:t xml:space="preserve"> (BPU)</w:t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Intitule2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Prestations d’entretien et de nettoyage des espaces publics transférés de la </w:t>
      </w:r>
      <w:r>
        <w:rPr>
          <w:rFonts w:ascii="Times New Roman" w:hAnsi="Times New Roman"/>
          <w:i w:val="false"/>
          <w:iCs w:val="false"/>
        </w:rPr>
        <w:t>Mairie 13ème et 14ème arrondissements</w:t>
      </w:r>
    </w:p>
    <w:p>
      <w:pPr>
        <w:pStyle w:val="Intitule2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LOT</w:t>
      </w:r>
      <w:r>
        <w:rPr>
          <w:rFonts w:ascii="Times New Roman" w:hAnsi="Times New Roman"/>
          <w:i w:val="false"/>
          <w:iCs w:val="false"/>
        </w:rPr>
        <w:t xml:space="preserve">  </w:t>
      </w:r>
      <w:r>
        <w:rPr>
          <w:rFonts w:ascii="Times New Roman" w:hAnsi="Times New Roman"/>
          <w:i w:val="false"/>
          <w:iCs w:val="false"/>
        </w:rPr>
        <w:t>2</w:t>
      </w:r>
      <w:r>
        <w:rPr>
          <w:rFonts w:ascii="Times New Roman" w:hAnsi="Times New Roman"/>
          <w:i w:val="false"/>
          <w:iCs w:val="false"/>
        </w:rPr>
        <w:t xml:space="preserve">  -  zone 1</w:t>
      </w:r>
      <w:r>
        <w:rPr>
          <w:rFonts w:ascii="Times New Roman" w:hAnsi="Times New Roman"/>
          <w:i w:val="false"/>
          <w:iCs w:val="false"/>
        </w:rPr>
        <w:t>3</w:t>
      </w:r>
      <w:r>
        <w:rPr>
          <w:rFonts w:ascii="Times New Roman" w:hAnsi="Times New Roman"/>
          <w:i w:val="false"/>
          <w:iCs w:val="false"/>
        </w:rPr>
        <w:t xml:space="preserve">ème </w:t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NumeroConsultation"/>
        <w:bidi w:val="0"/>
        <w:ind w:left="3600" w:right="0" w:hanging="3092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b/>
          <w:bCs/>
          <w:i w:val="false"/>
          <w:iCs w:val="false"/>
          <w:u w:val="single"/>
        </w:rPr>
        <w:t>Numéro de la consultation</w:t>
        <w:tab/>
        <w:t>:</w:t>
      </w:r>
      <w:r>
        <w:rPr>
          <w:rFonts w:cs="Arial" w:ascii="Times New Roman" w:hAnsi="Times New Roman"/>
          <w:b/>
          <w:bCs/>
          <w:i w:val="false"/>
          <w:iCs w:val="false"/>
        </w:rPr>
        <w:tab/>
      </w:r>
      <w:r>
        <w:rPr>
          <w:rFonts w:cs="Arial" w:ascii="Times New Roman" w:hAnsi="Times New Roman"/>
          <w:b/>
          <w:bCs/>
          <w:i w:val="false"/>
          <w:iCs w:val="false"/>
        </w:rPr>
        <w:t>23_2059</w:t>
      </w:r>
    </w:p>
    <w:p>
      <w:pPr>
        <w:pStyle w:val="Normal"/>
        <w:bidi w:val="0"/>
        <w:jc w:val="both"/>
        <w:rPr>
          <w:rFonts w:ascii="Times New Roman" w:hAnsi="Times New Roman" w:cs="Arial"/>
          <w:i w:val="false"/>
          <w:i w:val="false"/>
          <w:iCs w:val="false"/>
          <w:color w:val="000000"/>
          <w:sz w:val="20"/>
          <w:szCs w:val="20"/>
          <w:shd w:fill="FFFFFF" w:val="clear"/>
        </w:rPr>
      </w:pPr>
      <w:r>
        <w:rPr>
          <w:rFonts w:cs="Arial" w:ascii="Times New Roman" w:hAnsi="Times New Roman"/>
          <w:i w:val="false"/>
          <w:iCs w:val="false"/>
          <w:color w:val="000000"/>
          <w:sz w:val="20"/>
          <w:szCs w:val="20"/>
          <w:shd w:fill="FFFFFF" w:val="clear"/>
        </w:rPr>
      </w:r>
    </w:p>
    <w:p>
      <w:pPr>
        <w:pStyle w:val="Normal"/>
        <w:bidi w:val="0"/>
        <w:jc w:val="both"/>
        <w:rPr>
          <w:rFonts w:ascii="Times New Roman" w:hAnsi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Times New Roman" w:hAnsi="Times New Roman"/>
          <w:i w:val="false"/>
          <w:iCs w:val="false"/>
          <w:color w:val="000000"/>
          <w:sz w:val="20"/>
          <w:szCs w:val="20"/>
        </w:rPr>
      </w:r>
    </w:p>
    <w:p>
      <w:pPr>
        <w:pStyle w:val="Procedure"/>
        <w:bidi w:val="0"/>
        <w:ind w:left="4292" w:right="0" w:hanging="3762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b/>
          <w:bCs/>
          <w:i w:val="false"/>
          <w:iCs w:val="false"/>
          <w:u w:val="single"/>
        </w:rPr>
        <w:t>Procédure de passation :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 xml:space="preserve">                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>P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>rocédure adaptée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 xml:space="preserve"> </w:t>
      </w:r>
    </w:p>
    <w:p>
      <w:pPr>
        <w:pStyle w:val="Normal"/>
        <w:tabs>
          <w:tab w:val="clear" w:pos="420"/>
          <w:tab w:val="left" w:pos="3600" w:leader="none"/>
        </w:tabs>
        <w:bidi w:val="0"/>
        <w:ind w:left="3600" w:right="0" w:hanging="360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0"/>
          <w:szCs w:val="20"/>
          <w:shd w:fill="FFFFFF" w:val="clear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0"/>
          <w:szCs w:val="20"/>
          <w:shd w:fill="FFFFFF" w:val="clear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u w:val="single"/>
        </w:rPr>
        <w:t>Date de noti</w:t>
      </w:r>
      <w:r>
        <w:rPr>
          <w:rFonts w:ascii="Times New Roman" w:hAnsi="Times New Roman"/>
          <w:b/>
          <w:bCs/>
          <w:i w:val="false"/>
          <w:iCs w:val="false"/>
          <w:u w:val="single"/>
        </w:rPr>
        <w:t>fication :</w:t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center"/>
        <w:rPr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>MAPA 2021_17702_0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>163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– LOT2 –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ZONE 13ème </w:t>
      </w:r>
    </w:p>
    <w:p>
      <w:pPr>
        <w:pStyle w:val="DateLimite"/>
        <w:bidi w:val="0"/>
        <w:ind w:left="4269" w:right="0" w:hanging="3762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1606"/>
        <w:gridCol w:w="1932"/>
        <w:gridCol w:w="2895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Désignation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de la prestation hebdomadaire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Unité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Prix HT en €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TTC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en €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Nettoyage poubelle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La prestation comprend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 xml:space="preserve">la vidange des corbeilles à papiers et la mise en place, à chaque passage, d’un sachet en plastique de réception, adapté au type de corbeilles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>installées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 xml:space="preserve"> sur l’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 xml:space="preserve">espace dans tous les sites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>du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 xml:space="preserve"> lot du marché, le transport et la mise en déchetterie contrôlée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36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Nettoyage des détritus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consiste en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le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nettoyage de tou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type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de détritus dans tous les sites d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u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lot du marché (sachets, plastiques, emballages, papiers).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L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a prestation comprend le ramassage, le transport et la mise en déchetterie contrôlée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M² 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Nettoyage des détritus à risque infectieux 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consiste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en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le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nettoyage et ramassage de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tous les déchets à risque infectieux (masques, seringues, débris de verre, déjections animales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)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sur tous les sites d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u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lot du marché, le transport et la mise en déchetterie contrôlée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M² 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Désignation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de la prestation hebdomadaire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Unité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Prix HT en €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TTC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en €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Nettoyage des détritus en hauteur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consiste en l’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enlèvement de tou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type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de détritus (sac plastique et autres) accroché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dans les arbres à plus de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3</w:t>
            </w:r>
            <w:commentRangeStart w:id="0"/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m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</w:r>
            <w:commentRangeEnd w:id="0"/>
            <w:r>
              <w:commentReference w:id="0"/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avec outils manuel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sur tou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les sites d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u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lot du marché, elle comprend aussi le ramassage, le transport et la mise en déchetterie contrôlée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M² 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Enlèvement d’encombrant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consiste  en l’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enlèvement d’encombrant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de tou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type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(caddies, gravats, produits électroménager etc.) sur tout les sites d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u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lot du marché, elle comprend le ramassage, le transport et la mise en déchetterie contrôlée.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M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³</w:t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Balayage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consiste en le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balayage de tout type (mégots, feuilles …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) sur tous les sites du lot du marché, le ramassage, le transport et la mise en déchetterie contrôlée.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M²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Désignation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de la prestation hebdomadaire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Unité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Prix HT en €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TTC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en €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Enlèvement de sable et de terre.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consiste  en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l’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enlèvement de sable, de terre ou graviers sur l’ensemble d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es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site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d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u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lot du marché, le ramassage, le transport et la mise en déchetterie contrôlée.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M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³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>
          <w:trHeight w:val="3302" w:hRule="atLeast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Nom du candidat :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</w:tc>
        <w:tc>
          <w:tcPr>
            <w:tcW w:w="64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Date : </w:t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signature et cachet de l’entreprise</w:t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Le BPU  (bordereau des prix unitaires) est un document contractuel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Ce BPU devra être dûment rempli et complété par l’opérateur où figurera  le prix remisé et délais pour chaque item décrit dans ce BPU</w:t>
      </w:r>
      <w:commentRangeStart w:id="1"/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  <w:commentRangeEnd w:id="1"/>
      <w:r>
        <w:commentReference w:id="1"/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sous peine de non conformité de l'offre.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Le candidat devra complé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commentReference w:id="2"/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er chaque ligne de ce BPU, même s'il propose des tarifs à 0,00 €HT il doit l'indiquer dans la case correspondante.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S'il ne peut proposer le service demandé dans le BPU, il doit également le mentionner.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sz w:val="28"/>
          <w:szCs w:val="28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Les prix sont exprimés avec deux décimales comprennent le contenu des prestations décrites dans le CCTP et le CCAP, ainsi que tous les frais afférents à l'exécution des prestations, y compris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la remise en état des sites,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l'information, le conseil, l'assistance, les réunions de cadrage et de suivi d'exécution du marché, les moyens techniques y compris le matériel d'enregistrement audio, les moyens en personnels qualifiés,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0000"/>
          <w:sz w:val="28"/>
          <w:szCs w:val="28"/>
          <w:u w:val="none"/>
          <w:em w:val="none"/>
        </w:rPr>
        <w:t>la livraison des produits finis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, les corrections éventuelles, les droits de propriété, l'assurance, les frais généraux, ainsi que toutes charges fiscales, parafiscales ou autres frappant obligatoirement les prestations.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FF0000"/>
          <w:sz w:val="28"/>
          <w:szCs w:val="28"/>
          <w:u w:val="none"/>
          <w:em w:val="none"/>
          <w:lang w:val="fr-FR" w:eastAsia="fr-FR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0000"/>
          <w:sz w:val="28"/>
          <w:szCs w:val="28"/>
          <w:u w:val="none"/>
          <w:em w:val="none"/>
          <w:lang w:val="fr-FR" w:eastAsia="fr-FR"/>
        </w:rPr>
        <w:t>Le BPU ne peut en aucun cas être modifié.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Lea Meloni" w:date="2023-07-17T14:46:45Z" w:initials="LM">
    <w:p>
      <w:r>
        <w:rPr>
          <w:rFonts w:ascii="Liberation Serif" w:hAnsi="Liberation Serif" w:eastAsia="SimSun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Cs w:val="24"/>
          <w:u w:val="none"/>
          <w:vertAlign w:val="baseline"/>
          <w:em w:val="none"/>
          <w:lang w:val="fr-FR" w:eastAsia="zh-CN" w:bidi="hi-IN"/>
        </w:rPr>
        <w:t>Attention au CCTP il est écrit 3M p.4</w:t>
      </w:r>
    </w:p>
  </w:comment>
  <w:comment w:id="1" w:author="Lea Meloni" w:date="2023-07-17T14:48:18Z" w:initials="LM">
    <w:p>
      <w:r>
        <w:rPr>
          <w:rFonts w:ascii="Liberation Serif" w:hAnsi="Liberation Serif" w:eastAsia="SimSun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Cs w:val="24"/>
          <w:u w:val="none"/>
          <w:vertAlign w:val="baseline"/>
          <w:em w:val="none"/>
          <w:lang w:val="fr-FR" w:eastAsia="zh-CN" w:bidi="hi-IN"/>
        </w:rPr>
        <w:t>Supprimer le .</w:t>
      </w:r>
    </w:p>
  </w:comment>
  <w:comment w:id="2" w:author="Lea Meloni" w:date="2023-07-17T14:48:24Z" w:initials="LM">
    <w:p>
      <w:r>
        <w:rPr>
          <w:rFonts w:ascii="Liberation Serif" w:hAnsi="Liberation Serif" w:eastAsia="SimSun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Cs w:val="24"/>
          <w:u w:val="none"/>
          <w:vertAlign w:val="baseline"/>
          <w:em w:val="none"/>
          <w:lang w:val="fr-FR" w:eastAsia="zh-CN" w:bidi="hi-IN"/>
        </w:rPr>
        <w:t>coquille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MV Boli">
    <w:charset w:val="00"/>
    <w:family w:val="auto"/>
    <w:pitch w:val="variable"/>
  </w:font>
  <w:font w:name="Liberation Sans">
    <w:altName w:val="Arial"/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  <w:docVars>
    <w:docVar w:name="PouvoirAdjudicateur" w:val="Ville de Marseille - Mairie des 13e et 14e Arrondissements"/>
    <w:docVar w:name="DirectionService" w:val="MA-MA1314 (17704)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desmatiresniveau3">
    <w:name w:val="TOC 3"/>
    <w:basedOn w:val="Normal"/>
    <w:next w:val="Normal"/>
    <w:pPr>
      <w:ind w:left="480" w:right="0" w:hanging="0"/>
    </w:pPr>
    <w:rPr>
      <w:rFonts w:ascii="Helvetica" w:hAnsi="Helvetica" w:cs="Helvetica"/>
      <w:szCs w:val="20"/>
    </w:rPr>
  </w:style>
  <w:style w:type="paragraph" w:styleId="Tabledesmatiresniveau1">
    <w:name w:val="TOC 1"/>
    <w:basedOn w:val="Normal"/>
    <w:next w:val="Normal"/>
    <w:pPr/>
    <w:rPr>
      <w:rFonts w:ascii="Helvetica" w:hAnsi="Helvetica" w:cs="Helvetica"/>
      <w:szCs w:val="20"/>
    </w:rPr>
  </w:style>
  <w:style w:type="paragraph" w:styleId="Tabledesmatiresniveau2">
    <w:name w:val="TOC 2"/>
    <w:basedOn w:val="Normal"/>
    <w:next w:val="Normal"/>
    <w:pPr>
      <w:ind w:left="240" w:right="0" w:hanging="0"/>
    </w:pPr>
    <w:rPr>
      <w:rFonts w:ascii="Helvetica" w:hAnsi="Helvetica" w:cs="Helvetica"/>
      <w:szCs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Intitule">
    <w:name w:val="Intitule"/>
    <w:basedOn w:val="Normal"/>
    <w:qFormat/>
    <w:pPr>
      <w:pBdr>
        <w:top w:val="single" w:sz="20" w:space="1" w:color="000000"/>
        <w:left w:val="single" w:sz="20" w:space="4" w:color="000000"/>
        <w:bottom w:val="single" w:sz="20" w:space="1" w:color="000000"/>
        <w:right w:val="single" w:sz="20" w:space="16" w:color="000000"/>
      </w:pBdr>
      <w:tabs>
        <w:tab w:val="clear" w:pos="420"/>
        <w:tab w:val="left" w:pos="0" w:leader="none"/>
      </w:tabs>
      <w:spacing w:before="0" w:after="0"/>
      <w:ind w:left="0" w:right="0" w:hanging="0"/>
      <w:jc w:val="center"/>
    </w:pPr>
    <w:rPr>
      <w:rFonts w:ascii="Arial" w:hAnsi="Arial" w:cs="Arial"/>
      <w:b/>
      <w:color w:val="000000"/>
      <w:sz w:val="36"/>
      <w:szCs w:val="24"/>
      <w:shd w:fill="FFFFFF" w:val="clear"/>
      <w:lang w:val="fr-FR"/>
    </w:rPr>
  </w:style>
  <w:style w:type="paragraph" w:styleId="Intitule2">
    <w:name w:val="Intitule2"/>
    <w:basedOn w:val="Intitule"/>
    <w:qFormat/>
    <w:pPr/>
    <w:rPr>
      <w:shd w:fill="auto" w:val="clear"/>
    </w:rPr>
  </w:style>
  <w:style w:type="paragraph" w:styleId="TypeDocument3">
    <w:name w:val="TypeDocument3"/>
    <w:basedOn w:val="Corpsdetexte"/>
    <w:qFormat/>
    <w:pPr>
      <w:jc w:val="center"/>
    </w:pPr>
    <w:rPr>
      <w:b/>
      <w:sz w:val="44"/>
    </w:rPr>
  </w:style>
  <w:style w:type="paragraph" w:styleId="Tableau">
    <w:name w:val="Tableau"/>
    <w:basedOn w:val="Lgende"/>
    <w:qFormat/>
    <w:pPr/>
    <w:rPr>
      <w:i w:val="false"/>
    </w:rPr>
  </w:style>
  <w:style w:type="paragraph" w:styleId="PA">
    <w:name w:val="PA"/>
    <w:basedOn w:val="Normal"/>
    <w:qFormat/>
    <w:pPr>
      <w:keepNext w:val="true"/>
      <w:keepLines/>
      <w:spacing w:before="0" w:after="0"/>
      <w:ind w:left="0" w:right="0" w:hanging="0"/>
      <w:jc w:val="center"/>
      <w:textAlignment w:val="center"/>
    </w:pPr>
    <w:rPr>
      <w:rFonts w:ascii="Arial" w:hAnsi="Arial" w:cs="Arial"/>
      <w:b/>
      <w:bCs/>
      <w:sz w:val="40"/>
      <w:szCs w:val="40"/>
      <w:lang w:val="zxx" w:eastAsia="zxx" w:bidi="zxx"/>
    </w:rPr>
  </w:style>
  <w:style w:type="paragraph" w:styleId="Direction">
    <w:name w:val="Direction"/>
    <w:basedOn w:val="Normal"/>
    <w:qFormat/>
    <w:pPr>
      <w:keepNext w:val="true"/>
      <w:keepLines/>
      <w:spacing w:before="0" w:after="0"/>
      <w:ind w:left="0" w:right="0" w:hanging="0"/>
      <w:jc w:val="center"/>
      <w:textAlignment w:val="center"/>
    </w:pPr>
    <w:rPr>
      <w:rFonts w:ascii="Arial" w:hAnsi="Arial" w:cs="Arial"/>
      <w:b w:val="false"/>
      <w:bCs w:val="false"/>
      <w:sz w:val="36"/>
      <w:szCs w:val="28"/>
      <w:lang w:val="zxx" w:eastAsia="zxx" w:bidi="zxx"/>
    </w:rPr>
  </w:style>
  <w:style w:type="paragraph" w:styleId="DateLimite">
    <w:name w:val="DateLimite"/>
    <w:basedOn w:val="Normal"/>
    <w:qFormat/>
    <w:pPr>
      <w:tabs>
        <w:tab w:val="clear" w:pos="420"/>
        <w:tab w:val="left" w:pos="3600" w:leader="none"/>
      </w:tabs>
      <w:spacing w:before="0" w:after="0"/>
      <w:ind w:left="3600" w:right="0" w:hanging="3600"/>
      <w:jc w:val="center"/>
    </w:pPr>
    <w:rPr>
      <w:rFonts w:ascii="Arial" w:hAnsi="Arial" w:cs="Arial"/>
      <w:b/>
      <w:color w:val="000000"/>
      <w:sz w:val="24"/>
      <w:szCs w:val="20"/>
    </w:rPr>
  </w:style>
  <w:style w:type="paragraph" w:styleId="NumeroConsultation">
    <w:name w:val="NumeroConsultation"/>
    <w:basedOn w:val="Normal"/>
    <w:qFormat/>
    <w:pPr>
      <w:tabs>
        <w:tab w:val="clear" w:pos="420"/>
        <w:tab w:val="left" w:pos="3600" w:leader="none"/>
      </w:tabs>
      <w:spacing w:before="0" w:after="0"/>
      <w:ind w:left="3600" w:right="0" w:hanging="3600"/>
      <w:jc w:val="center"/>
    </w:pPr>
    <w:rPr>
      <w:rFonts w:ascii="Arial" w:hAnsi="Arial"/>
      <w:b/>
      <w:color w:val="000000"/>
      <w:sz w:val="24"/>
      <w:szCs w:val="20"/>
    </w:rPr>
  </w:style>
  <w:style w:type="paragraph" w:styleId="Procedure">
    <w:name w:val="Procedure"/>
    <w:basedOn w:val="Normal"/>
    <w:qFormat/>
    <w:pPr>
      <w:tabs>
        <w:tab w:val="clear" w:pos="420"/>
        <w:tab w:val="left" w:pos="3600" w:leader="none"/>
      </w:tabs>
      <w:spacing w:before="0" w:after="0"/>
      <w:ind w:left="3600" w:right="0" w:hanging="3600"/>
      <w:jc w:val="center"/>
    </w:pPr>
    <w:rPr>
      <w:rFonts w:ascii="Arial" w:hAnsi="Arial"/>
      <w:b/>
      <w:color w:val="000000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LibreOffice/7.2.7.2$Windows_X86_64 LibreOffice_project/8d71d29d553c0f7dcbfa38fbfda25ee34cce99a2</Application>
  <AppVersion>15.0000</AppVersion>
  <Pages>4</Pages>
  <Words>592</Words>
  <Characters>3053</Characters>
  <CharactersWithSpaces>3633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2021-04-28T09:59:26Z</dcterms:created>
  <dc:creator/>
  <dc:description/>
  <dc:language>fr-FR</dc:language>
  <cp:lastModifiedBy/>
  <dcterms:modified xsi:type="dcterms:W3CDTF">2023-07-24T12:14:57Z</dcterms:modified>
  <cp:revision>34</cp:revision>
  <dc:subject/>
  <dc:title/>
</cp:coreProperties>
</file>