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au"/>
        <w:spacing w:before="120" w:after="120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2091690</wp:posOffset>
            </wp:positionH>
            <wp:positionV relativeFrom="paragraph">
              <wp:posOffset>-253365</wp:posOffset>
            </wp:positionV>
            <wp:extent cx="1527810" cy="100457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ableau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</w:r>
    </w:p>
    <w:p>
      <w:pPr>
        <w:pStyle w:val="Tableau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  <w:t xml:space="preserve">  </w:t>
      </w:r>
    </w:p>
    <w:p>
      <w:pPr>
        <w:pStyle w:val="PA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PouvoirAdjudicateur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Ville de Marseille - Mairie des 13e et 14e Arrondissements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Corpsdetexte"/>
        <w:keepNext w:val="true"/>
        <w:keepLines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Corpsdetexte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DirectionService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MA-MA1314 (17704)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TypeDocument3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B</w:t>
      </w:r>
      <w:r>
        <w:rPr>
          <w:rFonts w:ascii="Times New Roman" w:hAnsi="Times New Roman"/>
          <w:i w:val="false"/>
          <w:iCs w:val="false"/>
        </w:rPr>
        <w:t>ORDEREAU DE PRIX UNITAIRES</w:t>
      </w:r>
      <w:r>
        <w:rPr>
          <w:rFonts w:ascii="Times New Roman" w:hAnsi="Times New Roman"/>
          <w:i w:val="false"/>
          <w:iCs w:val="false"/>
        </w:rPr>
        <w:t xml:space="preserve"> (BPU)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Intitule2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Prestations d’entretien et de nettoyage des espaces publics transférés de la </w:t>
      </w:r>
      <w:r>
        <w:rPr>
          <w:rFonts w:ascii="Times New Roman" w:hAnsi="Times New Roman"/>
          <w:i w:val="false"/>
          <w:iCs w:val="false"/>
        </w:rPr>
        <w:t>Mairie 13ème et 14ème arrondissements</w:t>
      </w:r>
    </w:p>
    <w:p>
      <w:pPr>
        <w:pStyle w:val="Intitule2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LOT 1</w:t>
      </w:r>
      <w:r>
        <w:rPr>
          <w:rFonts w:ascii="Times New Roman" w:hAnsi="Times New Roman"/>
          <w:i w:val="false"/>
          <w:iCs w:val="false"/>
        </w:rPr>
        <w:t xml:space="preserve">   zone 14ème 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NumeroConsultation"/>
        <w:ind w:left="3600" w:right="0" w:hanging="309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Numéro de la consultation</w:t>
        <w:tab/>
        <w:t>:</w:t>
      </w:r>
      <w:r>
        <w:rPr>
          <w:rFonts w:cs="Arial" w:ascii="Times New Roman" w:hAnsi="Times New Roman"/>
          <w:b/>
          <w:bCs/>
          <w:i w:val="false"/>
          <w:iCs w:val="false"/>
        </w:rPr>
        <w:tab/>
      </w:r>
      <w:r>
        <w:rPr>
          <w:rFonts w:cs="Arial" w:ascii="Times New Roman" w:hAnsi="Times New Roman"/>
          <w:b/>
          <w:bCs/>
          <w:i w:val="false"/>
          <w:iCs w:val="false"/>
        </w:rPr>
        <w:t>23_2059</w:t>
      </w:r>
    </w:p>
    <w:p>
      <w:pPr>
        <w:pStyle w:val="Normal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Times New Roman" w:hAnsi="Times New Roman"/>
          <w:i w:val="false"/>
          <w:iCs w:val="false"/>
          <w:color w:val="000000"/>
          <w:sz w:val="20"/>
          <w:szCs w:val="20"/>
        </w:rPr>
      </w:r>
    </w:p>
    <w:p>
      <w:pPr>
        <w:pStyle w:val="Procedure"/>
        <w:ind w:left="4292" w:right="0" w:hanging="376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Procédure de passation :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           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Procédure adaptée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    </w:t>
      </w:r>
    </w:p>
    <w:p>
      <w:pPr>
        <w:pStyle w:val="Normal"/>
        <w:tabs>
          <w:tab w:val="clear" w:pos="420"/>
          <w:tab w:val="left" w:pos="0" w:leader="none"/>
        </w:tabs>
        <w:ind w:left="3600" w:right="0" w:hanging="360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u w:val="single"/>
        </w:rPr>
        <w:t>Date de noti</w:t>
      </w:r>
      <w:r>
        <w:rPr>
          <w:rFonts w:ascii="Times New Roman" w:hAnsi="Times New Roman"/>
          <w:b/>
          <w:bCs/>
          <w:i w:val="false"/>
          <w:iCs w:val="false"/>
          <w:u w:val="single"/>
        </w:rPr>
        <w:t>fication :</w:t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MAPA 2021_17702_0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163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– LOT 1 – ZONE 14ème </w:t>
      </w:r>
    </w:p>
    <w:p>
      <w:pPr>
        <w:pStyle w:val="Corpsdetexte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1606"/>
        <w:gridCol w:w="2547"/>
        <w:gridCol w:w="2280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poubelle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comprend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la vidange des corbeilles à papiers et la mise en place, à chaque passage, d’un sachet en plastique de réception, adapté au type de corbeilles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install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é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e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s sur l’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espace dans tous les sites d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>u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  <w:lang w:val="fr-FR" w:eastAsia="zh-CN" w:bidi="ar-SA"/>
              </w:rPr>
              <w:t xml:space="preserve"> lot du marché, le transport et la mise en déchetterie contrôlée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des détritus.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en le nettoyage de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de détritus dans tous les sites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lot du marché (sachets, plastiques, emballages, papiers) et la prestation comprend le ramassage, le transport et la mise en déchetterie contrôlée. 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M² 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Nettoyage des détritus à risque infectieux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consiste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en le nettoyage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et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ramass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age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de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tous les déchets à risque infectieux (masques, seringues, débris de verre, déjections animales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)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sur tous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lot du marché, le transport et la mise en déchetterie contrôlée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M²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Nettoyage des détritus en hauteur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consiste en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l’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enlèvement de tout type de détritus (sac plastique et autres) accroché dans les arbres à plus de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color w:val="2A6099"/>
                <w:sz w:val="28"/>
                <w:szCs w:val="28"/>
              </w:rPr>
              <w:t>3</w:t>
            </w:r>
            <w:commentRangeStart w:id="0"/>
            <w:r>
              <w:rPr>
                <w:rFonts w:eastAsia="Microsoft YaHei" w:cs="Arial" w:ascii="Liberation Sans" w:hAnsi="Liberation Sans"/>
                <w:b w:val="false"/>
                <w:bCs w:val="false"/>
                <w:color w:val="2A6099"/>
                <w:sz w:val="28"/>
                <w:szCs w:val="28"/>
              </w:rPr>
              <w:t>m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</w:r>
            <w:commentRangeEnd w:id="0"/>
            <w:r>
              <w:commentReference w:id="0"/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avec outils manuel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sur tou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8"/>
                <w:szCs w:val="28"/>
              </w:rPr>
              <w:t xml:space="preserve"> lot du marché, elle comprend aussi le ramassage, le transport et la mise en déchetterie contrôlée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M² 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Enlèvement d’encombrant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jc w:val="left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 en l’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enlèvement d’encombrant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de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(caddies, gravats, produits électroménager etc...) sur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les sites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lot du marché, elle comprend le ramassage, le transport et la mise en déchetterie contrôlée.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Balayage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consiste en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le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balayage de tou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s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(mégots, feuilles…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) sur tous les sites du lot du marché, le ramassage, le transport et la mise en déchetterie contrôlée.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M²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de la prestation hebdomadaire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Unité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Prix HT en €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en €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Enlèvement de sable et de terre.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consiste en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l’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enlèvement de sable, de terre ou graviers sur l’ensemble des sites d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>u</w:t>
            </w:r>
            <w:r>
              <w:rPr>
                <w:rFonts w:eastAsia="Microsoft YaHei" w:cs="Arial" w:ascii="Liberation Sans" w:hAnsi="Liberation Sans"/>
                <w:sz w:val="28"/>
                <w:szCs w:val="28"/>
              </w:rPr>
              <w:t xml:space="preserve">  lot du marché, le ramassage, le transport et la mise en déchetterie contrôlée.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Nom du candidat :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  <w:tc>
          <w:tcPr>
            <w:tcW w:w="643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Date : 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signature et cachet de l’entreprise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FFFF"/>
          <w:sz w:val="28"/>
          <w:szCs w:val="28"/>
          <w:u w:val="none"/>
          <w:em w:val="none"/>
          <w:lang w:val="fr-FR" w:eastAsia="fr-FR"/>
        </w:rPr>
        <w:t>Annexe financi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FFFF"/>
          <w:sz w:val="28"/>
          <w:szCs w:val="28"/>
          <w:u w:val="none"/>
          <w:em w:val="none"/>
        </w:rPr>
        <w:t>ère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FFFF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FFFF"/>
          <w:sz w:val="28"/>
          <w:szCs w:val="28"/>
          <w:u w:val="none"/>
          <w:em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Le BPU  (bordereau des prix unitaires) est un document contractuel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Ce BPU devra être dûment rempli et complété par l’opérateur où figurera  le prix remisé et délais pour chaque item décrit dans ce BPU. sous peine de non conformité de l'offre.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Le candidat devra compléer chaque ligne de ce BPU, même s'il propose des tarifs à 0,00 €HT il doit l'indiquer dans la case correspondante.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S'il ne peut proposer le service demandé dans le BPU, il doit également le mentionner.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sz w:val="28"/>
          <w:szCs w:val="28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Les prix sont exprimés avec deux décimales comprennent le contenu des prestations décrites dans le CCTP et le CCAP, ainsi que tous les frais afférents à l'exécution des prestations, y compris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la remise en état des sites,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l'information, le conseil, l'assistance, les réunions de cadrage et de suivi d'exécution du marché, les moyens techniques y compris le matériel d'enregistrement audio, les moyens en personnels qualifiés,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</w:rPr>
        <w:t>la livraison des produits finis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, les corrections éventuelles, les droits de propriété, l'assurance, les frais généraux, ainsi que toutes charges fiscales, parafiscales ou autres frappant obligatoirement les prestations.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8"/>
          <w:szCs w:val="28"/>
          <w:u w:val="none"/>
          <w:em w:val="none"/>
        </w:rPr>
        <w:t>Le BPU ne peut en aucun cas être modifié.</w:t>
      </w:r>
    </w:p>
    <w:p>
      <w:pPr>
        <w:pStyle w:val="Normal"/>
        <w:rPr>
          <w:rFonts w:ascii="Liberation Sans" w:hAnsi="Liberation Sans" w:eastAsia="Microsoft YaHei" w:cs="Arial"/>
          <w:sz w:val="28"/>
          <w:szCs w:val="28"/>
          <w:lang w:val="fr-FR" w:eastAsia="fr-FR"/>
        </w:rPr>
      </w:pPr>
      <w:r>
        <w:rPr>
          <w:rFonts w:eastAsia="Microsoft YaHei" w:cs="Arial" w:ascii="Liberation Sans" w:hAnsi="Liberation Sans"/>
          <w:sz w:val="28"/>
          <w:szCs w:val="28"/>
          <w:lang w:val="fr-FR" w:eastAsia="fr-F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ea Meloni" w:date="2023-07-17T14:49:27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p. 4 du cctp il est écrit 3M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MV Boli">
    <w:charset w:val="00"/>
    <w:family w:val="auto"/>
    <w:pitch w:val="variable"/>
  </w:font>
  <w:font w:name="Liberation Sans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docVars>
    <w:docVar w:name="PouvoirAdjudicateur" w:val="Ville de Marseille - Mairie des 13e et 14e Arrondissements"/>
    <w:docVar w:name="DirectionService" w:val="MA-MA1314 (17704)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desmatiresniveau3">
    <w:name w:val="TOC 3"/>
    <w:basedOn w:val="Normal"/>
    <w:next w:val="Normal"/>
    <w:pPr>
      <w:ind w:left="480" w:right="0" w:hanging="0"/>
    </w:pPr>
    <w:rPr>
      <w:rFonts w:ascii="Helvetica" w:hAnsi="Helvetica" w:cs="Helvetica"/>
      <w:szCs w:val="20"/>
    </w:rPr>
  </w:style>
  <w:style w:type="paragraph" w:styleId="Tabledesmatiresniveau1">
    <w:name w:val="TOC 1"/>
    <w:basedOn w:val="Normal"/>
    <w:next w:val="Normal"/>
    <w:pPr/>
    <w:rPr>
      <w:rFonts w:ascii="Helvetica" w:hAnsi="Helvetica" w:cs="Helvetica"/>
      <w:szCs w:val="20"/>
    </w:rPr>
  </w:style>
  <w:style w:type="paragraph" w:styleId="Tabledesmatiresniveau2">
    <w:name w:val="TOC 2"/>
    <w:basedOn w:val="Normal"/>
    <w:next w:val="Normal"/>
    <w:pPr>
      <w:ind w:left="240" w:right="0" w:hanging="0"/>
    </w:pPr>
    <w:rPr>
      <w:rFonts w:ascii="Helvetica" w:hAnsi="Helvetica" w:cs="Helvetica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Intitule">
    <w:name w:val="Intitule"/>
    <w:basedOn w:val="Normal"/>
    <w:qFormat/>
    <w:pPr>
      <w:pBdr>
        <w:top w:val="single" w:sz="20" w:space="1" w:color="000000"/>
        <w:left w:val="single" w:sz="20" w:space="4" w:color="000000"/>
        <w:bottom w:val="single" w:sz="20" w:space="1" w:color="000000"/>
        <w:right w:val="single" w:sz="20" w:space="16" w:color="000000"/>
      </w:pBdr>
      <w:tabs>
        <w:tab w:val="clear" w:pos="420"/>
        <w:tab w:val="left" w:pos="0" w:leader="none"/>
      </w:tabs>
      <w:spacing w:before="0" w:after="0"/>
      <w:ind w:left="0" w:right="0" w:hanging="0"/>
      <w:jc w:val="center"/>
    </w:pPr>
    <w:rPr>
      <w:rFonts w:ascii="Arial" w:hAnsi="Arial" w:cs="Arial"/>
      <w:b/>
      <w:color w:val="000000"/>
      <w:sz w:val="36"/>
      <w:szCs w:val="24"/>
      <w:shd w:fill="FFFFFF" w:val="clear"/>
      <w:lang w:val="fr-FR"/>
    </w:rPr>
  </w:style>
  <w:style w:type="paragraph" w:styleId="Intitule2">
    <w:name w:val="Intitule2"/>
    <w:basedOn w:val="Intitule"/>
    <w:qFormat/>
    <w:pPr/>
    <w:rPr>
      <w:shd w:fill="auto" w:val="clear"/>
    </w:rPr>
  </w:style>
  <w:style w:type="paragraph" w:styleId="TypeDocument3">
    <w:name w:val="TypeDocument3"/>
    <w:basedOn w:val="Corpsdetexte"/>
    <w:qFormat/>
    <w:pPr>
      <w:jc w:val="center"/>
    </w:pPr>
    <w:rPr>
      <w:b/>
      <w:sz w:val="44"/>
    </w:rPr>
  </w:style>
  <w:style w:type="paragraph" w:styleId="Tableau">
    <w:name w:val="Tableau"/>
    <w:basedOn w:val="Lgende"/>
    <w:qFormat/>
    <w:pPr/>
    <w:rPr>
      <w:i w:val="false"/>
    </w:rPr>
  </w:style>
  <w:style w:type="paragraph" w:styleId="PA">
    <w:name w:val="PA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/>
      <w:bCs/>
      <w:sz w:val="40"/>
      <w:szCs w:val="40"/>
      <w:lang w:val="zxx" w:eastAsia="zxx" w:bidi="zxx"/>
    </w:rPr>
  </w:style>
  <w:style w:type="paragraph" w:styleId="Direction">
    <w:name w:val="Direction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 w:val="false"/>
      <w:bCs w:val="false"/>
      <w:sz w:val="36"/>
      <w:szCs w:val="28"/>
      <w:lang w:val="zxx" w:eastAsia="zxx" w:bidi="zxx"/>
    </w:rPr>
  </w:style>
  <w:style w:type="paragraph" w:styleId="DateLimite">
    <w:name w:val="DateLimite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 w:cs="Arial"/>
      <w:b/>
      <w:color w:val="000000"/>
      <w:sz w:val="24"/>
      <w:szCs w:val="20"/>
    </w:rPr>
  </w:style>
  <w:style w:type="paragraph" w:styleId="NumeroConsultation">
    <w:name w:val="NumeroConsultation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  <w:style w:type="paragraph" w:styleId="Procedure">
    <w:name w:val="Procedure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LibreOffice/7.2.7.2$Windows_X86_64 LibreOffice_project/8d71d29d553c0f7dcbfa38fbfda25ee34cce99a2</Application>
  <AppVersion>15.0000</AppVersion>
  <Pages>5</Pages>
  <Words>594</Words>
  <Characters>3072</Characters>
  <CharactersWithSpaces>3662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2021-04-28T09:59:26Z</dcterms:created>
  <dc:creator/>
  <dc:description/>
  <dc:language>fr-FR</dc:language>
  <cp:lastModifiedBy/>
  <dcterms:modified xsi:type="dcterms:W3CDTF">2023-07-21T15:15:09Z</dcterms:modified>
  <cp:revision>31</cp:revision>
  <dc:subject/>
  <dc:title/>
</cp:coreProperties>
</file>