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DIRECTION DE LA SANTÉ PUBLIQUE ET DE</w:t>
      </w:r>
    </w:p>
    <w:p>
      <w:pPr>
        <w:pStyle w:val="Standard"/>
        <w:jc w:val="center"/>
        <w:rPr>
          <w:sz w:val="36"/>
          <w:szCs w:val="36"/>
        </w:rPr>
      </w:pPr>
      <w:r>
        <w:rPr>
          <w:rFonts w:cs="Arial"/>
          <w:color w:val="4472C4" w:themeColor="accent1"/>
          <w:sz w:val="36"/>
          <w:szCs w:val="36"/>
        </w:rPr>
        <w:t>L’ INCLUSION</w:t>
      </w:r>
    </w:p>
    <w:p>
      <w:pPr>
        <w:pStyle w:val="Standard"/>
        <w:rPr>
          <w:rFonts w:cs="Arial"/>
          <w:szCs w:val="20"/>
        </w:rPr>
      </w:pPr>
      <w:r>
        <w:rPr>
          <w:rFonts w:cs="Arial"/>
          <w:szCs w:val="20"/>
        </w:rPr>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Titre11"/>
        <w:shd w:val="clear" w:color="auto" w:fill="FFFFFF"/>
        <w:jc w:val="center"/>
        <w:rPr/>
      </w:pPr>
      <w:r>
        <w:rPr>
          <w:rFonts w:cs="Arial"/>
          <w:color w:val="5B9BD5" w:themeColor="accent5"/>
          <w:sz w:val="44"/>
          <w:szCs w:val="44"/>
          <w:shd w:fill="FFFFFF" w:val="clear"/>
        </w:rPr>
        <w:t>Cahier des clauses administratives particulières</w:t>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sz w:val="36"/>
          <w:szCs w:val="36"/>
        </w:rPr>
      </w:pPr>
      <w:r>
        <w:rPr>
          <w:rFonts w:cs="Arial"/>
          <w:color w:val="5B9BD5" w:themeColor="accent5"/>
          <w:sz w:val="36"/>
          <w:szCs w:val="36"/>
          <w:highlight w:val="white"/>
          <w:shd w:fill="FFFFFF" w:val="clear"/>
        </w:rPr>
        <w:t>Solution de gestion de prise de rendez vous électroniques en ligne pour le centre de vaccinations Internationales de la Ville de Marseille.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23_1946</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4145" w:tgtFrame="#_Toc4145">
        <w:r>
          <w:rPr/>
          <w:t>Article 1 - OBJET ET DUREE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_Toc4145 \h</w:instrText>
        </w:r>
        <w:r>
          <w:rPr>
            <w:webHidden/>
          </w:rPr>
          <w:fldChar w:fldCharType="separate"/>
        </w:r>
        <w:r>
          <w:rPr/>
          <w:fldChar w:fldCharType="begin"/>
        </w:r>
        <w:r>
          <w:rPr>
            <w:webHidden/>
          </w:rPr>
          <w:fldChar w:fldCharType="end"/>
        </w:r>
        <w:r>
          <w:rPr/>
          <w:instrText> PAGEREF _Toc4145 \h </w:instrText>
        </w:r>
        <w:r>
          <w:rPr/>
          <w:fldChar w:fldCharType="separate"/>
        </w:r>
        <w:r>
          <w:rPr/>
          <w:t>4</w:t>
        </w:r>
        <w:r>
          <w:rPr/>
          <w:fldChar w:fldCharType="end"/>
        </w:r>
      </w:hyperlink>
    </w:p>
    <w:p>
      <w:pPr>
        <w:pStyle w:val="Tabledesmatiresniveau2"/>
        <w:tabs>
          <w:tab w:val="clear" w:pos="706"/>
          <w:tab w:val="right" w:pos="8290" w:leader="dot"/>
        </w:tabs>
        <w:rPr/>
      </w:pPr>
      <w:hyperlink w:anchor="_Toc4146" w:tgtFrame="#_Toc4146">
        <w:r>
          <w:rPr/>
          <w:t>1.1 Intitulé et Objet des prestations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_Toc4146 \h</w:instrText>
        </w:r>
        <w:r>
          <w:rPr>
            <w:webHidden/>
          </w:rPr>
          <w:fldChar w:fldCharType="separate"/>
        </w:r>
        <w:r>
          <w:rPr/>
          <w:fldChar w:fldCharType="begin"/>
        </w:r>
        <w:r>
          <w:rPr>
            <w:webHidden/>
          </w:rPr>
          <w:fldChar w:fldCharType="end"/>
        </w:r>
        <w:r>
          <w:rPr/>
          <w:instrText> PAGEREF _Toc4146 \h </w:instrText>
        </w:r>
        <w:r>
          <w:rPr/>
          <w:fldChar w:fldCharType="separate"/>
        </w:r>
        <w:r>
          <w:rPr/>
          <w:t>4</w:t>
        </w:r>
        <w:r>
          <w:rPr/>
          <w:fldChar w:fldCharType="end"/>
        </w:r>
      </w:hyperlink>
    </w:p>
    <w:p>
      <w:pPr>
        <w:pStyle w:val="Tabledesmatiresniveau2"/>
        <w:tabs>
          <w:tab w:val="clear" w:pos="706"/>
          <w:tab w:val="right" w:pos="8290" w:leader="dot"/>
        </w:tabs>
        <w:rPr/>
      </w:pPr>
      <w:hyperlink w:anchor="_Toc4147" w:tgtFrame="#_Toc4147">
        <w:r>
          <w:rPr/>
          <w:t>1.2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_Toc4147 \h</w:instrText>
        </w:r>
        <w:r>
          <w:rPr>
            <w:webHidden/>
          </w:rPr>
          <w:fldChar w:fldCharType="separate"/>
        </w:r>
        <w:r>
          <w:rPr/>
          <w:fldChar w:fldCharType="begin"/>
        </w:r>
        <w:r>
          <w:rPr>
            <w:webHidden/>
          </w:rPr>
          <w:fldChar w:fldCharType="end"/>
        </w:r>
        <w:r>
          <w:rPr/>
          <w:instrText> PAGEREF _Toc4147 \h </w:instrText>
        </w:r>
        <w:r>
          <w:rPr/>
          <w:fldChar w:fldCharType="separate"/>
        </w:r>
        <w:r>
          <w:rPr/>
          <w:t>4</w:t>
        </w:r>
        <w:r>
          <w:rPr/>
          <w:fldChar w:fldCharType="end"/>
        </w:r>
      </w:hyperlink>
    </w:p>
    <w:p>
      <w:pPr>
        <w:pStyle w:val="Tabledesmatiresniveau2"/>
        <w:tabs>
          <w:tab w:val="clear" w:pos="706"/>
          <w:tab w:val="right" w:pos="8290" w:leader="dot"/>
        </w:tabs>
        <w:rPr/>
      </w:pPr>
      <w:hyperlink w:anchor="_Toc4148" w:tgtFrame="#_Toc4148">
        <w:r>
          <w:rPr/>
          <w:t>1.3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_Toc4148 \h</w:instrText>
        </w:r>
        <w:r>
          <w:rPr>
            <w:webHidden/>
          </w:rPr>
          <w:fldChar w:fldCharType="separate"/>
        </w:r>
        <w:r>
          <w:rPr/>
          <w:fldChar w:fldCharType="begin"/>
        </w:r>
        <w:r>
          <w:rPr>
            <w:webHidden/>
          </w:rPr>
          <w:fldChar w:fldCharType="end"/>
        </w:r>
        <w:r>
          <w:rPr/>
          <w:instrText> PAGEREF _Toc4148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4149" w:tgtFrame="#_Toc4149">
        <w:r>
          <w:rPr/>
          <w:t>1.3.1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_Toc4149 \h</w:instrText>
        </w:r>
        <w:r>
          <w:rPr>
            <w:webHidden/>
          </w:rPr>
          <w:fldChar w:fldCharType="separate"/>
        </w:r>
        <w:r>
          <w:rPr/>
          <w:fldChar w:fldCharType="begin"/>
        </w:r>
        <w:r>
          <w:rPr>
            <w:webHidden/>
          </w:rPr>
          <w:fldChar w:fldCharType="end"/>
        </w:r>
        <w:r>
          <w:rPr/>
          <w:instrText> PAGEREF _Toc4149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4150" w:tgtFrame="#_Toc4150">
        <w:r>
          <w:rPr/>
          <w:t>1.3.2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_Toc4150 \h</w:instrText>
        </w:r>
        <w:r>
          <w:rPr>
            <w:webHidden/>
          </w:rPr>
          <w:fldChar w:fldCharType="separate"/>
        </w:r>
        <w:r>
          <w:rPr/>
          <w:fldChar w:fldCharType="begin"/>
        </w:r>
        <w:r>
          <w:rPr>
            <w:webHidden/>
          </w:rPr>
          <w:fldChar w:fldCharType="end"/>
        </w:r>
        <w:r>
          <w:rPr/>
          <w:instrText> PAGEREF _Toc4150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4151" w:tgtFrame="#_Toc4151">
        <w:r>
          <w:rPr/>
          <w:t>1.3.3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_Toc4151 \h</w:instrText>
        </w:r>
        <w:r>
          <w:rPr>
            <w:webHidden/>
          </w:rPr>
          <w:fldChar w:fldCharType="separate"/>
        </w:r>
        <w:r>
          <w:rPr/>
          <w:fldChar w:fldCharType="begin"/>
        </w:r>
        <w:r>
          <w:rPr>
            <w:webHidden/>
          </w:rPr>
          <w:fldChar w:fldCharType="end"/>
        </w:r>
        <w:r>
          <w:rPr/>
          <w:instrText> PAGEREF _Toc4151 \h </w:instrText>
        </w:r>
        <w:r>
          <w:rPr/>
          <w:fldChar w:fldCharType="separate"/>
        </w:r>
        <w:r>
          <w:rPr/>
          <w:t>4</w:t>
        </w:r>
        <w:r>
          <w:rPr/>
          <w:fldChar w:fldCharType="end"/>
        </w:r>
      </w:hyperlink>
    </w:p>
    <w:p>
      <w:pPr>
        <w:pStyle w:val="Tabledesmatiresniveau2"/>
        <w:tabs>
          <w:tab w:val="clear" w:pos="706"/>
          <w:tab w:val="right" w:pos="8290" w:leader="dot"/>
        </w:tabs>
        <w:rPr/>
      </w:pPr>
      <w:hyperlink w:anchor="_Toc4152" w:tgtFrame="#_Toc4152">
        <w:r>
          <w:rPr/>
          <w:t>1.4 Modalités d'exécution des tranches conditionnelles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_Toc4152 \h</w:instrText>
        </w:r>
        <w:r>
          <w:rPr>
            <w:webHidden/>
          </w:rPr>
          <w:fldChar w:fldCharType="separate"/>
        </w:r>
        <w:r>
          <w:rPr/>
          <w:fldChar w:fldCharType="begin"/>
        </w:r>
        <w:r>
          <w:rPr>
            <w:webHidden/>
          </w:rPr>
          <w:fldChar w:fldCharType="end"/>
        </w:r>
        <w:r>
          <w:rPr/>
          <w:instrText> PAGEREF _Toc4152 \h </w:instrText>
        </w:r>
        <w:r>
          <w:rPr/>
          <w:fldChar w:fldCharType="separate"/>
        </w:r>
        <w:r>
          <w:rPr/>
          <w:t>4</w:t>
        </w:r>
        <w:r>
          <w:rPr/>
          <w:fldChar w:fldCharType="end"/>
        </w:r>
      </w:hyperlink>
    </w:p>
    <w:p>
      <w:pPr>
        <w:pStyle w:val="Tabledesmatiresniveau2"/>
        <w:tabs>
          <w:tab w:val="clear" w:pos="706"/>
          <w:tab w:val="right" w:pos="8290" w:leader="dot"/>
        </w:tabs>
        <w:rPr/>
      </w:pPr>
      <w:hyperlink w:anchor="_Toc4153" w:tgtFrame="#_Toc4153">
        <w:r>
          <w:rPr/>
          <w:t>1.5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_Toc4153 \h</w:instrText>
        </w:r>
        <w:r>
          <w:rPr>
            <w:webHidden/>
          </w:rPr>
          <w:fldChar w:fldCharType="separate"/>
        </w:r>
        <w:r>
          <w:rPr/>
          <w:fldChar w:fldCharType="begin"/>
        </w:r>
        <w:r>
          <w:rPr>
            <w:webHidden/>
          </w:rPr>
          <w:fldChar w:fldCharType="end"/>
        </w:r>
        <w:r>
          <w:rPr/>
          <w:instrText> PAGEREF _Toc4153 \h </w:instrText>
        </w:r>
        <w:r>
          <w:rPr/>
          <w:fldChar w:fldCharType="separate"/>
        </w:r>
        <w:r>
          <w:rPr/>
          <w:t>4</w:t>
        </w:r>
        <w:r>
          <w:rPr/>
          <w:fldChar w:fldCharType="end"/>
        </w:r>
      </w:hyperlink>
    </w:p>
    <w:p>
      <w:pPr>
        <w:pStyle w:val="Tabledesmatiresniveau2"/>
        <w:tabs>
          <w:tab w:val="clear" w:pos="706"/>
          <w:tab w:val="right" w:pos="8290" w:leader="dot"/>
        </w:tabs>
        <w:rPr/>
      </w:pPr>
      <w:hyperlink w:anchor="_Toc4154" w:tgtFrame="#_Toc4154">
        <w:r>
          <w:rPr/>
          <w:t>1.6 Date d'effet du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_Toc4154 \h</w:instrText>
        </w:r>
        <w:r>
          <w:rPr>
            <w:webHidden/>
          </w:rPr>
          <w:fldChar w:fldCharType="separate"/>
        </w:r>
        <w:r>
          <w:rPr/>
          <w:fldChar w:fldCharType="begin"/>
        </w:r>
        <w:r>
          <w:rPr>
            <w:webHidden/>
          </w:rPr>
          <w:fldChar w:fldCharType="end"/>
        </w:r>
        <w:r>
          <w:rPr/>
          <w:instrText> PAGEREF _Toc4154 \h </w:instrText>
        </w:r>
        <w:r>
          <w:rPr/>
          <w:fldChar w:fldCharType="separate"/>
        </w:r>
        <w:r>
          <w:rPr/>
          <w:t>4</w:t>
        </w:r>
        <w:r>
          <w:rPr/>
          <w:fldChar w:fldCharType="end"/>
        </w:r>
      </w:hyperlink>
    </w:p>
    <w:p>
      <w:pPr>
        <w:pStyle w:val="Tabledesmatiresniveau2"/>
        <w:tabs>
          <w:tab w:val="clear" w:pos="706"/>
          <w:tab w:val="right" w:pos="8290" w:leader="dot"/>
        </w:tabs>
        <w:rPr/>
      </w:pPr>
      <w:hyperlink w:anchor="_Toc4155" w:tgtFrame="#_Toc4155">
        <w:r>
          <w:rPr/>
          <w:t>1.7 Durée du marché - Période de validité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_Toc4155 \h</w:instrText>
        </w:r>
        <w:r>
          <w:rPr>
            <w:webHidden/>
          </w:rPr>
          <w:fldChar w:fldCharType="separate"/>
        </w:r>
        <w:r>
          <w:rPr/>
          <w:fldChar w:fldCharType="begin"/>
        </w:r>
        <w:r>
          <w:rPr>
            <w:webHidden/>
          </w:rPr>
          <w:fldChar w:fldCharType="end"/>
        </w:r>
        <w:r>
          <w:rPr/>
          <w:instrText> PAGEREF _Toc4155 \h </w:instrText>
        </w:r>
        <w:r>
          <w:rPr/>
          <w:fldChar w:fldCharType="separate"/>
        </w:r>
        <w:r>
          <w:rPr/>
          <w:t>5</w:t>
        </w:r>
        <w:r>
          <w:rPr/>
          <w:fldChar w:fldCharType="end"/>
        </w:r>
      </w:hyperlink>
    </w:p>
    <w:p>
      <w:pPr>
        <w:pStyle w:val="Tabledesmatiresniveau2"/>
        <w:tabs>
          <w:tab w:val="clear" w:pos="706"/>
          <w:tab w:val="right" w:pos="8290" w:leader="dot"/>
        </w:tabs>
        <w:rPr/>
      </w:pPr>
      <w:hyperlink w:anchor="_Toc4156" w:tgtFrame="#_Toc4156">
        <w:r>
          <w:rPr/>
          <w:t>1.8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_Toc4156 \h</w:instrText>
        </w:r>
        <w:r>
          <w:rPr>
            <w:webHidden/>
          </w:rPr>
          <w:fldChar w:fldCharType="separate"/>
        </w:r>
        <w:r>
          <w:rPr/>
          <w:fldChar w:fldCharType="begin"/>
        </w:r>
        <w:r>
          <w:rPr>
            <w:webHidden/>
          </w:rPr>
          <w:fldChar w:fldCharType="end"/>
        </w:r>
        <w:r>
          <w:rPr/>
          <w:instrText> PAGEREF _Toc4156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4157" w:tgtFrame="#_Toc4157">
        <w:r>
          <w:rPr/>
          <w:t>Article 2 - DOCUMENTS CONTRACTUELS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_Toc4157 \h</w:instrText>
        </w:r>
        <w:r>
          <w:rPr>
            <w:webHidden/>
          </w:rPr>
          <w:fldChar w:fldCharType="separate"/>
        </w:r>
        <w:r>
          <w:rPr/>
          <w:fldChar w:fldCharType="begin"/>
        </w:r>
        <w:r>
          <w:rPr>
            <w:webHidden/>
          </w:rPr>
          <w:fldChar w:fldCharType="end"/>
        </w:r>
        <w:r>
          <w:rPr/>
          <w:instrText> PAGEREF _Toc4157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4158" w:tgtFrame="#_Toc4158">
        <w:r>
          <w:rPr/>
          <w:t>Article 3 - DELAIS DE LIVRAISON ET/OU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_Toc4158 \h</w:instrText>
        </w:r>
        <w:r>
          <w:rPr>
            <w:webHidden/>
          </w:rPr>
          <w:fldChar w:fldCharType="separate"/>
        </w:r>
        <w:r>
          <w:rPr/>
          <w:fldChar w:fldCharType="begin"/>
        </w:r>
        <w:r>
          <w:rPr>
            <w:webHidden/>
          </w:rPr>
          <w:fldChar w:fldCharType="end"/>
        </w:r>
        <w:r>
          <w:rPr/>
          <w:instrText> PAGEREF _Toc4158 \h </w:instrText>
        </w:r>
        <w:r>
          <w:rPr/>
          <w:fldChar w:fldCharType="separate"/>
        </w:r>
        <w:r>
          <w:rPr/>
          <w:t>5</w:t>
        </w:r>
        <w:r>
          <w:rPr/>
          <w:fldChar w:fldCharType="end"/>
        </w:r>
      </w:hyperlink>
    </w:p>
    <w:p>
      <w:pPr>
        <w:pStyle w:val="Tabledesmatiresniveau2"/>
        <w:tabs>
          <w:tab w:val="clear" w:pos="706"/>
          <w:tab w:val="right" w:pos="8290" w:leader="dot"/>
        </w:tabs>
        <w:rPr/>
      </w:pPr>
      <w:hyperlink w:anchor="_Toc4159" w:tgtFrame="#_Toc4159">
        <w:r>
          <w:rPr/>
          <w:t>3.1 Délais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_Toc4159 \h</w:instrText>
        </w:r>
        <w:r>
          <w:rPr>
            <w:webHidden/>
          </w:rPr>
          <w:fldChar w:fldCharType="separate"/>
        </w:r>
        <w:r>
          <w:rPr/>
          <w:fldChar w:fldCharType="begin"/>
        </w:r>
        <w:r>
          <w:rPr>
            <w:webHidden/>
          </w:rPr>
          <w:fldChar w:fldCharType="end"/>
        </w:r>
        <w:r>
          <w:rPr/>
          <w:instrText> PAGEREF _Toc4159 \h </w:instrText>
        </w:r>
        <w:r>
          <w:rPr/>
          <w:fldChar w:fldCharType="separate"/>
        </w:r>
        <w:r>
          <w:rPr/>
          <w:t>5</w:t>
        </w:r>
        <w:r>
          <w:rPr/>
          <w:fldChar w:fldCharType="end"/>
        </w:r>
      </w:hyperlink>
    </w:p>
    <w:p>
      <w:pPr>
        <w:pStyle w:val="Tabledesmatiresniveau2"/>
        <w:tabs>
          <w:tab w:val="clear" w:pos="706"/>
          <w:tab w:val="right" w:pos="8290" w:leader="dot"/>
        </w:tabs>
        <w:rPr/>
      </w:pPr>
      <w:hyperlink w:anchor="_Toc4160" w:tgtFrame="#_Toc4160">
        <w:r>
          <w:rPr/>
          <w:t>3.2 Emission des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_Toc4160 \h</w:instrText>
        </w:r>
        <w:r>
          <w:rPr>
            <w:webHidden/>
          </w:rPr>
          <w:fldChar w:fldCharType="separate"/>
        </w:r>
        <w:r>
          <w:rPr/>
          <w:fldChar w:fldCharType="begin"/>
        </w:r>
        <w:r>
          <w:rPr>
            <w:webHidden/>
          </w:rPr>
          <w:fldChar w:fldCharType="end"/>
        </w:r>
        <w:r>
          <w:rPr/>
          <w:instrText> PAGEREF _Toc4160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4161" w:tgtFrame="#_Toc4161">
        <w:r>
          <w:rPr/>
          <w:t>Article 4 - ENTREPRISES GROUPEES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_Toc4161 \h</w:instrText>
        </w:r>
        <w:r>
          <w:rPr>
            <w:webHidden/>
          </w:rPr>
          <w:fldChar w:fldCharType="separate"/>
        </w:r>
        <w:r>
          <w:rPr/>
          <w:fldChar w:fldCharType="begin"/>
        </w:r>
        <w:r>
          <w:rPr>
            <w:webHidden/>
          </w:rPr>
          <w:fldChar w:fldCharType="end"/>
        </w:r>
        <w:r>
          <w:rPr/>
          <w:instrText> PAGEREF _Toc4161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4162" w:tgtFrame="#_Toc4162">
        <w:r>
          <w:rPr/>
          <w:t>Article 5 - CONDITIONS DE LIVRAISON ET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_Toc4162 \h</w:instrText>
        </w:r>
        <w:r>
          <w:rPr>
            <w:webHidden/>
          </w:rPr>
          <w:fldChar w:fldCharType="separate"/>
        </w:r>
        <w:r>
          <w:rPr/>
          <w:fldChar w:fldCharType="begin"/>
        </w:r>
        <w:r>
          <w:rPr>
            <w:webHidden/>
          </w:rPr>
          <w:fldChar w:fldCharType="end"/>
        </w:r>
        <w:r>
          <w:rPr/>
          <w:instrText> PAGEREF _Toc4162 \h </w:instrText>
        </w:r>
        <w:r>
          <w:rPr/>
          <w:fldChar w:fldCharType="separate"/>
        </w:r>
        <w:r>
          <w:rPr/>
          <w:t>6</w:t>
        </w:r>
        <w:r>
          <w:rPr/>
          <w:fldChar w:fldCharType="end"/>
        </w:r>
      </w:hyperlink>
    </w:p>
    <w:p>
      <w:pPr>
        <w:pStyle w:val="Tabledesmatiresniveau2"/>
        <w:tabs>
          <w:tab w:val="clear" w:pos="706"/>
          <w:tab w:val="right" w:pos="8290" w:leader="dot"/>
        </w:tabs>
        <w:rPr/>
      </w:pPr>
      <w:hyperlink w:anchor="_Toc4163" w:tgtFrame="#_Toc4163">
        <w:r>
          <w:rPr/>
          <w:t>5.1 Transport  et Emballages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_Toc4163 \h</w:instrText>
        </w:r>
        <w:r>
          <w:rPr>
            <w:webHidden/>
          </w:rPr>
          <w:fldChar w:fldCharType="separate"/>
        </w:r>
        <w:r>
          <w:rPr/>
          <w:fldChar w:fldCharType="begin"/>
        </w:r>
        <w:r>
          <w:rPr>
            <w:webHidden/>
          </w:rPr>
          <w:fldChar w:fldCharType="end"/>
        </w:r>
        <w:r>
          <w:rPr/>
          <w:instrText> PAGEREF _Toc4163 \h </w:instrText>
        </w:r>
        <w:r>
          <w:rPr/>
          <w:fldChar w:fldCharType="separate"/>
        </w:r>
        <w:r>
          <w:rPr/>
          <w:t>6</w:t>
        </w:r>
        <w:r>
          <w:rPr/>
          <w:fldChar w:fldCharType="end"/>
        </w:r>
      </w:hyperlink>
    </w:p>
    <w:p>
      <w:pPr>
        <w:pStyle w:val="Tabledesmatiresniveau2"/>
        <w:tabs>
          <w:tab w:val="clear" w:pos="706"/>
          <w:tab w:val="right" w:pos="8290" w:leader="dot"/>
        </w:tabs>
        <w:rPr/>
      </w:pPr>
      <w:hyperlink w:anchor="_Toc4164" w:tgtFrame="#_Toc4164">
        <w:r>
          <w:rPr/>
          <w:t>5.2 Lieux d'exécution ou de livraison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_Toc4164 \h</w:instrText>
        </w:r>
        <w:r>
          <w:rPr>
            <w:webHidden/>
          </w:rPr>
          <w:fldChar w:fldCharType="separate"/>
        </w:r>
        <w:r>
          <w:rPr/>
          <w:fldChar w:fldCharType="begin"/>
        </w:r>
        <w:r>
          <w:rPr>
            <w:webHidden/>
          </w:rPr>
          <w:fldChar w:fldCharType="end"/>
        </w:r>
        <w:r>
          <w:rPr/>
          <w:instrText> PAGEREF _Toc4164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4165" w:tgtFrame="#_Toc4165">
        <w:r>
          <w:rPr/>
          <w:t>Article 6 - CONDITIONS PARTICULIERES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_Toc4165 \h</w:instrText>
        </w:r>
        <w:r>
          <w:rPr>
            <w:webHidden/>
          </w:rPr>
          <w:fldChar w:fldCharType="separate"/>
        </w:r>
        <w:r>
          <w:rPr/>
          <w:fldChar w:fldCharType="begin"/>
        </w:r>
        <w:r>
          <w:rPr>
            <w:webHidden/>
          </w:rPr>
          <w:fldChar w:fldCharType="end"/>
        </w:r>
        <w:r>
          <w:rPr/>
          <w:instrText> PAGEREF _Toc4165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4166" w:tgtFrame="#_Toc4166">
        <w:r>
          <w:rPr/>
          <w:t>Article 7 - OPERATIONS DE VERIFICATIONS / ADMISSION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_Toc4166 \h</w:instrText>
        </w:r>
        <w:r>
          <w:rPr>
            <w:webHidden/>
          </w:rPr>
          <w:fldChar w:fldCharType="separate"/>
        </w:r>
        <w:r>
          <w:rPr/>
          <w:fldChar w:fldCharType="begin"/>
        </w:r>
        <w:r>
          <w:rPr>
            <w:webHidden/>
          </w:rPr>
          <w:fldChar w:fldCharType="end"/>
        </w:r>
        <w:r>
          <w:rPr/>
          <w:instrText> PAGEREF _Toc4166 \h </w:instrText>
        </w:r>
        <w:r>
          <w:rPr/>
          <w:fldChar w:fldCharType="separate"/>
        </w:r>
        <w:r>
          <w:rPr/>
          <w:t>7</w:t>
        </w:r>
        <w:r>
          <w:rPr/>
          <w:fldChar w:fldCharType="end"/>
        </w:r>
      </w:hyperlink>
    </w:p>
    <w:p>
      <w:pPr>
        <w:pStyle w:val="Tabledesmatiresniveau2"/>
        <w:tabs>
          <w:tab w:val="clear" w:pos="706"/>
          <w:tab w:val="right" w:pos="8290" w:leader="dot"/>
        </w:tabs>
        <w:rPr/>
      </w:pPr>
      <w:hyperlink w:anchor="_Toc4167" w:tgtFrame="#_Toc4167">
        <w:r>
          <w:rPr/>
          <w:t>7.1 Mise en Ordre de Marche et Vérifications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_Toc4167 \h</w:instrText>
        </w:r>
        <w:r>
          <w:rPr>
            <w:webHidden/>
          </w:rPr>
          <w:fldChar w:fldCharType="separate"/>
        </w:r>
        <w:r>
          <w:rPr/>
          <w:fldChar w:fldCharType="begin"/>
        </w:r>
        <w:r>
          <w:rPr>
            <w:webHidden/>
          </w:rPr>
          <w:fldChar w:fldCharType="end"/>
        </w:r>
        <w:r>
          <w:rPr/>
          <w:instrText> PAGEREF _Toc4167 \h </w:instrText>
        </w:r>
        <w:r>
          <w:rPr/>
          <w:fldChar w:fldCharType="separate"/>
        </w:r>
        <w:r>
          <w:rPr/>
          <w:t>7</w:t>
        </w:r>
        <w:r>
          <w:rPr/>
          <w:fldChar w:fldCharType="end"/>
        </w:r>
      </w:hyperlink>
    </w:p>
    <w:p>
      <w:pPr>
        <w:pStyle w:val="Tabledesmatiresniveau2"/>
        <w:tabs>
          <w:tab w:val="clear" w:pos="706"/>
          <w:tab w:val="right" w:pos="8290" w:leader="dot"/>
        </w:tabs>
        <w:rPr/>
      </w:pPr>
      <w:hyperlink w:anchor="_Toc4168" w:tgtFrame="#_Toc4168">
        <w:r>
          <w:rPr/>
          <w:t>7.2 Admission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_Toc4168 \h</w:instrText>
        </w:r>
        <w:r>
          <w:rPr>
            <w:webHidden/>
          </w:rPr>
          <w:fldChar w:fldCharType="separate"/>
        </w:r>
        <w:r>
          <w:rPr/>
          <w:fldChar w:fldCharType="begin"/>
        </w:r>
        <w:r>
          <w:rPr>
            <w:webHidden/>
          </w:rPr>
          <w:fldChar w:fldCharType="end"/>
        </w:r>
        <w:r>
          <w:rPr/>
          <w:instrText> PAGEREF _Toc4168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4169" w:tgtFrame="#_Toc4169">
        <w:r>
          <w:rPr/>
          <w:t>Article 8 - GARANTIE CONTRACTUELLE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_Toc4169 \h</w:instrText>
        </w:r>
        <w:r>
          <w:rPr>
            <w:webHidden/>
          </w:rPr>
          <w:fldChar w:fldCharType="separate"/>
        </w:r>
        <w:r>
          <w:rPr/>
          <w:fldChar w:fldCharType="begin"/>
        </w:r>
        <w:r>
          <w:rPr>
            <w:webHidden/>
          </w:rPr>
          <w:fldChar w:fldCharType="end"/>
        </w:r>
        <w:r>
          <w:rPr/>
          <w:instrText> PAGEREF _Toc4169 \h </w:instrText>
        </w:r>
        <w:r>
          <w:rPr/>
          <w:fldChar w:fldCharType="separate"/>
        </w:r>
        <w:r>
          <w:rPr/>
          <w:t>7</w:t>
        </w:r>
        <w:r>
          <w:rPr/>
          <w:fldChar w:fldCharType="end"/>
        </w:r>
      </w:hyperlink>
    </w:p>
    <w:p>
      <w:pPr>
        <w:pStyle w:val="Tabledesmatiresniveau2"/>
        <w:tabs>
          <w:tab w:val="clear" w:pos="706"/>
          <w:tab w:val="right" w:pos="8290" w:leader="dot"/>
        </w:tabs>
        <w:rPr/>
      </w:pPr>
      <w:hyperlink w:anchor="_Toc4170" w:tgtFrame="#_Toc4170">
        <w:r>
          <w:rPr/>
          <w:t>8.1 Durée de garantie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_Toc4170 \h</w:instrText>
        </w:r>
        <w:r>
          <w:rPr>
            <w:webHidden/>
          </w:rPr>
          <w:fldChar w:fldCharType="separate"/>
        </w:r>
        <w:r>
          <w:rPr/>
          <w:fldChar w:fldCharType="begin"/>
        </w:r>
        <w:r>
          <w:rPr>
            <w:webHidden/>
          </w:rPr>
          <w:fldChar w:fldCharType="end"/>
        </w:r>
        <w:r>
          <w:rPr/>
          <w:instrText> PAGEREF _Toc4170 \h </w:instrText>
        </w:r>
        <w:r>
          <w:rPr/>
          <w:fldChar w:fldCharType="separate"/>
        </w:r>
        <w:r>
          <w:rPr/>
          <w:t>7</w:t>
        </w:r>
        <w:r>
          <w:rPr/>
          <w:fldChar w:fldCharType="end"/>
        </w:r>
      </w:hyperlink>
    </w:p>
    <w:p>
      <w:pPr>
        <w:pStyle w:val="Tabledesmatiresniveau2"/>
        <w:tabs>
          <w:tab w:val="clear" w:pos="706"/>
          <w:tab w:val="right" w:pos="8290" w:leader="dot"/>
        </w:tabs>
        <w:rPr/>
      </w:pPr>
      <w:hyperlink w:anchor="_Toc4171" w:tgtFrame="#_Toc4171">
        <w:r>
          <w:rPr/>
          <w:t>8.2 Point de départ de la garantie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_Toc4171 \h</w:instrText>
        </w:r>
        <w:r>
          <w:rPr>
            <w:webHidden/>
          </w:rPr>
          <w:fldChar w:fldCharType="separate"/>
        </w:r>
        <w:r>
          <w:rPr/>
          <w:fldChar w:fldCharType="begin"/>
        </w:r>
        <w:r>
          <w:rPr>
            <w:webHidden/>
          </w:rPr>
          <w:fldChar w:fldCharType="end"/>
        </w:r>
        <w:r>
          <w:rPr/>
          <w:instrText> PAGEREF _Toc4171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4172" w:tgtFrame="#_Toc4172">
        <w:r>
          <w:rPr/>
          <w:t>Article 9 - DISPOSITIONS SPECIFIQUES A LA MAINTENANCE, LA TIERCE MAINTENANCE APPLICATIVE ET A L'INFOGERANCE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_Toc4172 \h</w:instrText>
        </w:r>
        <w:r>
          <w:rPr>
            <w:webHidden/>
          </w:rPr>
          <w:fldChar w:fldCharType="separate"/>
        </w:r>
        <w:r>
          <w:rPr/>
          <w:fldChar w:fldCharType="begin"/>
        </w:r>
        <w:r>
          <w:rPr>
            <w:webHidden/>
          </w:rPr>
          <w:fldChar w:fldCharType="end"/>
        </w:r>
        <w:r>
          <w:rPr/>
          <w:instrText> PAGEREF _Toc4172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4173" w:tgtFrame="#_Toc4173">
        <w:r>
          <w:rPr/>
          <w:t>Article 10 - PROPRIETE INTELLECTUELLE ET UTILISATION DES RESULTATS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_Toc4173 \h</w:instrText>
        </w:r>
        <w:r>
          <w:rPr>
            <w:webHidden/>
          </w:rPr>
          <w:fldChar w:fldCharType="separate"/>
        </w:r>
        <w:r>
          <w:rPr/>
          <w:fldChar w:fldCharType="begin"/>
        </w:r>
        <w:r>
          <w:rPr>
            <w:webHidden/>
          </w:rPr>
          <w:fldChar w:fldCharType="end"/>
        </w:r>
        <w:r>
          <w:rPr/>
          <w:instrText> PAGEREF _Toc4173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4553" w:tgtFrame="#_Toc4553">
        <w:r>
          <w:rPr/>
          <w:t>Article 11 - DEVOIR DE CONSEIL</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_Toc4553 \h</w:instrText>
        </w:r>
        <w:r>
          <w:rPr>
            <w:webHidden/>
          </w:rPr>
          <w:fldChar w:fldCharType="separate"/>
        </w:r>
        <w:r>
          <w:rPr/>
          <w:fldChar w:fldCharType="begin"/>
        </w:r>
        <w:r>
          <w:rPr>
            <w:webHidden/>
          </w:rPr>
          <w:fldChar w:fldCharType="end"/>
        </w:r>
        <w:r>
          <w:rPr/>
          <w:instrText> PAGEREF _Toc4553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4174" w:tgtFrame="#_Toc4174">
        <w:r>
          <w:rPr/>
          <w:t>Article 12 - CONFIDENTIALITE ET MESURES DE SECURITE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_Toc4174 \h</w:instrText>
        </w:r>
        <w:r>
          <w:rPr>
            <w:webHidden/>
          </w:rPr>
          <w:fldChar w:fldCharType="separate"/>
        </w:r>
        <w:r>
          <w:rPr/>
          <w:fldChar w:fldCharType="begin"/>
        </w:r>
        <w:r>
          <w:rPr>
            <w:webHidden/>
          </w:rPr>
          <w:fldChar w:fldCharType="end"/>
        </w:r>
        <w:r>
          <w:rPr/>
          <w:instrText> PAGEREF _Toc4174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4175" w:tgtFrame="#_Toc4175">
        <w:r>
          <w:rPr/>
          <w:t>Article 13 - MODALITES DE DETERMINATION DES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_Toc4175 \h</w:instrText>
        </w:r>
        <w:r>
          <w:rPr>
            <w:webHidden/>
          </w:rPr>
          <w:fldChar w:fldCharType="separate"/>
        </w:r>
        <w:r>
          <w:rPr/>
          <w:fldChar w:fldCharType="begin"/>
        </w:r>
        <w:r>
          <w:rPr>
            <w:webHidden/>
          </w:rPr>
          <w:fldChar w:fldCharType="end"/>
        </w:r>
        <w:r>
          <w:rPr/>
          <w:instrText> PAGEREF _Toc4175 \h </w:instrText>
        </w:r>
        <w:r>
          <w:rPr/>
          <w:fldChar w:fldCharType="separate"/>
        </w:r>
        <w:r>
          <w:rPr/>
          <w:t>9</w:t>
        </w:r>
        <w:r>
          <w:rPr/>
          <w:fldChar w:fldCharType="end"/>
        </w:r>
      </w:hyperlink>
    </w:p>
    <w:p>
      <w:pPr>
        <w:pStyle w:val="Tabledesmatiresniveau2"/>
        <w:tabs>
          <w:tab w:val="clear" w:pos="706"/>
          <w:tab w:val="right" w:pos="8290" w:leader="dot"/>
        </w:tabs>
        <w:rPr/>
      </w:pPr>
      <w:hyperlink w:anchor="_Toc4176" w:tgtFrame="#_Toc4176">
        <w:r>
          <w:rPr/>
          <w:t>13.1 Nature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_Toc4176 \h</w:instrText>
        </w:r>
        <w:r>
          <w:rPr>
            <w:webHidden/>
          </w:rPr>
          <w:fldChar w:fldCharType="separate"/>
        </w:r>
        <w:r>
          <w:rPr/>
          <w:fldChar w:fldCharType="begin"/>
        </w:r>
        <w:r>
          <w:rPr>
            <w:webHidden/>
          </w:rPr>
          <w:fldChar w:fldCharType="end"/>
        </w:r>
        <w:r>
          <w:rPr/>
          <w:instrText> PAGEREF _Toc4176 \h </w:instrText>
        </w:r>
        <w:r>
          <w:rPr/>
          <w:fldChar w:fldCharType="separate"/>
        </w:r>
        <w:r>
          <w:rPr/>
          <w:t>9</w:t>
        </w:r>
        <w:r>
          <w:rPr/>
          <w:fldChar w:fldCharType="end"/>
        </w:r>
      </w:hyperlink>
    </w:p>
    <w:p>
      <w:pPr>
        <w:pStyle w:val="Tabledesmatiresniveau2"/>
        <w:tabs>
          <w:tab w:val="clear" w:pos="706"/>
          <w:tab w:val="right" w:pos="8290" w:leader="dot"/>
        </w:tabs>
        <w:rPr/>
      </w:pPr>
      <w:hyperlink w:anchor="_Toc4177" w:tgtFrame="#_Toc4177">
        <w:r>
          <w:rPr/>
          <w:t>13.2 Variations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_Toc4177 \h</w:instrText>
        </w:r>
        <w:r>
          <w:rPr>
            <w:webHidden/>
          </w:rPr>
          <w:fldChar w:fldCharType="separate"/>
        </w:r>
        <w:r>
          <w:rPr/>
          <w:fldChar w:fldCharType="begin"/>
        </w:r>
        <w:r>
          <w:rPr>
            <w:webHidden/>
          </w:rPr>
          <w:fldChar w:fldCharType="end"/>
        </w:r>
        <w:r>
          <w:rPr/>
          <w:instrText> PAGEREF _Toc4177 \h </w:instrText>
        </w:r>
        <w:r>
          <w:rPr/>
          <w:fldChar w:fldCharType="separate"/>
        </w:r>
        <w:r>
          <w:rPr/>
          <w:t>9</w:t>
        </w:r>
        <w:r>
          <w:rPr/>
          <w:fldChar w:fldCharType="end"/>
        </w:r>
      </w:hyperlink>
    </w:p>
    <w:p>
      <w:pPr>
        <w:pStyle w:val="Tabledesmatiresniveau2"/>
        <w:tabs>
          <w:tab w:val="clear" w:pos="706"/>
          <w:tab w:val="right" w:pos="8290" w:leader="dot"/>
        </w:tabs>
        <w:rPr/>
      </w:pPr>
      <w:hyperlink w:anchor="_Toc4178" w:tgtFrame="#_Toc4178">
        <w:r>
          <w:rPr/>
          <w:t>13.3 Disparition d'indice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_Toc4178 \h</w:instrText>
        </w:r>
        <w:r>
          <w:rPr>
            <w:webHidden/>
          </w:rPr>
          <w:fldChar w:fldCharType="separate"/>
        </w:r>
        <w:r>
          <w:rPr/>
          <w:fldChar w:fldCharType="begin"/>
        </w:r>
        <w:r>
          <w:rPr>
            <w:webHidden/>
          </w:rPr>
          <w:fldChar w:fldCharType="end"/>
        </w:r>
        <w:r>
          <w:rPr/>
          <w:instrText> PAGEREF _Toc4178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4179" w:tgtFrame="#_Toc4179">
        <w:r>
          <w:rPr/>
          <w:t>Article 14 -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_Toc4179 \h</w:instrText>
        </w:r>
        <w:r>
          <w:rPr>
            <w:webHidden/>
          </w:rPr>
          <w:fldChar w:fldCharType="separate"/>
        </w:r>
        <w:r>
          <w:rPr/>
          <w:fldChar w:fldCharType="begin"/>
        </w:r>
        <w:r>
          <w:rPr>
            <w:webHidden/>
          </w:rPr>
          <w:fldChar w:fldCharType="end"/>
        </w:r>
        <w:r>
          <w:rPr/>
          <w:instrText> PAGEREF _Toc4179 \h </w:instrText>
        </w:r>
        <w:r>
          <w:rPr/>
          <w:fldChar w:fldCharType="separate"/>
        </w:r>
        <w:r>
          <w:rPr/>
          <w:t>10</w:t>
        </w:r>
        <w:r>
          <w:rPr/>
          <w:fldChar w:fldCharType="end"/>
        </w:r>
      </w:hyperlink>
    </w:p>
    <w:p>
      <w:pPr>
        <w:pStyle w:val="Tabledesmatiresniveau2"/>
        <w:tabs>
          <w:tab w:val="clear" w:pos="706"/>
          <w:tab w:val="right" w:pos="8290" w:leader="dot"/>
        </w:tabs>
        <w:rPr/>
      </w:pPr>
      <w:hyperlink w:anchor="_Toc4180" w:tgtFrame="#_Toc4180">
        <w:r>
          <w:rPr/>
          <w:t>14.1 Régime de l'avance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_Toc4180 \h</w:instrText>
        </w:r>
        <w:r>
          <w:rPr>
            <w:webHidden/>
          </w:rPr>
          <w:fldChar w:fldCharType="separate"/>
        </w:r>
        <w:r>
          <w:rPr/>
          <w:fldChar w:fldCharType="begin"/>
        </w:r>
        <w:r>
          <w:rPr>
            <w:webHidden/>
          </w:rPr>
          <w:fldChar w:fldCharType="end"/>
        </w:r>
        <w:r>
          <w:rPr/>
          <w:instrText> PAGEREF _Toc4180 \h </w:instrText>
        </w:r>
        <w:r>
          <w:rPr/>
          <w:fldChar w:fldCharType="separate"/>
        </w:r>
        <w:r>
          <w:rPr/>
          <w:t>10</w:t>
        </w:r>
        <w:r>
          <w:rPr/>
          <w:fldChar w:fldCharType="end"/>
        </w:r>
      </w:hyperlink>
    </w:p>
    <w:p>
      <w:pPr>
        <w:pStyle w:val="Tabledesmatiresniveau2"/>
        <w:tabs>
          <w:tab w:val="clear" w:pos="706"/>
          <w:tab w:val="right" w:pos="8290" w:leader="dot"/>
        </w:tabs>
        <w:rPr/>
      </w:pPr>
      <w:hyperlink w:anchor="_Toc4181" w:tgtFrame="#_Toc4181">
        <w:r>
          <w:rPr/>
          <w:t>14.2 Dispositions complémentaires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_Toc4181 \h</w:instrText>
        </w:r>
        <w:r>
          <w:rPr>
            <w:webHidden/>
          </w:rPr>
          <w:fldChar w:fldCharType="separate"/>
        </w:r>
        <w:r>
          <w:rPr/>
          <w:fldChar w:fldCharType="begin"/>
        </w:r>
        <w:r>
          <w:rPr>
            <w:webHidden/>
          </w:rPr>
          <w:fldChar w:fldCharType="end"/>
        </w:r>
        <w:r>
          <w:rPr/>
          <w:instrText> PAGEREF _Toc4181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4182" w:tgtFrame="#_Toc4182">
        <w:r>
          <w:rPr/>
          <w:t>Article 15 - MODALITÉS DE REGLEMENT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_Toc4182 \h</w:instrText>
        </w:r>
        <w:r>
          <w:rPr>
            <w:webHidden/>
          </w:rPr>
          <w:fldChar w:fldCharType="separate"/>
        </w:r>
        <w:r>
          <w:rPr/>
          <w:fldChar w:fldCharType="begin"/>
        </w:r>
        <w:r>
          <w:rPr>
            <w:webHidden/>
          </w:rPr>
          <w:fldChar w:fldCharType="end"/>
        </w:r>
        <w:r>
          <w:rPr/>
          <w:instrText> PAGEREF _Toc4182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4183" w:tgtFrame="#_Toc4183">
        <w:r>
          <w:rPr/>
          <w:t>Article 16 - PAIEMENT ET ETABLISSEMENT DE LA FACTURE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_Toc4183 \h</w:instrText>
        </w:r>
        <w:r>
          <w:rPr>
            <w:webHidden/>
          </w:rPr>
          <w:fldChar w:fldCharType="separate"/>
        </w:r>
        <w:r>
          <w:rPr/>
          <w:fldChar w:fldCharType="begin"/>
        </w:r>
        <w:r>
          <w:rPr>
            <w:webHidden/>
          </w:rPr>
          <w:fldChar w:fldCharType="end"/>
        </w:r>
        <w:r>
          <w:rPr/>
          <w:instrText> PAGEREF _Toc4183 \h </w:instrText>
        </w:r>
        <w:r>
          <w:rPr/>
          <w:fldChar w:fldCharType="separate"/>
        </w:r>
        <w:r>
          <w:rPr/>
          <w:t>11</w:t>
        </w:r>
        <w:r>
          <w:rPr/>
          <w:fldChar w:fldCharType="end"/>
        </w:r>
      </w:hyperlink>
    </w:p>
    <w:p>
      <w:pPr>
        <w:pStyle w:val="Tabledesmatiresniveau2"/>
        <w:tabs>
          <w:tab w:val="clear" w:pos="706"/>
          <w:tab w:val="right" w:pos="8290" w:leader="dot"/>
        </w:tabs>
        <w:rPr/>
      </w:pPr>
      <w:hyperlink w:anchor="_Toc4184" w:tgtFrame="#_Toc4184">
        <w:r>
          <w:rPr/>
          <w:t>16.1 Délais de paiements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_Toc4184 \h</w:instrText>
        </w:r>
        <w:r>
          <w:rPr>
            <w:webHidden/>
          </w:rPr>
          <w:fldChar w:fldCharType="separate"/>
        </w:r>
        <w:r>
          <w:rPr/>
          <w:fldChar w:fldCharType="begin"/>
        </w:r>
        <w:r>
          <w:rPr>
            <w:webHidden/>
          </w:rPr>
          <w:fldChar w:fldCharType="end"/>
        </w:r>
        <w:r>
          <w:rPr/>
          <w:instrText> PAGEREF _Toc4184 \h </w:instrText>
        </w:r>
        <w:r>
          <w:rPr/>
          <w:fldChar w:fldCharType="separate"/>
        </w:r>
        <w:r>
          <w:rPr/>
          <w:t>11</w:t>
        </w:r>
        <w:r>
          <w:rPr/>
          <w:fldChar w:fldCharType="end"/>
        </w:r>
      </w:hyperlink>
    </w:p>
    <w:p>
      <w:pPr>
        <w:pStyle w:val="Tabledesmatiresniveau2"/>
        <w:tabs>
          <w:tab w:val="clear" w:pos="706"/>
          <w:tab w:val="right" w:pos="8290" w:leader="dot"/>
        </w:tabs>
        <w:rPr/>
      </w:pPr>
      <w:hyperlink w:anchor="_Toc4185" w:tgtFrame="#_Toc4185">
        <w:r>
          <w:rPr/>
          <w:t>16.2 Intérêts moratoires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_Toc4185 \h</w:instrText>
        </w:r>
        <w:r>
          <w:rPr>
            <w:webHidden/>
          </w:rPr>
          <w:fldChar w:fldCharType="separate"/>
        </w:r>
        <w:r>
          <w:rPr/>
          <w:fldChar w:fldCharType="begin"/>
        </w:r>
        <w:r>
          <w:rPr>
            <w:webHidden/>
          </w:rPr>
          <w:fldChar w:fldCharType="end"/>
        </w:r>
        <w:r>
          <w:rPr/>
          <w:instrText> PAGEREF _Toc4185 \h </w:instrText>
        </w:r>
        <w:r>
          <w:rPr/>
          <w:fldChar w:fldCharType="separate"/>
        </w:r>
        <w:r>
          <w:rPr/>
          <w:t>11</w:t>
        </w:r>
        <w:r>
          <w:rPr/>
          <w:fldChar w:fldCharType="end"/>
        </w:r>
      </w:hyperlink>
    </w:p>
    <w:p>
      <w:pPr>
        <w:pStyle w:val="Tabledesmatiresniveau2"/>
        <w:tabs>
          <w:tab w:val="clear" w:pos="706"/>
          <w:tab w:val="right" w:pos="8290" w:leader="dot"/>
        </w:tabs>
        <w:rPr/>
      </w:pPr>
      <w:hyperlink w:anchor="_Toc4186" w:tgtFrame="#_Toc4186">
        <w:r>
          <w:rPr/>
          <w:t>16.3 Modalités de paiement direct des sous-traitants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_Toc4186 \h</w:instrText>
        </w:r>
        <w:r>
          <w:rPr>
            <w:webHidden/>
          </w:rPr>
          <w:fldChar w:fldCharType="separate"/>
        </w:r>
        <w:r>
          <w:rPr/>
          <w:fldChar w:fldCharType="begin"/>
        </w:r>
        <w:r>
          <w:rPr>
            <w:webHidden/>
          </w:rPr>
          <w:fldChar w:fldCharType="end"/>
        </w:r>
        <w:r>
          <w:rPr/>
          <w:instrText> PAGEREF _Toc4186 \h </w:instrText>
        </w:r>
        <w:r>
          <w:rPr/>
          <w:fldChar w:fldCharType="separate"/>
        </w:r>
        <w:r>
          <w:rPr/>
          <w:t>12</w:t>
        </w:r>
        <w:r>
          <w:rPr/>
          <w:fldChar w:fldCharType="end"/>
        </w:r>
      </w:hyperlink>
    </w:p>
    <w:p>
      <w:pPr>
        <w:pStyle w:val="Tabledesmatiresniveau2"/>
        <w:tabs>
          <w:tab w:val="clear" w:pos="706"/>
          <w:tab w:val="right" w:pos="8290" w:leader="dot"/>
        </w:tabs>
        <w:rPr/>
      </w:pPr>
      <w:hyperlink w:anchor="_Toc4187" w:tgtFrame="#_Toc4187">
        <w:r>
          <w:rPr/>
          <w:t>16.4 Présentation des demandes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_Toc4187 \h</w:instrText>
        </w:r>
        <w:r>
          <w:rPr>
            <w:webHidden/>
          </w:rPr>
          <w:fldChar w:fldCharType="separate"/>
        </w:r>
        <w:r>
          <w:rPr/>
          <w:fldChar w:fldCharType="begin"/>
        </w:r>
        <w:r>
          <w:rPr>
            <w:webHidden/>
          </w:rPr>
          <w:fldChar w:fldCharType="end"/>
        </w:r>
        <w:r>
          <w:rPr/>
          <w:instrText> PAGEREF _Toc4187 \h </w:instrText>
        </w:r>
        <w:r>
          <w:rPr/>
          <w:fldChar w:fldCharType="separate"/>
        </w:r>
        <w:r>
          <w:rPr/>
          <w:t>12</w:t>
        </w:r>
        <w:r>
          <w:rPr/>
          <w:fldChar w:fldCharType="end"/>
        </w:r>
      </w:hyperlink>
    </w:p>
    <w:p>
      <w:pPr>
        <w:pStyle w:val="Tabledesmatiresniveau2"/>
        <w:tabs>
          <w:tab w:val="clear" w:pos="706"/>
          <w:tab w:val="right" w:pos="8290" w:leader="dot"/>
        </w:tabs>
        <w:rPr/>
      </w:pPr>
      <w:hyperlink w:anchor="_Toc4188" w:tgtFrame="#_Toc4188">
        <w:r>
          <w:rPr/>
          <w:t>16.5 Dématérialisation des factures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_Toc4188 \h</w:instrText>
        </w:r>
        <w:r>
          <w:rPr>
            <w:webHidden/>
          </w:rPr>
          <w:fldChar w:fldCharType="separate"/>
        </w:r>
        <w:r>
          <w:rPr/>
          <w:fldChar w:fldCharType="begin"/>
        </w:r>
        <w:r>
          <w:rPr>
            <w:webHidden/>
          </w:rPr>
          <w:fldChar w:fldCharType="end"/>
        </w:r>
        <w:r>
          <w:rPr/>
          <w:instrText> PAGEREF _Toc4188 \h </w:instrText>
        </w:r>
        <w:r>
          <w:rPr/>
          <w:fldChar w:fldCharType="separate"/>
        </w:r>
        <w:r>
          <w:rPr/>
          <w:t>13</w:t>
        </w:r>
        <w:r>
          <w:rPr/>
          <w:fldChar w:fldCharType="end"/>
        </w:r>
      </w:hyperlink>
    </w:p>
    <w:p>
      <w:pPr>
        <w:pStyle w:val="Tabledesmatiresniveau1"/>
        <w:tabs>
          <w:tab w:val="right" w:pos="8290" w:leader="dot"/>
          <w:tab w:val="right" w:pos="9637" w:leader="dot"/>
        </w:tabs>
        <w:rPr/>
      </w:pPr>
      <w:hyperlink w:anchor="_Toc4189" w:tgtFrame="#_Toc4189">
        <w:r>
          <w:rPr/>
          <w:t>Article 17 - PENALITES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_Toc4189 \h</w:instrText>
        </w:r>
        <w:r>
          <w:rPr>
            <w:webHidden/>
          </w:rPr>
          <w:fldChar w:fldCharType="separate"/>
        </w:r>
        <w:r>
          <w:rPr/>
          <w:fldChar w:fldCharType="begin"/>
        </w:r>
        <w:r>
          <w:rPr>
            <w:webHidden/>
          </w:rPr>
          <w:fldChar w:fldCharType="end"/>
        </w:r>
        <w:r>
          <w:rPr/>
          <w:instrText> PAGEREF _Toc4189 \h </w:instrText>
        </w:r>
        <w:r>
          <w:rPr/>
          <w:fldChar w:fldCharType="separate"/>
        </w:r>
        <w:r>
          <w:rPr/>
          <w:t>Erreur : source de la référence non trouvée</w:t>
        </w:r>
        <w:r>
          <w:rPr/>
          <w:fldChar w:fldCharType="end"/>
        </w:r>
      </w:hyperlink>
    </w:p>
    <w:p>
      <w:pPr>
        <w:pStyle w:val="Tabledesmatiresniveau2"/>
        <w:tabs>
          <w:tab w:val="clear" w:pos="706"/>
          <w:tab w:val="right" w:pos="8290" w:leader="dot"/>
        </w:tabs>
        <w:rPr/>
      </w:pPr>
      <w:hyperlink w:anchor="_Toc4190" w:tgtFrame="#_Toc4190">
        <w:r>
          <w:rPr/>
          <w:t>17.1 Pénalités de retard</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_Toc4190 \h</w:instrText>
        </w:r>
        <w:r>
          <w:rPr>
            <w:webHidden/>
          </w:rPr>
          <w:fldChar w:fldCharType="separate"/>
        </w:r>
        <w:r>
          <w:rPr/>
          <w:fldChar w:fldCharType="begin"/>
        </w:r>
        <w:r>
          <w:rPr>
            <w:webHidden/>
          </w:rPr>
          <w:fldChar w:fldCharType="end"/>
        </w:r>
        <w:r>
          <w:rPr/>
          <w:instrText> PAGEREF _Toc4190 \h </w:instrText>
        </w:r>
        <w:r>
          <w:rPr/>
          <w:fldChar w:fldCharType="separate"/>
        </w:r>
        <w:r>
          <w:rPr/>
          <w:t>13</w:t>
        </w:r>
        <w:r>
          <w:rPr/>
          <w:fldChar w:fldCharType="end"/>
        </w:r>
      </w:hyperlink>
    </w:p>
    <w:p>
      <w:pPr>
        <w:pStyle w:val="Tabledesmatiresniveau2"/>
        <w:tabs>
          <w:tab w:val="clear" w:pos="706"/>
          <w:tab w:val="right" w:pos="8290" w:leader="dot"/>
        </w:tabs>
        <w:rPr/>
      </w:pPr>
      <w:hyperlink w:anchor="_Toc4549" w:tgtFrame="#_Toc4549">
        <w:r>
          <w:rPr/>
          <w:t>17.2 Obligations environnementales à la charge du titulaire et pénalités en cas de manquement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_Toc4549 \h</w:instrText>
        </w:r>
        <w:r>
          <w:rPr>
            <w:webHidden/>
          </w:rPr>
          <w:fldChar w:fldCharType="separate"/>
        </w:r>
        <w:r>
          <w:rPr/>
          <w:fldChar w:fldCharType="begin"/>
        </w:r>
        <w:r>
          <w:rPr>
            <w:webHidden/>
          </w:rPr>
          <w:fldChar w:fldCharType="end"/>
        </w:r>
        <w:r>
          <w:rPr/>
          <w:instrText> PAGEREF _Toc4549 \h </w:instrText>
        </w:r>
        <w:r>
          <w:rPr/>
          <w:fldChar w:fldCharType="separate"/>
        </w:r>
        <w:r>
          <w:rPr/>
          <w:t>Erreur : source de la référence non trouvée</w:t>
        </w:r>
        <w:r>
          <w:rPr/>
          <w:fldChar w:fldCharType="end"/>
        </w:r>
      </w:hyperlink>
    </w:p>
    <w:p>
      <w:pPr>
        <w:pStyle w:val="Tabledesmatiresniveau2"/>
        <w:tabs>
          <w:tab w:val="clear" w:pos="706"/>
          <w:tab w:val="right" w:pos="8290" w:leader="dot"/>
        </w:tabs>
        <w:rPr/>
      </w:pPr>
      <w:hyperlink w:anchor="_Toc4191" w:tgtFrame="#_Toc4191">
        <w:r>
          <w:rPr/>
          <w:t>17.3 Pénalités pour non respect des dispositions du Code du Travail</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_Toc4191 \h</w:instrText>
        </w:r>
        <w:r>
          <w:rPr>
            <w:webHidden/>
          </w:rPr>
          <w:fldChar w:fldCharType="separate"/>
        </w:r>
        <w:r>
          <w:rPr/>
          <w:fldChar w:fldCharType="begin"/>
        </w:r>
        <w:r>
          <w:rPr>
            <w:webHidden/>
          </w:rPr>
          <w:fldChar w:fldCharType="end"/>
        </w:r>
        <w:r>
          <w:rPr/>
          <w:instrText> PAGEREF _Toc4191 \h </w:instrText>
        </w:r>
        <w:r>
          <w:rPr/>
          <w:fldChar w:fldCharType="separate"/>
        </w:r>
        <w:r>
          <w:rPr/>
          <w:t>14</w:t>
        </w:r>
        <w:r>
          <w:rPr/>
          <w:fldChar w:fldCharType="end"/>
        </w:r>
      </w:hyperlink>
    </w:p>
    <w:p>
      <w:pPr>
        <w:pStyle w:val="Tabledesmatiresniveau2"/>
        <w:tabs>
          <w:tab w:val="clear" w:pos="706"/>
          <w:tab w:val="right" w:pos="8290" w:leader="dot"/>
        </w:tabs>
        <w:rPr/>
      </w:pPr>
      <w:hyperlink w:anchor="_Toc4192" w:tgtFrame="#_Toc4192">
        <w:r>
          <w:rPr/>
          <w:t>17.4 Autres pénalités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_Toc4192 \h</w:instrText>
        </w:r>
        <w:r>
          <w:rPr>
            <w:webHidden/>
          </w:rPr>
          <w:fldChar w:fldCharType="separate"/>
        </w:r>
        <w:r>
          <w:rPr/>
          <w:fldChar w:fldCharType="begin"/>
        </w:r>
        <w:r>
          <w:rPr>
            <w:webHidden/>
          </w:rPr>
          <w:fldChar w:fldCharType="end"/>
        </w:r>
        <w:r>
          <w:rPr/>
          <w:instrText> PAGEREF _Toc4192 \h </w:instrText>
        </w:r>
        <w:r>
          <w:rPr/>
          <w:fldChar w:fldCharType="separate"/>
        </w:r>
        <w:r>
          <w:rPr/>
          <w:t>14</w:t>
        </w:r>
        <w:r>
          <w:rPr/>
          <w:fldChar w:fldCharType="end"/>
        </w:r>
      </w:hyperlink>
    </w:p>
    <w:p>
      <w:pPr>
        <w:pStyle w:val="Tabledesmatiresniveau1"/>
        <w:tabs>
          <w:tab w:val="right" w:pos="8290" w:leader="dot"/>
          <w:tab w:val="right" w:pos="9637" w:leader="dot"/>
        </w:tabs>
        <w:rPr/>
      </w:pPr>
      <w:hyperlink w:anchor="_Toc4193" w:tgtFrame="#_Toc4193">
        <w:r>
          <w:rPr/>
          <w:t>Article 18 - RESILIATION ET EXECUTION DES PRESTATIONS AUX FRAIS ET RISQUES DU TITULAIRE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_Toc4193 \h</w:instrText>
        </w:r>
        <w:r>
          <w:rPr>
            <w:webHidden/>
          </w:rPr>
          <w:fldChar w:fldCharType="separate"/>
        </w:r>
        <w:r>
          <w:rPr/>
          <w:fldChar w:fldCharType="begin"/>
        </w:r>
        <w:r>
          <w:rPr>
            <w:webHidden/>
          </w:rPr>
          <w:fldChar w:fldCharType="end"/>
        </w:r>
        <w:r>
          <w:rPr/>
          <w:instrText> PAGEREF _Toc4193 \h </w:instrText>
        </w:r>
        <w:r>
          <w:rPr/>
          <w:fldChar w:fldCharType="separate"/>
        </w:r>
        <w:r>
          <w:rPr/>
          <w:t>14</w:t>
        </w:r>
        <w:r>
          <w:rPr/>
          <w:fldChar w:fldCharType="end"/>
        </w:r>
      </w:hyperlink>
    </w:p>
    <w:p>
      <w:pPr>
        <w:pStyle w:val="Tabledesmatiresniveau1"/>
        <w:tabs>
          <w:tab w:val="right" w:pos="8290" w:leader="dot"/>
          <w:tab w:val="right" w:pos="9637" w:leader="dot"/>
        </w:tabs>
        <w:rPr/>
      </w:pPr>
      <w:hyperlink w:anchor="_Toc4194" w:tgtFrame="#_Toc4194">
        <w:r>
          <w:rPr/>
          <w:t>Article 19 - CLAUSES DE GESTION DES DONNEES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_Toc4194 \h</w:instrText>
        </w:r>
        <w:r>
          <w:rPr>
            <w:webHidden/>
          </w:rPr>
          <w:fldChar w:fldCharType="separate"/>
        </w:r>
        <w:r>
          <w:rPr/>
          <w:fldChar w:fldCharType="begin"/>
        </w:r>
        <w:r>
          <w:rPr>
            <w:webHidden/>
          </w:rPr>
          <w:fldChar w:fldCharType="end"/>
        </w:r>
        <w:r>
          <w:rPr/>
          <w:instrText> PAGEREF _Toc4194 \h </w:instrText>
        </w:r>
        <w:r>
          <w:rPr/>
          <w:fldChar w:fldCharType="separate"/>
        </w:r>
        <w:r>
          <w:rPr/>
          <w:t>15</w:t>
        </w:r>
        <w:r>
          <w:rPr/>
          <w:fldChar w:fldCharType="end"/>
        </w:r>
      </w:hyperlink>
    </w:p>
    <w:p>
      <w:pPr>
        <w:pStyle w:val="Tabledesmatiresniveau2"/>
        <w:tabs>
          <w:tab w:val="clear" w:pos="706"/>
          <w:tab w:val="right" w:pos="8290" w:leader="dot"/>
        </w:tabs>
        <w:rPr/>
      </w:pPr>
      <w:hyperlink w:anchor="_Toc4195" w:tgtFrame="#_Toc4195">
        <w:r>
          <w:rPr/>
          <w:t>19.1 Les contraintes réglementaires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_Toc4195 \h</w:instrText>
        </w:r>
        <w:r>
          <w:rPr>
            <w:webHidden/>
          </w:rPr>
          <w:fldChar w:fldCharType="separate"/>
        </w:r>
        <w:r>
          <w:rPr/>
          <w:fldChar w:fldCharType="begin"/>
        </w:r>
        <w:r>
          <w:rPr>
            <w:webHidden/>
          </w:rPr>
          <w:fldChar w:fldCharType="end"/>
        </w:r>
        <w:r>
          <w:rPr/>
          <w:instrText> PAGEREF _Toc4195 \h </w:instrText>
        </w:r>
        <w:r>
          <w:rPr/>
          <w:fldChar w:fldCharType="separate"/>
        </w:r>
        <w:r>
          <w:rPr/>
          <w:t>15</w:t>
        </w:r>
        <w:r>
          <w:rPr/>
          <w:fldChar w:fldCharType="end"/>
        </w:r>
      </w:hyperlink>
    </w:p>
    <w:p>
      <w:pPr>
        <w:pStyle w:val="Tabledesmatiresniveau3"/>
        <w:tabs>
          <w:tab w:val="right" w:pos="8290" w:leader="dot"/>
          <w:tab w:val="right" w:pos="9241" w:leader="dot"/>
        </w:tabs>
        <w:rPr/>
      </w:pPr>
      <w:hyperlink w:anchor="_Toc4196" w:tgtFrame="#_Toc4196">
        <w:r>
          <w:rPr/>
          <w:t>19.1.1 Le RGS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_Toc4196 \h</w:instrText>
        </w:r>
        <w:r>
          <w:rPr>
            <w:webHidden/>
          </w:rPr>
          <w:fldChar w:fldCharType="separate"/>
        </w:r>
        <w:r>
          <w:rPr/>
          <w:fldChar w:fldCharType="begin"/>
        </w:r>
        <w:r>
          <w:rPr>
            <w:webHidden/>
          </w:rPr>
          <w:fldChar w:fldCharType="end"/>
        </w:r>
        <w:r>
          <w:rPr/>
          <w:instrText> PAGEREF _Toc4196 \h </w:instrText>
        </w:r>
        <w:r>
          <w:rPr/>
          <w:fldChar w:fldCharType="separate"/>
        </w:r>
        <w:r>
          <w:rPr/>
          <w:t>15</w:t>
        </w:r>
        <w:r>
          <w:rPr/>
          <w:fldChar w:fldCharType="end"/>
        </w:r>
      </w:hyperlink>
    </w:p>
    <w:p>
      <w:pPr>
        <w:pStyle w:val="Tabledesmatiresniveau3"/>
        <w:tabs>
          <w:tab w:val="right" w:pos="8290" w:leader="dot"/>
          <w:tab w:val="right" w:pos="9241" w:leader="dot"/>
        </w:tabs>
        <w:rPr/>
      </w:pPr>
      <w:hyperlink w:anchor="_Toc4197" w:tgtFrame="#_Toc4197">
        <w:r>
          <w:rPr/>
          <w:t>19.1.2 Le Règlement Général sur la Protection des Données (RGPD)</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_Toc4197 \h</w:instrText>
        </w:r>
        <w:r>
          <w:rPr>
            <w:webHidden/>
          </w:rPr>
          <w:fldChar w:fldCharType="separate"/>
        </w:r>
        <w:r>
          <w:rPr/>
          <w:fldChar w:fldCharType="begin"/>
        </w:r>
        <w:r>
          <w:rPr>
            <w:webHidden/>
          </w:rPr>
          <w:fldChar w:fldCharType="end"/>
        </w:r>
        <w:r>
          <w:rPr/>
          <w:instrText> PAGEREF _Toc4197 \h </w:instrText>
        </w:r>
        <w:r>
          <w:rPr/>
          <w:fldChar w:fldCharType="separate"/>
        </w:r>
        <w:r>
          <w:rPr/>
          <w:t>15</w:t>
        </w:r>
        <w:r>
          <w:rPr/>
          <w:fldChar w:fldCharType="end"/>
        </w:r>
      </w:hyperlink>
    </w:p>
    <w:p>
      <w:pPr>
        <w:pStyle w:val="Tabledesmatiresniveau3"/>
        <w:tabs>
          <w:tab w:val="right" w:pos="8290" w:leader="dot"/>
          <w:tab w:val="right" w:pos="9241" w:leader="dot"/>
        </w:tabs>
        <w:rPr/>
      </w:pPr>
      <w:hyperlink w:anchor="_Toc4198" w:tgtFrame="#_Toc4198">
        <w:r>
          <w:rPr/>
          <w:t>19.1.3 Le Code du Patrimoine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_Toc4198 \h</w:instrText>
        </w:r>
        <w:r>
          <w:rPr>
            <w:webHidden/>
          </w:rPr>
          <w:fldChar w:fldCharType="separate"/>
        </w:r>
        <w:r>
          <w:rPr/>
          <w:fldChar w:fldCharType="begin"/>
        </w:r>
        <w:r>
          <w:rPr>
            <w:webHidden/>
          </w:rPr>
          <w:fldChar w:fldCharType="end"/>
        </w:r>
        <w:r>
          <w:rPr/>
          <w:instrText> PAGEREF _Toc4198 \h </w:instrText>
        </w:r>
        <w:r>
          <w:rPr/>
          <w:fldChar w:fldCharType="separate"/>
        </w:r>
        <w:r>
          <w:rPr/>
          <w:t>15</w:t>
        </w:r>
        <w:r>
          <w:rPr/>
          <w:fldChar w:fldCharType="end"/>
        </w:r>
      </w:hyperlink>
    </w:p>
    <w:p>
      <w:pPr>
        <w:pStyle w:val="Tabledesmatiresniveau2"/>
        <w:tabs>
          <w:tab w:val="clear" w:pos="706"/>
          <w:tab w:val="right" w:pos="8290" w:leader="dot"/>
        </w:tabs>
        <w:rPr/>
      </w:pPr>
      <w:hyperlink w:anchor="_Toc4199" w:tgtFrame="#_Toc4199">
        <w:r>
          <w:rPr/>
          <w:t>19.2 Les clauses générales de confidentialité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_Toc4199 \h</w:instrText>
        </w:r>
        <w:r>
          <w:rPr>
            <w:webHidden/>
          </w:rPr>
          <w:fldChar w:fldCharType="separate"/>
        </w:r>
        <w:r>
          <w:rPr/>
          <w:fldChar w:fldCharType="begin"/>
        </w:r>
        <w:r>
          <w:rPr>
            <w:webHidden/>
          </w:rPr>
          <w:fldChar w:fldCharType="end"/>
        </w:r>
        <w:r>
          <w:rPr/>
          <w:instrText> PAGEREF _Toc4199 \h </w:instrText>
        </w:r>
        <w:r>
          <w:rPr/>
          <w:fldChar w:fldCharType="separate"/>
        </w:r>
        <w:r>
          <w:rPr/>
          <w:t>15</w:t>
        </w:r>
        <w:r>
          <w:rPr/>
          <w:fldChar w:fldCharType="end"/>
        </w:r>
      </w:hyperlink>
    </w:p>
    <w:p>
      <w:pPr>
        <w:pStyle w:val="Tabledesmatiresniveau2"/>
        <w:tabs>
          <w:tab w:val="clear" w:pos="706"/>
          <w:tab w:val="right" w:pos="8290" w:leader="dot"/>
        </w:tabs>
        <w:rPr/>
      </w:pPr>
      <w:hyperlink w:anchor="_Toc4200" w:tgtFrame="#_Toc4200">
        <w:r>
          <w:rPr/>
          <w:t>19.3 Les contrôles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_Toc4200 \h</w:instrText>
        </w:r>
        <w:r>
          <w:rPr>
            <w:webHidden/>
          </w:rPr>
          <w:fldChar w:fldCharType="separate"/>
        </w:r>
        <w:r>
          <w:rPr/>
          <w:fldChar w:fldCharType="begin"/>
        </w:r>
        <w:r>
          <w:rPr>
            <w:webHidden/>
          </w:rPr>
          <w:fldChar w:fldCharType="end"/>
        </w:r>
        <w:r>
          <w:rPr/>
          <w:instrText> PAGEREF _Toc4200 \h </w:instrText>
        </w:r>
        <w:r>
          <w:rPr/>
          <w:fldChar w:fldCharType="separate"/>
        </w:r>
        <w:r>
          <w:rPr/>
          <w:t>16</w:t>
        </w:r>
        <w:r>
          <w:rPr/>
          <w:fldChar w:fldCharType="end"/>
        </w:r>
      </w:hyperlink>
    </w:p>
    <w:p>
      <w:pPr>
        <w:pStyle w:val="Tabledesmatiresniveau2"/>
        <w:tabs>
          <w:tab w:val="clear" w:pos="706"/>
          <w:tab w:val="right" w:pos="8290" w:leader="dot"/>
        </w:tabs>
        <w:rPr/>
      </w:pPr>
      <w:hyperlink w:anchor="_Toc4201" w:tgtFrame="#_Toc4201">
        <w:r>
          <w:rPr/>
          <w:t>19.4 Phase de réversibilité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_Toc4201 \h</w:instrText>
        </w:r>
        <w:r>
          <w:rPr>
            <w:webHidden/>
          </w:rPr>
          <w:fldChar w:fldCharType="separate"/>
        </w:r>
        <w:r>
          <w:rPr/>
          <w:fldChar w:fldCharType="begin"/>
        </w:r>
        <w:r>
          <w:rPr>
            <w:webHidden/>
          </w:rPr>
          <w:fldChar w:fldCharType="end"/>
        </w:r>
        <w:r>
          <w:rPr/>
          <w:instrText> PAGEREF _Toc4201 \h </w:instrText>
        </w:r>
        <w:r>
          <w:rPr/>
          <w:fldChar w:fldCharType="separate"/>
        </w:r>
        <w:r>
          <w:rPr/>
          <w:t>17</w:t>
        </w:r>
        <w:r>
          <w:rPr/>
          <w:fldChar w:fldCharType="end"/>
        </w:r>
      </w:hyperlink>
    </w:p>
    <w:p>
      <w:pPr>
        <w:pStyle w:val="Tabledesmatiresniveau1"/>
        <w:tabs>
          <w:tab w:val="right" w:pos="8290" w:leader="dot"/>
          <w:tab w:val="right" w:pos="9637" w:leader="dot"/>
        </w:tabs>
        <w:rPr/>
      </w:pPr>
      <w:hyperlink w:anchor="_Toc4202" w:tgtFrame="#_Toc4202">
        <w:r>
          <w:rPr/>
          <w:t>Article 20 - LOGICIEL E-ATTESTATIONS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_Toc4202 \h</w:instrText>
        </w:r>
        <w:r>
          <w:rPr>
            <w:webHidden/>
          </w:rPr>
          <w:fldChar w:fldCharType="separate"/>
        </w:r>
        <w:r>
          <w:rPr/>
          <w:fldChar w:fldCharType="begin"/>
        </w:r>
        <w:r>
          <w:rPr>
            <w:webHidden/>
          </w:rPr>
          <w:fldChar w:fldCharType="end"/>
        </w:r>
        <w:r>
          <w:rPr/>
          <w:instrText> PAGEREF _Toc4202 \h </w:instrText>
        </w:r>
        <w:r>
          <w:rPr/>
          <w:fldChar w:fldCharType="separate"/>
        </w:r>
        <w:r>
          <w:rPr/>
          <w:t>17</w:t>
        </w:r>
        <w:r>
          <w:rPr/>
          <w:fldChar w:fldCharType="end"/>
        </w:r>
      </w:hyperlink>
    </w:p>
    <w:p>
      <w:pPr>
        <w:pStyle w:val="Tabledesmatiresniveau1"/>
        <w:tabs>
          <w:tab w:val="right" w:pos="8290" w:leader="dot"/>
          <w:tab w:val="right" w:pos="9637" w:leader="dot"/>
        </w:tabs>
        <w:rPr/>
      </w:pPr>
      <w:hyperlink w:anchor="_Toc4203" w:tgtFrame="#_Toc4203">
        <w:r>
          <w:rPr/>
          <w:t>Article 21 - LOI APPLICABLE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_Toc4203 \h</w:instrText>
        </w:r>
        <w:r>
          <w:rPr>
            <w:webHidden/>
          </w:rPr>
          <w:fldChar w:fldCharType="separate"/>
        </w:r>
        <w:r>
          <w:rPr/>
          <w:fldChar w:fldCharType="begin"/>
        </w:r>
        <w:r>
          <w:rPr>
            <w:webHidden/>
          </w:rPr>
          <w:fldChar w:fldCharType="end"/>
        </w:r>
        <w:r>
          <w:rPr/>
          <w:instrText> PAGEREF _Toc4203 \h </w:instrText>
        </w:r>
        <w:r>
          <w:rPr/>
          <w:fldChar w:fldCharType="separate"/>
        </w:r>
        <w:r>
          <w:rPr/>
          <w:t>17</w:t>
        </w:r>
        <w:r>
          <w:rPr/>
          <w:fldChar w:fldCharType="end"/>
        </w:r>
      </w:hyperlink>
    </w:p>
    <w:p>
      <w:pPr>
        <w:pStyle w:val="Tabledesmatiresniveau1"/>
        <w:tabs>
          <w:tab w:val="right" w:pos="8290" w:leader="dot"/>
          <w:tab w:val="right" w:pos="9637" w:leader="dot"/>
        </w:tabs>
        <w:rPr/>
      </w:pPr>
      <w:hyperlink w:anchor="_Toc4204" w:tgtFrame="#_Toc4204">
        <w:r>
          <w:rPr/>
          <w:t>Article 22 - CONFORMITE AUX NORMES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_Toc4204 \h</w:instrText>
        </w:r>
        <w:r>
          <w:rPr>
            <w:webHidden/>
          </w:rPr>
          <w:fldChar w:fldCharType="separate"/>
        </w:r>
        <w:r>
          <w:rPr/>
          <w:fldChar w:fldCharType="begin"/>
        </w:r>
        <w:r>
          <w:rPr>
            <w:webHidden/>
          </w:rPr>
          <w:fldChar w:fldCharType="end"/>
        </w:r>
        <w:r>
          <w:rPr/>
          <w:instrText> PAGEREF _Toc4204 \h </w:instrText>
        </w:r>
        <w:r>
          <w:rPr/>
          <w:fldChar w:fldCharType="separate"/>
        </w:r>
        <w:r>
          <w:rPr/>
          <w:t>17</w:t>
        </w:r>
        <w:r>
          <w:rPr/>
          <w:fldChar w:fldCharType="end"/>
        </w:r>
      </w:hyperlink>
    </w:p>
    <w:p>
      <w:pPr>
        <w:pStyle w:val="Tabledesmatiresniveau1"/>
        <w:tabs>
          <w:tab w:val="right" w:pos="8290" w:leader="dot"/>
          <w:tab w:val="right" w:pos="9637" w:leader="dot"/>
        </w:tabs>
        <w:rPr/>
      </w:pPr>
      <w:hyperlink w:anchor="_Toc4205" w:tgtFrame="#_Toc4205">
        <w:r>
          <w:rPr/>
          <w:t>Article 23 - ASSURANCES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_Toc4205 \h</w:instrText>
        </w:r>
        <w:r>
          <w:rPr>
            <w:webHidden/>
          </w:rPr>
          <w:fldChar w:fldCharType="separate"/>
        </w:r>
        <w:r>
          <w:rPr/>
          <w:fldChar w:fldCharType="begin"/>
        </w:r>
        <w:r>
          <w:rPr>
            <w:webHidden/>
          </w:rPr>
          <w:fldChar w:fldCharType="end"/>
        </w:r>
        <w:r>
          <w:rPr/>
          <w:instrText> PAGEREF _Toc4205 \h </w:instrText>
        </w:r>
        <w:r>
          <w:rPr/>
          <w:fldChar w:fldCharType="separate"/>
        </w:r>
        <w:r>
          <w:rPr/>
          <w:t>18</w:t>
        </w:r>
        <w:r>
          <w:rPr/>
          <w:fldChar w:fldCharType="end"/>
        </w:r>
      </w:hyperlink>
    </w:p>
    <w:p>
      <w:pPr>
        <w:pStyle w:val="Tabledesmatiresniveau1"/>
        <w:tabs>
          <w:tab w:val="right" w:pos="8290" w:leader="dot"/>
          <w:tab w:val="right" w:pos="9637" w:leader="dot"/>
        </w:tabs>
        <w:rPr/>
      </w:pPr>
      <w:hyperlink w:anchor="_Toc4206" w:tgtFrame="#_Toc4206">
        <w:r>
          <w:rPr/>
          <w:t>Article 24 - DEROGATIONS AUX DOCUMENTS GENERAUX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_Toc4206 \h</w:instrText>
        </w:r>
        <w:r>
          <w:rPr>
            <w:webHidden/>
          </w:rPr>
          <w:fldChar w:fldCharType="separate"/>
        </w:r>
        <w:r>
          <w:rPr/>
          <w:fldChar w:fldCharType="begin"/>
        </w:r>
        <w:r>
          <w:rPr>
            <w:webHidden/>
          </w:rPr>
          <w:fldChar w:fldCharType="end"/>
        </w:r>
        <w:r>
          <w:rPr/>
          <w:instrText> PAGEREF _Toc4206 \h </w:instrText>
        </w:r>
        <w:r>
          <w:rPr/>
          <w:fldChar w:fldCharType="separate"/>
        </w:r>
        <w:r>
          <w:rPr/>
          <w:t>18</w:t>
        </w:r>
        <w:r>
          <w:rPr/>
          <w:fldChar w:fldCharType="end"/>
        </w:r>
      </w:hyperlink>
      <w:r>
        <w:br w:type="page"/>
      </w:r>
    </w:p>
    <w:p>
      <w:pPr>
        <w:pStyle w:val="Titre1"/>
        <w:numPr>
          <w:ilvl w:val="0"/>
          <w:numId w:val="2"/>
        </w:numPr>
        <w:rPr/>
      </w:pPr>
      <w:bookmarkStart w:id="1" w:name="_Toc4145"/>
      <w:r>
        <w:rPr/>
        <w:t>OBJET ET DURÉE DU MARCHE</w:t>
      </w:r>
      <w:bookmarkEnd w:id="1"/>
    </w:p>
    <w:p>
      <w:pPr>
        <w:pStyle w:val="Titre2"/>
        <w:numPr>
          <w:ilvl w:val="1"/>
          <w:numId w:val="2"/>
        </w:numPr>
        <w:rPr/>
      </w:pPr>
      <w:bookmarkStart w:id="2" w:name="_Toc4146"/>
      <w:r>
        <w:rPr/>
        <w:t>Intitulé et Objet des prestations</w:t>
      </w:r>
      <w:bookmarkEnd w:id="2"/>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Intitulé de la consultation :</w:t>
      </w:r>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SOLUTION DE GESTION DE PRISE DE RENDEZ VOUS ÉLECTRONIQUES POUR LE CENTRE DE VACCINATIONS INTERNATIONALES</w:t>
      </w:r>
    </w:p>
    <w:p>
      <w:pPr>
        <w:pStyle w:val="Normal"/>
        <w:rPr/>
      </w:pPr>
      <w:r>
        <w:rPr>
          <w:rFonts w:eastAsia="arial" w:cs="arial" w:ascii="arial" w:hAnsi="arial"/>
          <w:b w:val="false"/>
          <w:i w:val="false"/>
          <w:color w:val="000000"/>
          <w:sz w:val="20"/>
          <w:u w:val="none"/>
        </w:rPr>
        <w:t>La présente consultation a pour objet : Solution de gestion de prise de rendez vous électroniques en ligne pour le centre de vaccinations  internationales de la Ville de Marseille par abonnement.</w:t>
      </w:r>
    </w:p>
    <w:p>
      <w:pPr>
        <w:pStyle w:val="Titre2"/>
        <w:numPr>
          <w:ilvl w:val="1"/>
          <w:numId w:val="2"/>
        </w:numPr>
        <w:rPr/>
      </w:pPr>
      <w:bookmarkStart w:id="3" w:name="_Toc4147"/>
      <w:r>
        <w:rPr/>
        <w:t>Procédure</w:t>
      </w:r>
      <w:bookmarkEnd w:id="3"/>
    </w:p>
    <w:p>
      <w:pPr>
        <w:pStyle w:val="Normal"/>
        <w:rPr/>
      </w:pPr>
      <w:r>
        <w:rPr>
          <w:rFonts w:eastAsia="arial" w:cs="arial" w:ascii="arial" w:hAnsi="arial"/>
          <w:b w:val="false"/>
          <w:i w:val="false"/>
          <w:color w:val="000000"/>
          <w:sz w:val="20"/>
          <w:u w:val="none"/>
          <w:shd w:fill="FFFFFF" w:val="clear"/>
        </w:rPr>
        <w:t>La procédure de passation est la suivante : MAPA OUVERT AVEC BOAMP- selon les articles suivants : articles L2123-1, R2123-1-1°, R2123-4 et 5 du Code de la commande publique.</w:t>
      </w:r>
    </w:p>
    <w:p>
      <w:pPr>
        <w:pStyle w:val="Normal"/>
        <w:spacing w:before="120" w:after="0"/>
        <w:rPr>
          <w:highlight w:val="none"/>
          <w:shd w:fill="FFFFFF" w:val="clear"/>
        </w:rPr>
      </w:pPr>
      <w:r>
        <w:rPr>
          <w:shd w:fill="FFFFFF" w:val="clear"/>
        </w:rPr>
      </w:r>
    </w:p>
    <w:p>
      <w:pPr>
        <w:pStyle w:val="Titre2"/>
        <w:numPr>
          <w:ilvl w:val="1"/>
          <w:numId w:val="2"/>
        </w:numPr>
        <w:rPr/>
      </w:pPr>
      <w:bookmarkStart w:id="4" w:name="_Toc4148"/>
      <w:r>
        <w:rPr/>
        <w:t>Décomposition en Lots, Tranches et postes</w:t>
      </w:r>
      <w:bookmarkEnd w:id="4"/>
    </w:p>
    <w:p>
      <w:pPr>
        <w:pStyle w:val="Titre3"/>
        <w:numPr>
          <w:ilvl w:val="2"/>
          <w:numId w:val="2"/>
        </w:numPr>
        <w:rPr/>
      </w:pPr>
      <w:bookmarkStart w:id="5" w:name="_Toc4149"/>
      <w:r>
        <w:rPr/>
        <w:t>Décomposition en lots</w:t>
      </w:r>
      <w:bookmarkEnd w:id="5"/>
    </w:p>
    <w:p>
      <w:pPr>
        <w:pStyle w:val="Normal"/>
        <w:rPr/>
      </w:pPr>
      <w:r>
        <w:rPr>
          <w:rFonts w:eastAsia="arial" w:cs="arial" w:ascii="arial" w:hAnsi="arial"/>
          <w:b w:val="false"/>
          <w:i w:val="false"/>
          <w:color w:val="000000"/>
          <w:sz w:val="20"/>
          <w:u w:val="none"/>
        </w:rPr>
        <w:t>L'ensemble des prestations fait l'objet d'un marché unique.</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3"/>
        <w:numPr>
          <w:ilvl w:val="2"/>
          <w:numId w:val="2"/>
        </w:numPr>
        <w:rPr/>
      </w:pPr>
      <w:bookmarkStart w:id="6" w:name="_Toc4150"/>
      <w:r>
        <w:rPr/>
        <w:t>Décomposition en tranches</w:t>
      </w:r>
      <w:bookmarkEnd w:id="6"/>
    </w:p>
    <w:p>
      <w:pPr>
        <w:pStyle w:val="Normal"/>
        <w:rPr/>
      </w:pPr>
      <w:r>
        <w:rPr>
          <w:rFonts w:eastAsia="arial" w:cs="arial" w:ascii="arial" w:hAnsi="arial"/>
          <w:b w:val="false"/>
          <w:i w:val="false"/>
          <w:color w:val="000000"/>
          <w:sz w:val="20"/>
          <w:u w:val="none"/>
        </w:rPr>
        <w:t>L'ensemble des prestations n'est pas subdivisé en tranches.</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3"/>
        <w:numPr>
          <w:ilvl w:val="2"/>
          <w:numId w:val="2"/>
        </w:numPr>
        <w:rPr/>
      </w:pPr>
      <w:bookmarkStart w:id="7" w:name="_Toc4151"/>
      <w:r>
        <w:rPr/>
        <w:t>Décomposition en postes</w:t>
      </w:r>
      <w:bookmarkEnd w:id="7"/>
    </w:p>
    <w:p>
      <w:pPr>
        <w:pStyle w:val="Normal"/>
        <w:rPr/>
      </w:pPr>
      <w:r>
        <w:rPr>
          <w:rFonts w:eastAsia="arial" w:cs="arial" w:ascii="arial" w:hAnsi="arial"/>
          <w:b w:val="false"/>
          <w:i w:val="false"/>
          <w:color w:val="000000"/>
          <w:sz w:val="20"/>
          <w:u w:val="none"/>
        </w:rPr>
        <w:t>L'ensemble des prestations n'est pas subdivisé en postes.</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pPr>
      <w:bookmarkStart w:id="8" w:name="_Toc4152"/>
      <w:r>
        <w:rPr/>
        <w:t>Modalités d'exécution des tranches conditionnelles</w:t>
      </w:r>
      <w:bookmarkEnd w:id="8"/>
    </w:p>
    <w:p>
      <w:pPr>
        <w:pStyle w:val="Normal"/>
        <w:rPr/>
      </w:pPr>
      <w:r>
        <w:rPr>
          <w:rFonts w:eastAsia="arial" w:cs="arial" w:ascii="arial" w:hAnsi="arial"/>
          <w:b w:val="false"/>
          <w:i w:val="false"/>
          <w:color w:val="000000"/>
          <w:sz w:val="20"/>
          <w:u w:val="none"/>
        </w:rPr>
        <w:t>L'ensemble des prestations n'est pas subdivisé en tranches.</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pPr>
      <w:bookmarkStart w:id="9" w:name="_Toc4153"/>
      <w:r>
        <w:rPr/>
        <w:t>Accord-cadre à bons de commande</w:t>
      </w:r>
      <w:bookmarkEnd w:id="9"/>
    </w:p>
    <w:p>
      <w:pPr>
        <w:pStyle w:val="Normal"/>
        <w:spacing w:before="120" w:after="0"/>
        <w:rPr/>
      </w:pPr>
      <w:r>
        <w:rPr/>
        <w:t>Le prix est forfaitaire.</w:t>
      </w:r>
    </w:p>
    <w:p>
      <w:pPr>
        <w:pStyle w:val="Normal"/>
        <w:spacing w:before="120" w:after="0"/>
        <w:rPr/>
      </w:pPr>
      <w:r>
        <w:rPr/>
      </w:r>
    </w:p>
    <w:p>
      <w:pPr>
        <w:pStyle w:val="Titre2"/>
        <w:numPr>
          <w:ilvl w:val="1"/>
          <w:numId w:val="2"/>
        </w:numPr>
        <w:rPr/>
      </w:pPr>
      <w:bookmarkStart w:id="10" w:name="_Toc4154"/>
      <w:r>
        <w:rPr/>
        <w:t>Date d'effet du marché</w:t>
      </w:r>
      <w:bookmarkEnd w:id="10"/>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La date de début de la période de validité et d'exécution du marché est la date de notification du marché au titulaire.</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pPr>
      <w:bookmarkStart w:id="11" w:name="_Toc4155"/>
      <w:r>
        <w:rPr/>
        <w:t>Durée du marché - Période de validité</w:t>
      </w:r>
      <w:bookmarkEnd w:id="11"/>
    </w:p>
    <w:p>
      <w:pPr>
        <w:pStyle w:val="Normal"/>
        <w:rPr>
          <w:highlight w:val="none"/>
          <w:shd w:fill="FFFFFF" w:val="clear"/>
        </w:rPr>
      </w:pPr>
      <w:r>
        <w:rPr>
          <w:rFonts w:eastAsia="arial" w:cs="arial" w:ascii="arial" w:hAnsi="arial"/>
          <w:b w:val="false"/>
          <w:i w:val="false"/>
          <w:color w:val="000000"/>
          <w:sz w:val="20"/>
          <w:u w:val="none"/>
          <w:shd w:fill="FFFFFF" w:val="clear"/>
        </w:rPr>
        <w:t>La durée du marché se définit comme suit :</w:t>
      </w:r>
    </w:p>
    <w:p>
      <w:pPr>
        <w:pStyle w:val="Normal"/>
        <w:rPr>
          <w:highlight w:val="none"/>
          <w:shd w:fill="FFFFFF" w:val="clear"/>
        </w:rPr>
      </w:pPr>
      <w:r>
        <w:rPr>
          <w:rFonts w:eastAsia="arial" w:cs="arial" w:ascii="arial" w:hAnsi="arial"/>
          <w:b w:val="false"/>
          <w:bCs w:val="false"/>
          <w:i w:val="false"/>
          <w:color w:val="000000"/>
          <w:sz w:val="20"/>
          <w:u w:val="none"/>
          <w:shd w:fill="FFFFFF" w:val="clear"/>
        </w:rPr>
        <w:t>1 an</w:t>
      </w:r>
      <w:r>
        <w:rPr>
          <w:rFonts w:eastAsia="arial" w:cs="arial" w:ascii="arial" w:hAnsi="arial"/>
          <w:b/>
          <w:bCs w:val="false"/>
          <w:i w:val="false"/>
          <w:color w:val="000000"/>
          <w:sz w:val="20"/>
          <w:u w:val="none"/>
          <w:shd w:fill="FFFFFF" w:val="clear"/>
        </w:rPr>
        <w:t>.</w:t>
      </w:r>
    </w:p>
    <w:p>
      <w:pPr>
        <w:pStyle w:val="Normal"/>
        <w:rPr>
          <w:highlight w:val="none"/>
          <w:shd w:fill="FFFFFF" w:val="clear"/>
        </w:rPr>
      </w:pPr>
      <w:r>
        <w:rPr>
          <w:rFonts w:eastAsia="arial" w:cs="arial" w:ascii="arial" w:hAnsi="arial"/>
          <w:b w:val="false"/>
          <w:i w:val="false"/>
          <w:color w:val="000000"/>
          <w:sz w:val="20"/>
          <w:u w:val="none"/>
          <w:shd w:fill="FFFFFF" w:val="clear"/>
        </w:rPr>
        <w:t>Le marché est reconductible par période annuelle, dans la limite de 3 reconductions.</w:t>
      </w:r>
    </w:p>
    <w:p>
      <w:pPr>
        <w:pStyle w:val="Normal"/>
        <w:spacing w:before="120" w:after="0"/>
        <w:rPr>
          <w:highlight w:val="none"/>
          <w:shd w:fill="FFFFFF" w:val="clear"/>
        </w:rPr>
      </w:pPr>
      <w:r>
        <w:rPr>
          <w:shd w:fill="FFFFFF" w:val="clear"/>
        </w:rPr>
        <w:t xml:space="preserve">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w:t>
      </w:r>
      <w:r>
        <w:rPr>
          <w:rFonts w:eastAsia="arial" w:cs="arial" w:ascii="arial" w:hAnsi="arial"/>
          <w:b w:val="false"/>
          <w:bCs w:val="false"/>
          <w:i w:val="false"/>
          <w:color w:val="000000"/>
          <w:sz w:val="20"/>
          <w:u w:val="none"/>
          <w:shd w:fill="FFFFFF" w:val="clear"/>
        </w:rPr>
        <w:t>tacite.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 cas de décision de non reconduction du marché, le représentant du pouvoir adjudicateur transmet sa décision au titulaire par lettre recommandée avec accusé de réception au plus tard 2 mois avant la fin de la durée de validité du marché.</w:t>
      </w:r>
    </w:p>
    <w:p>
      <w:pPr>
        <w:pStyle w:val="Normal"/>
        <w:spacing w:before="120" w:after="0"/>
        <w:rPr/>
      </w:pPr>
      <w:r>
        <w:rPr/>
      </w:r>
    </w:p>
    <w:p>
      <w:pPr>
        <w:pStyle w:val="Normal"/>
        <w:spacing w:before="120" w:after="0"/>
        <w:rPr>
          <w:rFonts w:ascii="arial" w:hAnsi="arial" w:eastAsia="arial" w:cs="arial"/>
          <w:b/>
          <w:b/>
          <w:i w:val="false"/>
          <w:i w:val="false"/>
          <w:color w:val="000000"/>
          <w:sz w:val="20"/>
          <w:u w:val="none"/>
          <w:shd w:fill="D4EDDA" w:val="clear"/>
        </w:rPr>
      </w:pPr>
      <w:r>
        <w:rPr>
          <w:rFonts w:eastAsia="arial" w:cs="arial" w:ascii="arial" w:hAnsi="arial"/>
          <w:b/>
          <w:i w:val="false"/>
          <w:color w:val="000000"/>
          <w:sz w:val="20"/>
          <w:u w:val="none"/>
          <w:shd w:fill="D4EDDA" w:val="clear"/>
        </w:rPr>
      </w:r>
    </w:p>
    <w:p>
      <w:pPr>
        <w:pStyle w:val="Titre2"/>
        <w:numPr>
          <w:ilvl w:val="1"/>
          <w:numId w:val="2"/>
        </w:numPr>
        <w:rPr/>
      </w:pPr>
      <w:bookmarkStart w:id="12" w:name="_Toc4156"/>
      <w:r>
        <w:rPr/>
        <w:t>Clause obligatoire d'insertion par l'activité économique</w:t>
      </w:r>
      <w:bookmarkEnd w:id="12"/>
    </w:p>
    <w:p>
      <w:pPr>
        <w:pStyle w:val="Normal"/>
        <w:rPr>
          <w:highlight w:val="none"/>
          <w:shd w:fill="FFFFFF" w:val="clear"/>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1"/>
        <w:numPr>
          <w:ilvl w:val="0"/>
          <w:numId w:val="2"/>
        </w:numPr>
        <w:rPr/>
      </w:pPr>
      <w:bookmarkStart w:id="13" w:name="_Toc4157"/>
      <w:r>
        <w:rPr/>
        <w:t>DOCUMENTS CONTRACTUELS</w:t>
      </w:r>
      <w:bookmarkEnd w:id="13"/>
    </w:p>
    <w:p>
      <w:pPr>
        <w:pStyle w:val="Normal"/>
        <w:rPr>
          <w:rFonts w:ascii="arial" w:hAnsi="arial" w:eastAsia="arial" w:cs="arial"/>
          <w:b/>
          <w:b/>
          <w:i w:val="false"/>
          <w:i w:val="false"/>
          <w:color w:val="000000"/>
          <w:sz w:val="20"/>
          <w:u w:val="none"/>
          <w:shd w:fill="D4EDDA" w:val="clear"/>
        </w:rPr>
      </w:pPr>
      <w:r>
        <w:rPr>
          <w:rFonts w:eastAsia="arial" w:cs="arial" w:ascii="arial" w:hAnsi="arial"/>
          <w:b/>
          <w:i w:val="false"/>
          <w:color w:val="000000"/>
          <w:sz w:val="20"/>
          <w:u w:val="none"/>
          <w:shd w:fill="D4EDDA" w:val="clear"/>
        </w:rPr>
      </w:r>
    </w:p>
    <w:p>
      <w:pPr>
        <w:pStyle w:val="Normal"/>
        <w:rPr>
          <w:highlight w:val="none"/>
          <w:shd w:fill="FFFFFF" w:val="clear"/>
        </w:rPr>
      </w:pPr>
      <w:r>
        <w:rPr>
          <w:rFonts w:eastAsia="arial" w:cs="arial" w:ascii="arial" w:hAnsi="arial"/>
          <w:b/>
          <w:i w:val="false"/>
          <w:color w:val="000000"/>
          <w:sz w:val="20"/>
          <w:u w:val="none"/>
          <w:shd w:fill="FFFFFF" w:val="clear"/>
        </w:rPr>
        <w:t>Par dérogation à l'article 4.1 du C.C.A.G. TIC</w:t>
      </w:r>
      <w:r>
        <w:rPr>
          <w:rFonts w:eastAsia="arial" w:cs="arial" w:ascii="arial" w:hAnsi="arial"/>
          <w:b w:val="false"/>
          <w:i w:val="false"/>
          <w:color w:val="000000"/>
          <w:sz w:val="20"/>
          <w:u w:val="none"/>
          <w:shd w:fill="FFFFFF" w:val="clear"/>
        </w:rPr>
        <w:t>, les pièces constitutives du marché sont les suivantes par ordre de priorité décroissante :</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L'Acte d'Engagement (AE) et ses annexes désignées ci-après : Protection des données et Sécurité</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présent cahier des clauses administratives particulières (C.C.A.P.)</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document intitulé Cahier des Clauses Techniques Particulières (C.C.T.P.)</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générales (C.C.A.G.) applicable aux marchés publics de techniques de l'information et de la communication approuvé par l'arrêté du 30 mars 2021 publié au JORF du 1er avril 2021</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 Décomposition du Prix Global et Forfaitaire (D.P.G.F.)</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Mémoire technique</w:t>
      </w:r>
    </w:p>
    <w:p>
      <w:pPr>
        <w:pStyle w:val="Titre1"/>
        <w:numPr>
          <w:ilvl w:val="0"/>
          <w:numId w:val="2"/>
        </w:numPr>
        <w:rPr/>
      </w:pPr>
      <w:bookmarkStart w:id="14" w:name="_Toc4158"/>
      <w:r>
        <w:rPr/>
        <w:t>DÉLAIS DE LIVRAISON ET/OU D</w:t>
      </w:r>
      <w:bookmarkEnd w:id="14"/>
      <w:r>
        <w:rPr/>
        <w:t>’EXÉCUTION</w:t>
      </w:r>
    </w:p>
    <w:p>
      <w:pPr>
        <w:pStyle w:val="Titre1"/>
        <w:numPr>
          <w:ilvl w:val="0"/>
          <w:numId w:val="0"/>
        </w:numPr>
        <w:ind w:left="0" w:hanging="0"/>
        <w:rPr/>
      </w:pPr>
      <w:r>
        <w:rPr/>
      </w:r>
    </w:p>
    <w:p>
      <w:pPr>
        <w:pStyle w:val="Titre2"/>
        <w:numPr>
          <w:ilvl w:val="1"/>
          <w:numId w:val="2"/>
        </w:numPr>
        <w:rPr/>
      </w:pPr>
      <w:bookmarkStart w:id="15" w:name="_Toc4159"/>
      <w:r>
        <w:rPr/>
        <w:t>Délais</w:t>
      </w:r>
      <w:bookmarkEnd w:id="15"/>
    </w:p>
    <w:p>
      <w:pPr>
        <w:pStyle w:val="Normal"/>
        <w:rPr>
          <w:highlight w:val="none"/>
          <w:shd w:fill="FFFFFF" w:val="clear"/>
        </w:rPr>
      </w:pPr>
      <w:r>
        <w:rPr>
          <w:rFonts w:eastAsia="arial" w:cs="arial" w:ascii="arial" w:hAnsi="arial"/>
          <w:b w:val="false"/>
          <w:i w:val="false"/>
          <w:color w:val="000000"/>
          <w:sz w:val="20"/>
          <w:u w:val="none"/>
          <w:shd w:fill="FFFFFF" w:val="clear"/>
        </w:rPr>
        <w:t>Le titulaire dispose d'un délai de 7 jours maximum à compter de la date de notification du marché pour donner un accès à l’application au titulaire.</w:t>
      </w:r>
    </w:p>
    <w:p>
      <w:pPr>
        <w:pStyle w:val="Normal"/>
        <w:rPr>
          <w:highlight w:val="none"/>
          <w:shd w:fill="FFFFFF" w:val="clear"/>
        </w:rPr>
      </w:pPr>
      <w:r>
        <w:rPr>
          <w:rFonts w:eastAsia="arial" w:cs="arial" w:ascii="arial" w:hAnsi="arial"/>
          <w:b w:val="false"/>
          <w:i w:val="false"/>
          <w:color w:val="000000"/>
          <w:sz w:val="20"/>
          <w:u w:val="none"/>
          <w:shd w:fill="FFFFFF" w:val="clear"/>
        </w:rPr>
        <w:t>Le support technique de la solution de prise de rendez vous en ligne doit être joignable, par tout moyen proposé, du lundi au vendredi de 7H30 à 19H30.</w:t>
      </w:r>
    </w:p>
    <w:p>
      <w:pPr>
        <w:pStyle w:val="Normal"/>
        <w:rPr>
          <w:highlight w:val="none"/>
          <w:shd w:fill="FFFFFF" w:val="clear"/>
        </w:rPr>
      </w:pPr>
      <w:r>
        <w:rPr>
          <w:rFonts w:eastAsia="arial" w:cs="arial" w:ascii="arial" w:hAnsi="arial"/>
          <w:b w:val="false"/>
          <w:i w:val="false"/>
          <w:color w:val="000000"/>
          <w:sz w:val="20"/>
          <w:u w:val="none"/>
          <w:shd w:fill="FFFFFF" w:val="clear"/>
        </w:rPr>
        <w:t>L’application doit être disponible à un taux de 99,9%.</w:t>
      </w:r>
    </w:p>
    <w:p>
      <w:pPr>
        <w:pStyle w:val="Normal"/>
        <w:rPr/>
      </w:pPr>
      <w:r>
        <w:rPr/>
      </w:r>
    </w:p>
    <w:p>
      <w:pPr>
        <w:pStyle w:val="Titre2"/>
        <w:numPr>
          <w:ilvl w:val="1"/>
          <w:numId w:val="2"/>
        </w:numPr>
        <w:rPr/>
      </w:pPr>
      <w:bookmarkStart w:id="16" w:name="_Toc4160"/>
      <w:r>
        <w:rPr/>
        <w:t xml:space="preserve">Émission des bons de commande </w:t>
      </w:r>
      <w:bookmarkEnd w:id="16"/>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Sans objet.</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17" w:name="_Toc4161"/>
      <w:r>
        <w:rPr/>
        <w:t>ENTREPRISES G</w:t>
      </w:r>
      <w:bookmarkEnd w:id="17"/>
      <w:r>
        <w:rPr/>
        <w:t>ROUPÉES</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spacing w:before="120" w:after="0"/>
        <w:rPr/>
      </w:pPr>
      <w: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Normal"/>
        <w:spacing w:before="120" w:after="0"/>
        <w:rPr/>
      </w:pPr>
      <w:r>
        <w:rPr/>
      </w:r>
    </w:p>
    <w:p>
      <w:pPr>
        <w:pStyle w:val="Titre1"/>
        <w:numPr>
          <w:ilvl w:val="0"/>
          <w:numId w:val="2"/>
        </w:numPr>
        <w:rPr/>
      </w:pPr>
      <w:bookmarkStart w:id="18" w:name="_Toc4162"/>
      <w:r>
        <w:rPr/>
        <w:t>CONDITIONS DE LIVRAISON ET D</w:t>
      </w:r>
      <w:bookmarkEnd w:id="18"/>
      <w:r>
        <w:rPr/>
        <w:t>’EXÉCUTION</w:t>
      </w:r>
    </w:p>
    <w:p>
      <w:pPr>
        <w:pStyle w:val="Titre2"/>
        <w:numPr>
          <w:ilvl w:val="1"/>
          <w:numId w:val="2"/>
        </w:numPr>
        <w:rPr/>
      </w:pPr>
      <w:bookmarkStart w:id="19" w:name="_Toc4163"/>
      <w:r>
        <w:rPr/>
        <w:t>Transport  et Emballages</w:t>
      </w:r>
      <w:bookmarkEnd w:id="19"/>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Non concerné.</w:t>
      </w:r>
    </w:p>
    <w:p>
      <w:pPr>
        <w:pStyle w:val="Titre2"/>
        <w:numPr>
          <w:ilvl w:val="1"/>
          <w:numId w:val="2"/>
        </w:numPr>
        <w:rPr/>
      </w:pPr>
      <w:bookmarkStart w:id="20" w:name="_Toc4164"/>
      <w:r>
        <w:rPr/>
        <w:t>Lieux d'exécution ou de livraison</w:t>
      </w:r>
      <w:bookmarkEnd w:id="20"/>
    </w:p>
    <w:p>
      <w:pPr>
        <w:pStyle w:val="Normal"/>
        <w:rPr>
          <w:b w:val="false"/>
          <w:b w:val="false"/>
          <w:bCs w:val="false"/>
          <w:highlight w:val="none"/>
          <w:shd w:fill="FFFFFF" w:val="clear"/>
        </w:rPr>
      </w:pPr>
      <w:r>
        <w:rPr>
          <w:rFonts w:eastAsia="arial" w:cs="arial" w:ascii="arial" w:hAnsi="arial"/>
          <w:b w:val="false"/>
          <w:bCs w:val="false"/>
          <w:i w:val="false"/>
          <w:color w:val="000000"/>
          <w:sz w:val="20"/>
          <w:u w:val="none"/>
          <w:shd w:fill="FFFFFF" w:val="clear"/>
        </w:rPr>
        <w:t>Non concerné.</w:t>
      </w:r>
    </w:p>
    <w:p>
      <w:pPr>
        <w:pStyle w:val="Titre1"/>
        <w:numPr>
          <w:ilvl w:val="0"/>
          <w:numId w:val="2"/>
        </w:numPr>
        <w:rPr/>
      </w:pPr>
      <w:bookmarkStart w:id="21" w:name="_Toc4165"/>
      <w:r>
        <w:rPr/>
        <w:t>CONDITIONS PARTICULIÈRES D</w:t>
      </w:r>
      <w:bookmarkEnd w:id="21"/>
      <w:r>
        <w:rPr/>
        <w:t>’EXÉCUTION</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C.C.T.P. du marché fixe les conditions particulières d'exécution.</w:t>
      </w:r>
    </w:p>
    <w:p>
      <w:pPr>
        <w:pStyle w:val="Titre1"/>
        <w:numPr>
          <w:ilvl w:val="0"/>
          <w:numId w:val="2"/>
        </w:numPr>
        <w:rPr/>
      </w:pPr>
      <w:bookmarkStart w:id="22" w:name="_Toc4166"/>
      <w:r>
        <w:rPr/>
        <w:t>OPÉRATIONS DE VÉRIFICATIONS / ADMISSION</w:t>
      </w:r>
      <w:bookmarkEnd w:id="22"/>
    </w:p>
    <w:p>
      <w:pPr>
        <w:pStyle w:val="Titre2"/>
        <w:numPr>
          <w:ilvl w:val="1"/>
          <w:numId w:val="2"/>
        </w:numPr>
        <w:rPr/>
      </w:pPr>
      <w:bookmarkStart w:id="23" w:name="_Toc4167"/>
      <w:r>
        <w:rPr/>
        <w:t>Mise en Ordre de Marche et Vérifications</w:t>
      </w:r>
      <w:bookmarkEnd w:id="23"/>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Les modalités d'installation, de mise en ordre de marche, les vérifications et les décisions après vérifications sont effectuées dans les conditions prévues aux articles 29 à 33 du C.C.A.G./TIC.</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L'article 30.3 du C.C.A.G./TIC ne s'applique pas.</w:t>
      </w:r>
    </w:p>
    <w:p>
      <w:pPr>
        <w:pStyle w:val="Titre2"/>
        <w:numPr>
          <w:ilvl w:val="1"/>
          <w:numId w:val="2"/>
        </w:numPr>
        <w:rPr/>
      </w:pPr>
      <w:bookmarkStart w:id="24" w:name="_Toc4168"/>
      <w:r>
        <w:rPr/>
        <w:t>Admission</w:t>
      </w:r>
      <w:bookmarkEnd w:id="24"/>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Suite aux vérifications, les décisions d'admission, de réfaction, d'ajournement ou de rejet sont prises dans les conditions prévues à l'article 34 du CCAG/TIC par le responsable désigné par la personne publique. Les opérations de vérification et la notification de la décision du pouvoir adjudicateur doivent être effectuées sous un délai de sept jours. Passé ce délai, la décision d'admission est réputée acquise.</w:t>
      </w:r>
    </w:p>
    <w:p>
      <w:pPr>
        <w:pStyle w:val="Titre1"/>
        <w:numPr>
          <w:ilvl w:val="0"/>
          <w:numId w:val="2"/>
        </w:numPr>
        <w:rPr/>
      </w:pPr>
      <w:bookmarkStart w:id="25" w:name="_Toc4169"/>
      <w:r>
        <w:rPr/>
        <w:t>GARANTIE CONTRACTUELLE</w:t>
      </w:r>
      <w:bookmarkEnd w:id="25"/>
    </w:p>
    <w:p>
      <w:pPr>
        <w:pStyle w:val="Titre2"/>
        <w:numPr>
          <w:ilvl w:val="1"/>
          <w:numId w:val="2"/>
        </w:numPr>
        <w:rPr/>
      </w:pPr>
      <w:bookmarkStart w:id="26" w:name="_Toc4170"/>
      <w:r>
        <w:rPr/>
        <w:t>Durée de garantie</w:t>
      </w:r>
      <w:bookmarkEnd w:id="26"/>
    </w:p>
    <w:p>
      <w:pPr>
        <w:pStyle w:val="Normal"/>
        <w:rPr>
          <w:highlight w:val="none"/>
          <w:shd w:fill="FFFFFF" w:val="clear"/>
        </w:rPr>
      </w:pPr>
      <w:r>
        <w:rPr>
          <w:rFonts w:eastAsia="arial" w:cs="arial" w:ascii="arial" w:hAnsi="arial"/>
          <w:b w:val="false"/>
          <w:i w:val="false"/>
          <w:color w:val="000000"/>
          <w:sz w:val="20"/>
          <w:u w:val="none"/>
          <w:shd w:fill="FFFFFF" w:val="clear"/>
        </w:rPr>
        <w:t xml:space="preserve">Les </w:t>
      </w:r>
      <w:r>
        <w:rPr>
          <w:rFonts w:eastAsia="arial" w:cs="arial" w:ascii="arial" w:hAnsi="arial"/>
          <w:b w:val="false"/>
          <w:bCs w:val="false"/>
          <w:i w:val="false"/>
          <w:color w:val="000000"/>
          <w:sz w:val="20"/>
          <w:u w:val="none"/>
          <w:shd w:fill="FFFFFF" w:val="clear"/>
        </w:rPr>
        <w:t>prestations</w:t>
      </w:r>
      <w:r>
        <w:rPr>
          <w:rFonts w:eastAsia="arial" w:cs="arial" w:ascii="arial" w:hAnsi="arial"/>
          <w:b/>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 font l'objet d'une garantie d'une durée de 1 an, reconductible à chaque nouvelle période du marché, conformément à l'article 36 du CCAG/TIC.</w:t>
      </w:r>
    </w:p>
    <w:p>
      <w:pPr>
        <w:pStyle w:val="Titre2"/>
        <w:numPr>
          <w:ilvl w:val="1"/>
          <w:numId w:val="2"/>
        </w:numPr>
        <w:rPr/>
      </w:pPr>
      <w:bookmarkStart w:id="27" w:name="_Toc4171"/>
      <w:r>
        <w:rPr/>
        <w:t>Point de départ de la garantie</w:t>
      </w:r>
      <w:bookmarkEnd w:id="27"/>
    </w:p>
    <w:p>
      <w:pPr>
        <w:pStyle w:val="Normal"/>
        <w:rPr>
          <w:highlight w:val="none"/>
          <w:shd w:fill="FFFFFF" w:val="clear"/>
        </w:rPr>
      </w:pPr>
      <w:r>
        <w:rPr>
          <w:rFonts w:eastAsia="arial" w:cs="arial" w:ascii="arial" w:hAnsi="arial"/>
          <w:b w:val="false"/>
          <w:i w:val="false"/>
          <w:color w:val="000000"/>
          <w:sz w:val="20"/>
          <w:u w:val="none"/>
          <w:shd w:fill="FFFFFF" w:val="clear"/>
        </w:rPr>
        <w:t>Conformément à l'article 36 du CCAG/TIC, le point de départ du délai de garantie est la date de notification de la décision d'admission.</w:t>
      </w:r>
    </w:p>
    <w:p>
      <w:pPr>
        <w:pStyle w:val="Titre1"/>
        <w:numPr>
          <w:ilvl w:val="0"/>
          <w:numId w:val="2"/>
        </w:numPr>
        <w:rPr/>
      </w:pPr>
      <w:bookmarkStart w:id="28" w:name="_Toc4172"/>
      <w:r>
        <w:rPr/>
        <w:t>DISPOSITIONS SPÉCIFIQUES A LA MAINTENANCE, LA TIERCE MAINTENANCE APPLICATIVE ET A L</w:t>
      </w:r>
      <w:bookmarkEnd w:id="28"/>
      <w:r>
        <w:rPr/>
        <w:t>’INFOGÉRANCE</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La maintenance des prestations est soumise aux dispositions de l'article 39 CCAG/TIC.</w:t>
      </w:r>
    </w:p>
    <w:p>
      <w:pPr>
        <w:pStyle w:val="Normal"/>
        <w:rPr>
          <w:shd w:fill="D4EDDA" w:val="clear"/>
        </w:rPr>
      </w:pPr>
      <w:r>
        <w:rPr>
          <w:shd w:fill="D4EDDA" w:val="clear"/>
        </w:rPr>
      </w:r>
    </w:p>
    <w:p>
      <w:pPr>
        <w:pStyle w:val="Titre1"/>
        <w:numPr>
          <w:ilvl w:val="0"/>
          <w:numId w:val="2"/>
        </w:numPr>
        <w:rPr/>
      </w:pPr>
      <w:bookmarkStart w:id="29" w:name="_Toc4173"/>
      <w:r>
        <w:rPr/>
        <w:t>PROPRIÉTÉ INTELLECTUELLE ET UTILISATION DES R</w:t>
      </w:r>
      <w:bookmarkEnd w:id="29"/>
      <w:r>
        <w:rPr/>
        <w:t>ÉSULTATS</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L'utilisation des résultats, et notamment les droits respectifs du pouvoir adjudicateur et du titulaire, sont définis au chapitre 7 du CCAG-T.I.C. (art 43 à 46 Inclus).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Il n'est pas prévu de disposition particulière.</w:t>
      </w:r>
    </w:p>
    <w:p>
      <w:pPr>
        <w:pStyle w:val="Titre1"/>
        <w:numPr>
          <w:ilvl w:val="0"/>
          <w:numId w:val="2"/>
        </w:numPr>
        <w:rPr/>
      </w:pPr>
      <w:bookmarkStart w:id="30" w:name="_Toc4553"/>
      <w:r>
        <w:rPr/>
        <w:t>DEVOIR DE CONSEIL</w:t>
      </w:r>
      <w:bookmarkEnd w:id="30"/>
    </w:p>
    <w:p>
      <w:pPr>
        <w:pStyle w:val="Normal"/>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rPr>
          <w:highlight w:val="none"/>
          <w:shd w:fill="FFFFFF" w:val="clear"/>
        </w:rPr>
      </w:pPr>
      <w:r>
        <w:rPr>
          <w:rFonts w:eastAsia="arial" w:cs="arial" w:ascii="arial" w:hAnsi="arial"/>
          <w:b/>
          <w:i w:val="false"/>
          <w:color w:val="000000"/>
          <w:sz w:val="20"/>
          <w:u w:val="none"/>
          <w:shd w:fill="FFFFFF" w:val="clear"/>
        </w:rPr>
        <w:t>Conformément à l'article 3.9 du CCAG TIC</w:t>
      </w:r>
      <w:r>
        <w:rPr>
          <w:rFonts w:eastAsia="arial" w:cs="arial" w:ascii="arial" w:hAnsi="arial"/>
          <w:b w:val="false"/>
          <w:i w:val="false"/>
          <w:color w:val="000000"/>
          <w:sz w:val="20"/>
          <w:u w:val="none"/>
          <w:shd w:fill="FFFFFF" w:val="clear"/>
        </w:rPr>
        <w:t>, le titulaire est tenu à une obligation permanente de conseil et de mise en garde, relative aux matériels, logiciels et prestations fournies à l'acheteur.</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Dans ce cadre, le titulaire communique notamment à l'acheteur toute information permettant d'améliorer le niveau de sécurité du système d'information et signale les difficultés et risques que certains choix peuvent entraîner dès lors que cette information relève des prestations objet du marché.</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Dans l'hypothèse où le titulaire ne respecte pas cette obligation, il ne peut se prévaloir d'une incohérence dans le marché pour s'exonérer de sa responsabilité.</w:t>
      </w:r>
    </w:p>
    <w:p>
      <w:pPr>
        <w:pStyle w:val="Normal"/>
        <w:spacing w:before="120" w:after="0"/>
        <w:rPr/>
      </w:pPr>
      <w:r>
        <w:rPr/>
      </w:r>
    </w:p>
    <w:p>
      <w:pPr>
        <w:pStyle w:val="Normal"/>
        <w:spacing w:before="120" w:after="0"/>
        <w:rPr/>
      </w:pPr>
      <w:r>
        <w:rPr/>
      </w:r>
    </w:p>
    <w:p>
      <w:pPr>
        <w:pStyle w:val="Titre1"/>
        <w:numPr>
          <w:ilvl w:val="0"/>
          <w:numId w:val="2"/>
        </w:numPr>
        <w:rPr/>
      </w:pPr>
      <w:bookmarkStart w:id="31" w:name="_Toc4174"/>
      <w:r>
        <w:rPr/>
        <w:t>CONFIDENTIALITÉ ET MESURES DE S</w:t>
      </w:r>
      <w:bookmarkEnd w:id="31"/>
      <w:r>
        <w:rPr/>
        <w:t>ÉCURITÉ</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La confidentialité et les mesures de sécurité sont soumises aux dispositions de l'article 5 du CCAG TIC.</w:t>
      </w:r>
    </w:p>
    <w:p>
      <w:pPr>
        <w:pStyle w:val="Normal"/>
        <w:rPr>
          <w:highlight w:val="none"/>
          <w:shd w:fill="FFFFFF" w:val="clear"/>
        </w:rPr>
      </w:pPr>
      <w:r>
        <w:rPr>
          <w:rFonts w:eastAsia="arial" w:cs="arial" w:ascii="arial" w:hAnsi="arial"/>
          <w:b/>
          <w:i w:val="false"/>
          <w:color w:val="000000"/>
          <w:sz w:val="20"/>
          <w:u w:val="single"/>
          <w:shd w:fill="FFFFFF" w:val="clear"/>
        </w:rPr>
        <w:t>Pénalités pour violation des obligations de sécurité ou de confidentialité</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 cas de violation des mesures de sécurité ou de l'obligation de confidentialité énoncées à l'article 5.1 du CCAG TIC, et conformément à l'article 14.3 du même CCAG, le titulaire s'expose aux pénalités suivantes, appliquées dans les conditions prévues à l'article 14.1.1 du CCAG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en cas de non-respect des règles de sécurité et de protection des informations confidentielles n'impliquant pas des données à caractère personnel : application d'une pénalité égale à 0,5 % du montant exécuté du marché public à la date de constatation du fait générateur;</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en cas de non-respect des règles de sécurité et de protection des informations confidentielles impliquant des données à caractère personnel : application d'une pénalité égale à 2 % du montant exécuté du marché public à la date de constatation du fait générateur.</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 cas de constatation de plusieurs faits générateurs, les pénalités ainsi établies sont appliquées de façon cumulative.</w:t>
      </w:r>
    </w:p>
    <w:p>
      <w:pPr>
        <w:pStyle w:val="Normal"/>
        <w:spacing w:before="120" w:after="0"/>
        <w:rPr/>
      </w:pPr>
      <w: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De même, ces pénalités sont distinctes et cumulatives de celles sanctionnant le non-respect de la réglementation relative à la protection des données personnelles (article 5.2 du CCAG TIC, et article 19 du présent CCAP).</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i w:val="false"/>
          <w:color w:val="000000"/>
          <w:sz w:val="20"/>
          <w:u w:val="single"/>
          <w:shd w:fill="FFFFFF" w:val="clear"/>
        </w:rPr>
        <w:t>Information sur les vulnérabilités et les incidents de sécurité détectés sur le système d'information du titulaire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Conformément à l'article 5.4 du CCAG TIC, pour les prestations, produits et services fournis dans le cadre du marché, le titulaire met à disposition un dispositif d'information dédié à la sécurité informatique (notamment flux RSS/ATOM, liste de diffusion par courriel ou autre).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Ce dispositif vise à tenir l'acheteur informé des événements et changements impactant la sécurité, notamment liés à la connaissance d'une vulnérabilité impactant le système (annonce de correctif, attaque en cours, violation de données à caractère personnel si le traitement de données est sous-traité au titulaire), et des mesures correctives ou conservatoires à appliquer.</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i w:val="false"/>
          <w:color w:val="000000"/>
          <w:sz w:val="20"/>
          <w:u w:val="single"/>
          <w:shd w:fill="FFFFFF" w:val="clear"/>
        </w:rPr>
        <w:t>Audit de sécurité</w:t>
      </w:r>
    </w:p>
    <w:p>
      <w:pPr>
        <w:pStyle w:val="Normal"/>
        <w:spacing w:before="120" w:after="0"/>
        <w:rPr/>
      </w:pPr>
      <w: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 application de l'article 24 du CCAG TIC, l'acheteur peut effectuer ou faire effectuer un audit de sécurité auprès du titulaire ou le cas échéant de ses sous- traitants, afin de s'assurer de la prise en compte effective du niveau de sécurité requis par l'acheteur.</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titulaire est informé quinze jours à l'avance (date de l'audit, modalités financières pour l'acheteur et le titulaire, etc.).</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L'acheteur, ou l'organisme mandaté à cette fin, peut, pendant une période de six mois à compter du terme de l'exécution du marché ou de sa résiliation, exercer un contrôle dans les locaux du titulaire et, le cas échéant, dans ceux de ses sous-traitants afin de vérifier que les dispositions en matière de destruction des données ont été effectivement appliquées.</w:t>
      </w:r>
    </w:p>
    <w:p>
      <w:pPr>
        <w:pStyle w:val="Titre1"/>
        <w:numPr>
          <w:ilvl w:val="0"/>
          <w:numId w:val="2"/>
        </w:numPr>
        <w:rPr/>
      </w:pPr>
      <w:bookmarkStart w:id="32" w:name="_Toc4175"/>
      <w:r>
        <w:rPr/>
        <w:t>MODALITÉS DE DÉTERMINATION DES PRIX</w:t>
      </w:r>
      <w:bookmarkEnd w:id="32"/>
    </w:p>
    <w:p>
      <w:pPr>
        <w:pStyle w:val="Titre2"/>
        <w:numPr>
          <w:ilvl w:val="1"/>
          <w:numId w:val="2"/>
        </w:numPr>
        <w:rPr/>
      </w:pPr>
      <w:bookmarkStart w:id="33" w:name="_Toc4176"/>
      <w:r>
        <w:rPr/>
        <w:t>Nature du prix</w:t>
      </w:r>
      <w:bookmarkEnd w:id="33"/>
    </w:p>
    <w:p>
      <w:pPr>
        <w:pStyle w:val="Normal"/>
        <w:rPr>
          <w:rFonts w:ascii="arial" w:hAnsi="arial" w:eastAsia="arial" w:cs="arial"/>
          <w:b w:val="false"/>
          <w:b w:val="false"/>
          <w:i w:val="false"/>
          <w:i w:val="false"/>
          <w:color w:val="000000"/>
          <w:sz w:val="20"/>
          <w:u w:val="single"/>
          <w:shd w:fill="D4EDDA" w:val="clear"/>
        </w:rPr>
      </w:pPr>
      <w:r>
        <w:rPr>
          <w:rFonts w:eastAsia="arial" w:cs="arial" w:ascii="arial" w:hAnsi="arial"/>
          <w:b w:val="false"/>
          <w:i w:val="false"/>
          <w:color w:val="000000"/>
          <w:sz w:val="20"/>
          <w:u w:val="single"/>
          <w:shd w:fill="D4EDDA"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marché est conclu au prix global et forfaitaire figurant dans l'acte d'engagement.</w:t>
      </w:r>
    </w:p>
    <w:p>
      <w:pPr>
        <w:pStyle w:val="Normal"/>
        <w:rPr>
          <w:rFonts w:ascii="arial" w:hAnsi="arial" w:eastAsia="arial" w:cs="arial"/>
          <w:b/>
          <w:b/>
          <w:i w:val="false"/>
          <w:i w:val="false"/>
          <w:color w:val="000000"/>
          <w:sz w:val="20"/>
          <w:u w:val="single"/>
          <w:shd w:fill="D4EDDA" w:val="clear"/>
        </w:rPr>
      </w:pPr>
      <w:r>
        <w:rPr/>
      </w:r>
    </w:p>
    <w:p>
      <w:pPr>
        <w:pStyle w:val="Normal"/>
        <w:spacing w:before="120" w:after="0"/>
        <w:rPr>
          <w:highlight w:val="none"/>
          <w:shd w:fill="FFFFFF" w:val="clear"/>
        </w:rPr>
      </w:pPr>
      <w:r>
        <w:rPr>
          <w:shd w:fill="FFFFFF" w:val="clear"/>
        </w:rPr>
      </w:r>
    </w:p>
    <w:p>
      <w:pPr>
        <w:pStyle w:val="Titre2"/>
        <w:numPr>
          <w:ilvl w:val="1"/>
          <w:numId w:val="2"/>
        </w:numPr>
        <w:rPr/>
      </w:pPr>
      <w:bookmarkStart w:id="34" w:name="_Toc4177"/>
      <w:r>
        <w:rPr/>
        <w:t>Variations du prix</w:t>
      </w:r>
      <w:bookmarkEnd w:id="34"/>
    </w:p>
    <w:p>
      <w:pPr>
        <w:pStyle w:val="Normal"/>
        <w:rPr>
          <w:highlight w:val="none"/>
          <w:shd w:fill="FFFF00" w:val="clear"/>
        </w:rPr>
      </w:pPr>
      <w:r>
        <w:rPr>
          <w:rFonts w:eastAsia="arial" w:cs="arial" w:ascii="arial" w:hAnsi="arial"/>
          <w:b w:val="false"/>
          <w:i w:val="false"/>
          <w:color w:val="000000"/>
          <w:sz w:val="20"/>
          <w:u w:val="none"/>
          <w:shd w:fill="FFFFFF" w:val="clear"/>
        </w:rPr>
        <w:t>Les prix sont révisables selon les modalités fixées ci-après.</w:t>
      </w:r>
    </w:p>
    <w:p>
      <w:pPr>
        <w:pStyle w:val="Normal"/>
        <w:spacing w:before="200" w:after="0"/>
        <w:ind w:left="0" w:right="0" w:hanging="0"/>
        <w:jc w:val="both"/>
        <w:rPr>
          <w:highlight w:val="none"/>
          <w:shd w:fill="FFFFFF" w:val="clear"/>
        </w:rPr>
      </w:pPr>
      <w:r>
        <w:rPr>
          <w:rFonts w:eastAsia="Arial" w:cs="Arial"/>
          <w:color w:val="000000"/>
          <w:sz w:val="20"/>
          <w:u w:val="single"/>
          <w:shd w:fill="FFFFFF" w:val="clear"/>
        </w:rPr>
        <w:t>Révision des prix selon formule paramétrique :</w:t>
      </w:r>
    </w:p>
    <w:p>
      <w:pPr>
        <w:pStyle w:val="Normal"/>
        <w:spacing w:before="200" w:after="0"/>
        <w:ind w:left="0" w:right="0" w:hanging="0"/>
        <w:jc w:val="both"/>
        <w:rPr>
          <w:highlight w:val="none"/>
          <w:shd w:fill="FFFFFF" w:val="clear"/>
        </w:rPr>
      </w:pPr>
      <w:r>
        <w:rPr>
          <w:rFonts w:eastAsia="Arial" w:cs="Arial"/>
          <w:color w:val="000000"/>
          <w:sz w:val="20"/>
          <w:shd w:fill="FFFFFF" w:val="clear"/>
        </w:rPr>
        <w:t>Les prix du présent marché sont réputés établis sur la base des conditions économiques du mois de la date limite de remise des offres ; ce mois est appelé "mois zéro".</w:t>
      </w:r>
    </w:p>
    <w:p>
      <w:pPr>
        <w:pStyle w:val="Normal"/>
        <w:spacing w:before="200" w:after="0"/>
        <w:ind w:left="0" w:right="0" w:hanging="0"/>
        <w:jc w:val="both"/>
        <w:rPr>
          <w:highlight w:val="none"/>
          <w:shd w:fill="FFFFFF" w:val="clear"/>
        </w:rPr>
      </w:pPr>
      <w:r>
        <w:rPr>
          <w:rFonts w:eastAsia="Arial" w:cs="Arial"/>
          <w:color w:val="000000"/>
          <w:sz w:val="20"/>
          <w:shd w:fill="FFFFFF" w:val="clear"/>
        </w:rPr>
        <w:t xml:space="preserve"> </w:t>
      </w:r>
      <w:r>
        <w:rPr>
          <w:rFonts w:eastAsia="Arial" w:cs="Arial"/>
          <w:color w:val="000000"/>
          <w:sz w:val="20"/>
          <w:shd w:fill="FFFFFF" w:val="clear"/>
        </w:rPr>
        <w:t xml:space="preserve">Les prix du marché évoluent de la manière suivante en fonction de l'évolution des conditions économiques. </w:t>
      </w:r>
      <w:r>
        <w:rPr>
          <w:rFonts w:eastAsia="Arial" w:cs="Arial"/>
          <w:color w:val="000000"/>
          <w:sz w:val="20"/>
          <w:u w:val="single"/>
          <w:shd w:fill="FFFFFF" w:val="clear"/>
        </w:rPr>
        <w:t>Les prix sont révisables</w:t>
      </w:r>
      <w:r>
        <w:rPr>
          <w:rFonts w:eastAsia="Arial" w:cs="Arial"/>
          <w:color w:val="000000"/>
          <w:sz w:val="20"/>
          <w:shd w:fill="FFFFFF" w:val="clear"/>
        </w:rPr>
        <w:t>.</w:t>
      </w:r>
    </w:p>
    <w:p>
      <w:pPr>
        <w:pStyle w:val="Normal"/>
        <w:spacing w:before="200" w:after="0"/>
        <w:ind w:left="0" w:right="0" w:hanging="0"/>
        <w:jc w:val="both"/>
        <w:rPr>
          <w:highlight w:val="none"/>
          <w:shd w:fill="FFFFFF" w:val="clear"/>
        </w:rPr>
      </w:pPr>
      <w:r>
        <w:rPr>
          <w:rFonts w:eastAsia="Arial" w:cs="Arial"/>
          <w:color w:val="000000"/>
          <w:sz w:val="20"/>
          <w:shd w:fill="FFFFFF" w:val="clear"/>
        </w:rPr>
        <w:t>Pour déterminer les prix de règlement, il sera fait application de la formule de révision figurant ci-après.</w:t>
      </w:r>
    </w:p>
    <w:p>
      <w:pPr>
        <w:pStyle w:val="Normal"/>
        <w:spacing w:before="200" w:after="0"/>
        <w:ind w:left="0" w:right="0" w:hanging="0"/>
        <w:jc w:val="both"/>
        <w:rPr>
          <w:highlight w:val="none"/>
          <w:shd w:fill="FFFFFF" w:val="clear"/>
        </w:rPr>
      </w:pPr>
      <w:r>
        <w:rPr>
          <w:rFonts w:eastAsia="Arial" w:cs="Arial"/>
          <w:color w:val="000000"/>
          <w:sz w:val="20"/>
          <w:shd w:fill="FFFFFF" w:val="clear"/>
        </w:rPr>
        <w:t xml:space="preserve"> </w:t>
      </w:r>
      <w:r>
        <w:rPr>
          <w:rFonts w:eastAsia="Arial" w:cs="Arial"/>
          <w:color w:val="000000"/>
          <w:sz w:val="20"/>
          <w:shd w:fill="FFFFFF" w:val="clear"/>
        </w:rPr>
        <w:t>Les prix sont révisés annuellement, en application de la formule suivante :</w:t>
      </w:r>
    </w:p>
    <w:p>
      <w:pPr>
        <w:pStyle w:val="Normal"/>
        <w:spacing w:before="200" w:after="0"/>
        <w:ind w:left="0" w:right="0" w:hanging="0"/>
        <w:jc w:val="both"/>
        <w:rPr>
          <w:highlight w:val="none"/>
          <w:shd w:fill="FFFFFF" w:val="clear"/>
        </w:rPr>
      </w:pPr>
      <w:r>
        <w:rPr>
          <w:rFonts w:eastAsia="Arial" w:cs="Arial"/>
          <w:color w:val="000000"/>
          <w:sz w:val="20"/>
          <w:shd w:fill="FFFFFF" w:val="clear"/>
        </w:rPr>
        <w:t>P(n) = P(o)* [0.15+0.85*(I(n)/I(0))]</w:t>
      </w:r>
    </w:p>
    <w:p>
      <w:pPr>
        <w:pStyle w:val="Normal"/>
        <w:rPr>
          <w:highlight w:val="none"/>
          <w:shd w:fill="FFFF00" w:val="clear"/>
        </w:rPr>
      </w:pPr>
      <w:r>
        <w:rPr>
          <w:rFonts w:eastAsia="Arial" w:cs="Arial" w:ascii="arial" w:hAnsi="arial"/>
          <w:b w:val="false"/>
          <w:i w:val="false"/>
          <w:color w:val="000000"/>
          <w:sz w:val="20"/>
          <w:u w:val="none"/>
          <w:shd w:fill="FFFFFF" w:val="clear"/>
        </w:rPr>
        <w:t>Les paramètres figurant dans la formule ont la signification suivante :</w:t>
      </w:r>
    </w:p>
    <w:p>
      <w:pPr>
        <w:pStyle w:val="Normal"/>
        <w:spacing w:before="200" w:after="0"/>
        <w:ind w:left="0" w:right="0" w:hanging="0"/>
        <w:jc w:val="both"/>
        <w:rPr>
          <w:highlight w:val="none"/>
          <w:shd w:fill="FFFFFF" w:val="clear"/>
        </w:rPr>
      </w:pPr>
      <w:r>
        <w:rPr>
          <w:rFonts w:eastAsia="Arial" w:cs="Arial"/>
          <w:color w:val="000000"/>
          <w:sz w:val="20"/>
          <w:shd w:fill="FFFFFF" w:val="clear"/>
        </w:rPr>
        <w:t>P (n) : Prix après révision</w:t>
      </w:r>
    </w:p>
    <w:p>
      <w:pPr>
        <w:pStyle w:val="Normal"/>
        <w:spacing w:before="200" w:after="0"/>
        <w:ind w:left="0" w:right="0" w:hanging="0"/>
        <w:jc w:val="both"/>
        <w:rPr>
          <w:highlight w:val="none"/>
          <w:shd w:fill="FFFFFF" w:val="clear"/>
        </w:rPr>
      </w:pPr>
      <w:r>
        <w:rPr>
          <w:rFonts w:eastAsia="Arial" w:cs="Arial"/>
          <w:color w:val="000000"/>
          <w:sz w:val="20"/>
          <w:shd w:fill="FFFFFF" w:val="clear"/>
        </w:rPr>
        <w:t>P (0) : Prix à la date limite de remise des offres</w:t>
      </w:r>
    </w:p>
    <w:p>
      <w:pPr>
        <w:pStyle w:val="Normal"/>
        <w:spacing w:before="200" w:after="0"/>
        <w:ind w:left="0" w:right="0" w:hanging="0"/>
        <w:jc w:val="both"/>
        <w:rPr>
          <w:highlight w:val="none"/>
          <w:shd w:fill="FFFFFF" w:val="clear"/>
        </w:rPr>
      </w:pPr>
      <w:r>
        <w:rPr>
          <w:rFonts w:eastAsia="Arial" w:cs="Arial"/>
          <w:color w:val="000000"/>
          <w:sz w:val="20"/>
          <w:shd w:fill="FFFFFF" w:val="clear"/>
        </w:rPr>
        <w:t>I (n) : valeur de l’ Indice des prix de production des services français aux entreprises françaises (BtoB) − CPF 79.90 − Autres services de réservation et services connexes  Prix de marché − Base 2015 − Données trimestrielles brutes – Identifiant 010546194, pris annuellement.</w:t>
      </w:r>
    </w:p>
    <w:p>
      <w:pPr>
        <w:pStyle w:val="Normal"/>
        <w:spacing w:before="200" w:after="0"/>
        <w:ind w:left="0" w:right="0" w:hanging="0"/>
        <w:jc w:val="both"/>
        <w:rPr>
          <w:highlight w:val="none"/>
          <w:shd w:fill="FFFFFF" w:val="clear"/>
        </w:rPr>
      </w:pPr>
      <w:r>
        <w:rPr>
          <w:rFonts w:eastAsia="Arial" w:cs="Arial"/>
          <w:color w:val="000000"/>
          <w:sz w:val="20"/>
          <w:shd w:fill="FFFFFF" w:val="clear"/>
        </w:rPr>
        <w:t xml:space="preserve">I (0) : Même indice pris à la date limite de remise des offres. </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single"/>
          <w:shd w:fill="FFFFFF" w:val="clear"/>
        </w:rPr>
        <w:t>Révision provisoire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Lorsqu'une révision a été effectuée provisoirement en utilisant un index antérieur à celui qui doit être appliqué, il n'est procédé à aucune autre révision avant la révision définitive, laquelle intervient sur le premier acompte suivant la parution de l'index correspondant.</w:t>
      </w:r>
    </w:p>
    <w:p>
      <w:pPr>
        <w:pStyle w:val="Normal"/>
        <w:spacing w:before="120" w:after="0"/>
        <w:rPr/>
      </w:pPr>
      <w:r>
        <w:rPr/>
      </w:r>
    </w:p>
    <w:p>
      <w:pPr>
        <w:pStyle w:val="Normal"/>
        <w:rPr/>
      </w:pPr>
      <w:r>
        <w:rPr/>
      </w:r>
    </w:p>
    <w:p>
      <w:pPr>
        <w:pStyle w:val="Titre2"/>
        <w:numPr>
          <w:ilvl w:val="1"/>
          <w:numId w:val="2"/>
        </w:numPr>
        <w:rPr/>
      </w:pPr>
      <w:bookmarkStart w:id="35" w:name="_Toc4178"/>
      <w:r>
        <w:rPr/>
        <w:t>Disparition d'indice</w:t>
      </w:r>
      <w:bookmarkEnd w:id="35"/>
    </w:p>
    <w:p>
      <w:pPr>
        <w:pStyle w:val="Normal"/>
        <w:rPr>
          <w:highlight w:val="none"/>
          <w:shd w:fill="FFFFFF" w:val="clear"/>
        </w:rPr>
      </w:pPr>
      <w:r>
        <w:rPr>
          <w:rFonts w:eastAsia="arial" w:cs="arial" w:ascii="arial" w:hAnsi="arial"/>
          <w:b w:val="false"/>
          <w:i w:val="false"/>
          <w:color w:val="000000"/>
          <w:sz w:val="20"/>
          <w:u w:val="none"/>
          <w:shd w:fill="FFFFFF" w:val="clear"/>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Dans l'hypothèse où aucun indice de substitution ne serait préconisé, les parties conviennent que la substitution d'indice sera effectuée par avenant après accord de chacune d'elles.</w:t>
      </w:r>
    </w:p>
    <w:p>
      <w:pPr>
        <w:pStyle w:val="Titre1"/>
        <w:numPr>
          <w:ilvl w:val="0"/>
          <w:numId w:val="2"/>
        </w:numPr>
        <w:rPr>
          <w:highlight w:val="none"/>
          <w:shd w:fill="FFFFFF" w:val="clear"/>
        </w:rPr>
      </w:pPr>
      <w:bookmarkStart w:id="36" w:name="_Toc4179"/>
      <w:r>
        <w:rPr>
          <w:shd w:fill="FFFFFF" w:val="clear"/>
        </w:rPr>
        <w:t>AVANCE</w:t>
      </w:r>
      <w:bookmarkEnd w:id="36"/>
    </w:p>
    <w:p>
      <w:pPr>
        <w:pStyle w:val="Titre2"/>
        <w:numPr>
          <w:ilvl w:val="1"/>
          <w:numId w:val="2"/>
        </w:numPr>
        <w:rPr/>
      </w:pPr>
      <w:bookmarkStart w:id="37" w:name="_Toc4180"/>
      <w:r>
        <w:rPr/>
        <w:t>Régime de l'avance</w:t>
      </w:r>
      <w:bookmarkEnd w:id="37"/>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Sauf renoncement du titulaire porté à l'acte d'engagement, une avance sera versée au titulaire, dans les cas et selon les modalités prévues aux articles R2191-3 à 19 du Code de la commande publique et à l'acte d'engagement.</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Elle est versée le cas échéant dans le délai de 30 jours à compter de la date de début du délai contractuel d'exécution du marché, du bon de commande ou de la tranche.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L'avance est remboursée dans les conditions prévues aux articles R2191-11, R2191-12 et R2191-29 du Code de la commande publique.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Normal"/>
        <w:spacing w:before="120" w:after="0"/>
        <w:rPr>
          <w:highlight w:val="none"/>
          <w:shd w:fill="FFFFFF" w:val="clear"/>
        </w:rPr>
      </w:pPr>
      <w:r>
        <w:rPr>
          <w:shd w:fill="FFFFFF" w:val="clear"/>
        </w:rPr>
      </w:r>
    </w:p>
    <w:p>
      <w:pPr>
        <w:pStyle w:val="Titre2"/>
        <w:numPr>
          <w:ilvl w:val="1"/>
          <w:numId w:val="2"/>
        </w:numPr>
        <w:rPr/>
      </w:pPr>
      <w:bookmarkStart w:id="38" w:name="_Toc4181"/>
      <w:r>
        <w:rPr/>
        <w:t>Dispositions complémentaires</w:t>
      </w:r>
      <w:bookmarkEnd w:id="38"/>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L'avance ne pourra toutefois être versée qu'après constitution par le titulaire d'une garantie à première demande ou, si le pouvoir adjudicateur en a donné son accord, d'une caution personnelle et solidaire d'un montant de 100 % du montant de l'avance et dont l'objet est de garantir le remboursement de l'avance consentie.</w:t>
      </w:r>
    </w:p>
    <w:p>
      <w:pPr>
        <w:pStyle w:val="Titre1"/>
        <w:numPr>
          <w:ilvl w:val="0"/>
          <w:numId w:val="2"/>
        </w:numPr>
        <w:rPr/>
      </w:pPr>
      <w:bookmarkStart w:id="39" w:name="_Toc4182"/>
      <w:r>
        <w:rPr/>
        <w:t>MODALITÉS DE R</w:t>
      </w:r>
      <w:bookmarkEnd w:id="39"/>
      <w:r>
        <w:rPr/>
        <w:t>ÈGLEMENT</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 Il n'est pas prévu de disposition complémentaire.</w:t>
      </w:r>
    </w:p>
    <w:p>
      <w:pPr>
        <w:pStyle w:val="Titre1"/>
        <w:numPr>
          <w:ilvl w:val="0"/>
          <w:numId w:val="2"/>
        </w:numPr>
        <w:rPr/>
      </w:pPr>
      <w:bookmarkStart w:id="40" w:name="_Toc4183"/>
      <w:r>
        <w:rPr>
          <w:shd w:fill="FFFFFF" w:val="clear"/>
        </w:rPr>
        <w:t>PAIEMENT ET ÉTABLISSEMENT DE LA</w:t>
      </w:r>
      <w:r>
        <w:rPr/>
        <w:t xml:space="preserve"> FACTURE</w:t>
      </w:r>
      <w:bookmarkEnd w:id="40"/>
    </w:p>
    <w:p>
      <w:pPr>
        <w:pStyle w:val="Titre2"/>
        <w:numPr>
          <w:ilvl w:val="1"/>
          <w:numId w:val="2"/>
        </w:numPr>
        <w:rPr/>
      </w:pPr>
      <w:bookmarkStart w:id="41" w:name="_Toc4184"/>
      <w:r>
        <w:rPr/>
        <w:t>Délais de paiements</w:t>
      </w:r>
      <w:bookmarkEnd w:id="41"/>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délai global de paiement pourra être suspendu dans les conditions prévues par la réglementation en vigueur.</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2"/>
        <w:numPr>
          <w:ilvl w:val="1"/>
          <w:numId w:val="2"/>
        </w:numPr>
        <w:rPr/>
      </w:pPr>
      <w:bookmarkStart w:id="42" w:name="_Toc4185"/>
      <w:r>
        <w:rPr/>
        <w:t>Intérêts moratoires</w:t>
      </w:r>
      <w:bookmarkEnd w:id="42"/>
    </w:p>
    <w:p>
      <w:pPr>
        <w:pStyle w:val="Normal"/>
        <w:rPr/>
      </w:pPr>
      <w:r>
        <w:rPr>
          <w:rFonts w:eastAsia="arial" w:cs="arial" w:ascii="arial" w:hAnsi="arial"/>
          <w:b w:val="false"/>
          <w:i w:val="false"/>
          <w:color w:val="000000"/>
          <w:sz w:val="20"/>
          <w:u w:val="none"/>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montant de l'indemnité forfaitaire pour frais de recouvrement est fixé à 40 Euros conformément à l'article D2192-35 du Code de la commande publique.</w:t>
      </w:r>
    </w:p>
    <w:p>
      <w:pPr>
        <w:pStyle w:val="Titre2"/>
        <w:numPr>
          <w:ilvl w:val="1"/>
          <w:numId w:val="2"/>
        </w:numPr>
        <w:rPr/>
      </w:pPr>
      <w:bookmarkStart w:id="43" w:name="_Toc4186"/>
      <w:r>
        <w:rPr/>
        <w:t>Modalités de paiement direct des sous-traitants</w:t>
      </w:r>
      <w:bookmarkEnd w:id="43"/>
    </w:p>
    <w:p>
      <w:pPr>
        <w:pStyle w:val="Normal"/>
        <w:rPr/>
      </w:pPr>
      <w:r>
        <w:rPr>
          <w:rFonts w:eastAsia="arial" w:cs="arial" w:ascii="arial" w:hAnsi="arial"/>
          <w:b w:val="false"/>
          <w:i w:val="false"/>
          <w:color w:val="000000"/>
          <w:sz w:val="20"/>
          <w:u w:val="none"/>
        </w:rPr>
        <w:t>Sans objet.</w:t>
      </w:r>
    </w:p>
    <w:p>
      <w:pPr>
        <w:pStyle w:val="Titre2"/>
        <w:numPr>
          <w:ilvl w:val="1"/>
          <w:numId w:val="2"/>
        </w:numPr>
        <w:rPr/>
      </w:pPr>
      <w:bookmarkStart w:id="44" w:name="_Toc4187"/>
      <w:r>
        <w:rPr/>
        <w:t>Présentation des demandes de paiement</w:t>
      </w:r>
      <w:bookmarkEnd w:id="44"/>
    </w:p>
    <w:p>
      <w:pPr>
        <w:pStyle w:val="Normal"/>
        <w:rPr>
          <w:highlight w:val="none"/>
          <w:shd w:fill="FFFFFF" w:val="clear"/>
        </w:rPr>
      </w:pPr>
      <w:r>
        <w:rPr>
          <w:rFonts w:eastAsia="arial" w:cs="arial" w:ascii="arial" w:hAnsi="arial"/>
          <w:b w:val="false"/>
          <w:i w:val="false"/>
          <w:color w:val="000000"/>
          <w:sz w:val="20"/>
          <w:u w:val="none"/>
          <w:shd w:fill="FFFFFF" w:val="clear"/>
        </w:rPr>
        <w:t>Les factures afférentes au marché sont établies en un original portant, outre les mentions légales, les indications suivantes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Le nom / la raison sociale et l'adresses du créancier Les factures dématérialisées indiquent l'adresse suivante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numéro de SIRET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numéro de son compte bancaire ou postal tel qu'il est précisé à l'acte d'engagement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numéro et la date du marché et de chaque avenant </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 La date et le numéro du bon de commande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 nature des prestations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La quantité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prix de base hors révision et hors taxes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xml:space="preserve">- Le taux et le montant de la T.V.A.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Le montant total de la facture en euro HT et TTC</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 date et le numéro de facture.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Les factures dématérialisées indiquent l'adresse suivante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Ville de Marseille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Direction de la Santé Publique et de l’Inclusion</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Centre de Vaccinations Internationales</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2, Place François Mireur</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Immeuble Communica</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13 233 MARSEILLE CEDEX 20</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CCAG/TIC.</w:t>
      </w:r>
    </w:p>
    <w:p>
      <w:pPr>
        <w:pStyle w:val="Normal"/>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N° de TVA intracommunautaire de la Ville de Marseille : FR75211300553</w:t>
      </w:r>
    </w:p>
    <w:p>
      <w:pPr>
        <w:pStyle w:val="Normal"/>
        <w:rPr/>
      </w:pPr>
      <w:r>
        <w:rPr/>
      </w:r>
    </w:p>
    <w:p>
      <w:pPr>
        <w:pStyle w:val="Titre2"/>
        <w:numPr>
          <w:ilvl w:val="1"/>
          <w:numId w:val="2"/>
        </w:numPr>
        <w:rPr/>
      </w:pPr>
      <w:bookmarkStart w:id="45" w:name="_Toc4188"/>
      <w:r>
        <w:rPr/>
        <w:t>Dématérialisation des factures</w:t>
      </w:r>
      <w:bookmarkEnd w:id="45"/>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rPr>
        <w:t>Le titulaire, ainsi que ses éventuels sous-traitants admis au paiement direct, transmettent leurs factures sous forme électronique, conformément aux dispositions des articles L2192-1 à L2192-7 et D2192-1 à D2192-3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Toutes les informations utiles aux modalités d'utilisation du portail et de transmission des factures sont </w:t>
      </w:r>
      <w:r>
        <w:rPr>
          <w:rFonts w:eastAsia="arial" w:cs="arial" w:ascii="arial" w:hAnsi="arial"/>
          <w:b/>
          <w:i w:val="false"/>
          <w:color w:val="000000"/>
          <w:sz w:val="20"/>
          <w:u w:val="single"/>
        </w:rPr>
        <w:t>disponibles directement sur le site</w:t>
      </w: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Pour accéder à la « structure »(au sens CHORUS PRO) Ville de Marseille adéquate, le titulaire sera informé du </w:t>
      </w:r>
      <w:r>
        <w:rPr>
          <w:rFonts w:eastAsia="arial" w:cs="arial" w:ascii="arial" w:hAnsi="arial"/>
          <w:b/>
          <w:i w:val="false"/>
          <w:color w:val="000000"/>
          <w:sz w:val="20"/>
          <w:u w:val="single"/>
        </w:rPr>
        <w:t>numéro SIRET</w:t>
      </w:r>
      <w:r>
        <w:rPr>
          <w:rFonts w:eastAsia="arial" w:cs="arial" w:ascii="arial" w:hAnsi="arial"/>
          <w:b w:val="false"/>
          <w:i w:val="false"/>
          <w:color w:val="000000"/>
          <w:sz w:val="20"/>
          <w:u w:val="none"/>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De même, la Ville de Marseille a choisi de rendre obligatoire la </w:t>
      </w:r>
      <w:r>
        <w:rPr>
          <w:rFonts w:eastAsia="arial" w:cs="arial" w:ascii="arial" w:hAnsi="arial"/>
          <w:b/>
          <w:i w:val="false"/>
          <w:color w:val="000000"/>
          <w:sz w:val="20"/>
          <w:u w:val="single"/>
        </w:rPr>
        <w:t>référence à l'engagement</w:t>
      </w:r>
      <w:r>
        <w:rPr>
          <w:rFonts w:eastAsia="arial" w:cs="arial" w:ascii="arial" w:hAnsi="arial"/>
          <w:b w:val="false"/>
          <w:i w:val="false"/>
          <w:color w:val="000000"/>
          <w:sz w:val="20"/>
          <w:u w:val="none"/>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Sous peine d'irrecevabilité, les factures seront déposées dans CHORUS PRO en respectant l'obligation de renseignement exact des 2 numéros précités.</w:t>
      </w:r>
    </w:p>
    <w:p>
      <w:pPr>
        <w:pStyle w:val="Normal"/>
        <w:spacing w:before="120" w:after="0"/>
        <w:rPr/>
      </w:pPr>
      <w:r>
        <w:rPr/>
      </w:r>
    </w:p>
    <w:p>
      <w:pPr>
        <w:pStyle w:val="Normal"/>
        <w:spacing w:before="120" w:after="0"/>
        <w:rPr/>
      </w:pPr>
      <w:r>
        <w:rPr/>
      </w:r>
    </w:p>
    <w:p>
      <w:pPr>
        <w:pStyle w:val="Titre1"/>
        <w:numPr>
          <w:ilvl w:val="0"/>
          <w:numId w:val="2"/>
        </w:numPr>
        <w:rPr/>
      </w:pPr>
      <w:r>
        <w:rPr/>
        <w:t>PÉNALITÉS</w:t>
      </w:r>
    </w:p>
    <w:p>
      <w:pPr>
        <w:pStyle w:val="Titre1"/>
        <w:numPr>
          <w:ilvl w:val="0"/>
          <w:numId w:val="0"/>
        </w:numPr>
        <w:ind w:left="0" w:hanging="0"/>
        <w:rPr/>
      </w:pPr>
      <w:r>
        <w:rPr/>
      </w:r>
    </w:p>
    <w:p>
      <w:pPr>
        <w:pStyle w:val="Titre2"/>
        <w:numPr>
          <w:ilvl w:val="1"/>
          <w:numId w:val="2"/>
        </w:numPr>
        <w:rPr/>
      </w:pPr>
      <w:bookmarkStart w:id="46" w:name="_Toc4190"/>
      <w:r>
        <w:rPr/>
        <w:t>Pénalités de retard</w:t>
      </w:r>
      <w:bookmarkEnd w:id="46"/>
    </w:p>
    <w:p>
      <w:pPr>
        <w:pStyle w:val="Normal"/>
        <w:rPr>
          <w:rFonts w:ascii="arial" w:hAnsi="arial" w:eastAsia="arial" w:cs="arial"/>
          <w:b w:val="false"/>
          <w:b w:val="false"/>
          <w:bCs w:val="false"/>
          <w:i w:val="false"/>
          <w:i w:val="false"/>
          <w:color w:val="000000"/>
          <w:sz w:val="20"/>
          <w:szCs w:val="20"/>
          <w:u w:val="none"/>
        </w:rPr>
      </w:pPr>
      <w:r>
        <w:rPr>
          <w:rFonts w:eastAsia="arial" w:cs="arial" w:ascii="arial" w:hAnsi="arial"/>
          <w:b w:val="false"/>
          <w:bCs w:val="false"/>
          <w:i w:val="false"/>
          <w:color w:val="000000"/>
          <w:sz w:val="20"/>
          <w:szCs w:val="20"/>
          <w:u w:val="none"/>
        </w:rPr>
      </w:r>
    </w:p>
    <w:p>
      <w:pPr>
        <w:pStyle w:val="Normal"/>
        <w:rPr>
          <w:highlight w:val="none"/>
          <w:shd w:fill="FFFFFF" w:val="clear"/>
        </w:rPr>
      </w:pPr>
      <w:r>
        <w:rPr>
          <w:rFonts w:eastAsia="arial" w:cs="arial" w:ascii="arial" w:hAnsi="arial"/>
          <w:b w:val="false"/>
          <w:i w:val="false"/>
          <w:color w:val="000000"/>
          <w:sz w:val="20"/>
          <w:u w:val="none"/>
          <w:shd w:fill="FFFFFF" w:val="clear"/>
        </w:rPr>
        <w:t>Par dérogation à l'article 14.1.1 du CCAG TIC, le titulaire subira, par rapport au délai fixé,</w:t>
      </w:r>
      <w:r>
        <w:rPr>
          <w:rFonts w:eastAsia="arial" w:cs="arial" w:ascii="arial" w:hAnsi="arial"/>
          <w:b/>
          <w:i w:val="false"/>
          <w:color w:val="000000"/>
          <w:sz w:val="20"/>
          <w:u w:val="none"/>
          <w:shd w:fill="FFFFFF" w:val="clear"/>
        </w:rPr>
        <w:t xml:space="preserve"> et sans mise en demeure préalable</w:t>
      </w:r>
      <w:r>
        <w:rPr>
          <w:rFonts w:eastAsia="arial" w:cs="arial" w:ascii="arial" w:hAnsi="arial"/>
          <w:b w:val="false"/>
          <w:i w:val="false"/>
          <w:color w:val="000000"/>
          <w:sz w:val="20"/>
          <w:u w:val="none"/>
          <w:shd w:fill="FFFFFF" w:val="clear"/>
        </w:rPr>
        <w:t>, une pénalité de :</w:t>
      </w:r>
    </w:p>
    <w:p>
      <w:pPr>
        <w:pStyle w:val="Normal"/>
        <w:rPr>
          <w:highlight w:val="none"/>
          <w:shd w:fill="FFFFFF" w:val="clear"/>
        </w:rPr>
      </w:pPr>
      <w:r>
        <w:rPr>
          <w:rFonts w:eastAsia="arial" w:cs="arial" w:ascii="arial" w:hAnsi="arial"/>
          <w:b w:val="false"/>
          <w:i w:val="false"/>
          <w:color w:val="000000"/>
          <w:sz w:val="20"/>
          <w:u w:val="none"/>
          <w:shd w:fill="FFFFFF" w:val="clear"/>
        </w:rPr>
        <w:t>*50 Euros par heure de retard, en cas de dépassement des heures d'indisponibilités tolérées</w:t>
      </w:r>
    </w:p>
    <w:p>
      <w:pPr>
        <w:pStyle w:val="Normal"/>
        <w:rPr>
          <w:highlight w:val="none"/>
          <w:shd w:fill="FFFFFF" w:val="clear"/>
        </w:rPr>
      </w:pPr>
      <w:r>
        <w:rPr>
          <w:rFonts w:eastAsia="arial" w:cs="arial" w:ascii="arial" w:hAnsi="arial"/>
          <w:b w:val="false"/>
          <w:i w:val="false"/>
          <w:color w:val="000000"/>
          <w:sz w:val="20"/>
          <w:u w:val="none"/>
          <w:shd w:fill="FFFFFF" w:val="clear"/>
        </w:rPr>
        <w:t>*200 Euros par jour de retard, en cas de dépassement du délais d'accès à l'application après notification du marché.</w:t>
      </w:r>
    </w:p>
    <w:p>
      <w:pPr>
        <w:pStyle w:val="Normal"/>
        <w:rPr>
          <w:highlight w:val="none"/>
          <w:shd w:fill="FFFFFF" w:val="clear"/>
        </w:rPr>
      </w:pPr>
      <w:r>
        <w:rPr>
          <w:rFonts w:eastAsia="arial" w:cs="arial" w:ascii="arial" w:hAnsi="arial"/>
          <w:b w:val="false"/>
          <w:i w:val="false"/>
          <w:color w:val="000000"/>
          <w:sz w:val="20"/>
          <w:u w:val="none"/>
          <w:shd w:fill="FFFFFF" w:val="clear"/>
        </w:rPr>
        <w:t>*50 euros pas heure en cas de non réponse du référent du support technique durant les heures de disponibilité prévues</w:t>
      </w:r>
    </w:p>
    <w:p>
      <w:pPr>
        <w:pStyle w:val="Normal"/>
        <w:rPr>
          <w:highlight w:val="none"/>
          <w:shd w:fill="FFFFFF" w:val="clear"/>
        </w:rPr>
      </w:pPr>
      <w:r>
        <w:rPr>
          <w:rFonts w:eastAsia="arial" w:cs="arial" w:ascii="arial" w:hAnsi="arial"/>
          <w:b w:val="false"/>
          <w:bCs w:val="false"/>
          <w:i w:val="false"/>
          <w:color w:val="000000"/>
          <w:sz w:val="20"/>
          <w:szCs w:val="20"/>
          <w:u w:val="none"/>
          <w:shd w:fill="FFFFFF" w:val="clear"/>
        </w:rPr>
        <w:t xml:space="preserve">Par dérogation à l’article 14.1.2 du CCAG TIC </w:t>
      </w:r>
      <w:r>
        <w:rPr>
          <w:rFonts w:eastAsia="arial" w:cs="arial" w:ascii="arial" w:hAnsi="arial"/>
          <w:b/>
          <w:i w:val="false"/>
          <w:color w:val="000000"/>
          <w:sz w:val="20"/>
          <w:u w:val="none"/>
          <w:shd w:fill="FFFFFF" w:val="clear"/>
        </w:rPr>
        <w:t>les pénalités sont plafonnées à 30%</w:t>
      </w:r>
      <w:r>
        <w:rPr>
          <w:rFonts w:eastAsia="arial" w:cs="arial" w:ascii="arial" w:hAnsi="arial"/>
          <w:b w:val="false"/>
          <w:bCs w:val="false"/>
          <w:i w:val="false"/>
          <w:color w:val="000000"/>
          <w:sz w:val="20"/>
          <w:szCs w:val="20"/>
          <w:u w:val="none"/>
          <w:shd w:fill="FFFFFF" w:val="clear"/>
        </w:rPr>
        <w:t xml:space="preserve"> du montant annuel du marché.</w:t>
      </w:r>
    </w:p>
    <w:p>
      <w:pPr>
        <w:pStyle w:val="Normal"/>
        <w:rPr>
          <w:rFonts w:ascii="arial" w:hAnsi="arial" w:eastAsia="arial" w:cs="arial"/>
          <w:b w:val="false"/>
          <w:b w:val="false"/>
          <w:bCs w:val="false"/>
          <w:i w:val="false"/>
          <w:i w:val="false"/>
          <w:color w:val="000000"/>
          <w:sz w:val="20"/>
          <w:szCs w:val="20"/>
          <w:u w:val="none"/>
        </w:rPr>
      </w:pPr>
      <w:r>
        <w:rPr>
          <w:rFonts w:eastAsia="arial" w:cs="arial" w:ascii="arial" w:hAnsi="arial"/>
          <w:b w:val="false"/>
          <w:bCs w:val="false"/>
          <w:i w:val="false"/>
          <w:color w:val="000000"/>
          <w:sz w:val="20"/>
          <w:szCs w:val="20"/>
          <w:u w:val="none"/>
        </w:rPr>
        <w:t>Par dérogation à l’article 14.1.3 du CCAG TIC le titulaire ne bénéficie d’aucun seuil d’exonération des pénalités. Elles ne s’arrêtent que lorsqu’une constatation d’une situation conforme et stabilisée sur une période d’au moins deux jours consécutifs.</w:t>
      </w:r>
    </w:p>
    <w:p>
      <w:pPr>
        <w:pStyle w:val="Normal"/>
        <w:rPr>
          <w:rFonts w:ascii="arial" w:hAnsi="arial" w:eastAsia="arial" w:cs="arial"/>
          <w:b w:val="false"/>
          <w:b w:val="false"/>
          <w:bCs w:val="false"/>
          <w:i w:val="false"/>
          <w:i w:val="false"/>
          <w:color w:val="000000"/>
          <w:sz w:val="20"/>
          <w:szCs w:val="20"/>
          <w:u w:val="none"/>
        </w:rPr>
      </w:pPr>
      <w:r>
        <w:rPr>
          <w:rFonts w:eastAsia="arial" w:cs="arial" w:ascii="arial" w:hAnsi="arial"/>
          <w:b w:val="false"/>
          <w:bCs w:val="false"/>
          <w:i w:val="false"/>
          <w:color w:val="000000"/>
          <w:sz w:val="20"/>
          <w:szCs w:val="20"/>
          <w:u w:val="none"/>
        </w:rPr>
      </w:r>
    </w:p>
    <w:p>
      <w:pPr>
        <w:pStyle w:val="Titre2"/>
        <w:numPr>
          <w:ilvl w:val="1"/>
          <w:numId w:val="2"/>
        </w:numPr>
        <w:rPr/>
      </w:pPr>
      <w:bookmarkStart w:id="47" w:name="_Toc4191"/>
      <w:r>
        <w:rPr/>
        <w:t>Pénalités pour non respect des dispositions du Code du Travail</w:t>
      </w:r>
      <w:bookmarkEnd w:id="47"/>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FFFFFF" w:val="clear"/>
        </w:rPr>
        <w:t>de</w:t>
      </w:r>
      <w:r>
        <w:rPr>
          <w:rFonts w:eastAsia="arial" w:cs="arial" w:ascii="arial" w:hAnsi="arial"/>
          <w:b w:val="false"/>
          <w:i w:val="false"/>
          <w:color w:val="000000"/>
          <w:sz w:val="20"/>
          <w:u w:val="none"/>
          <w:shd w:fill="FFFFFF" w:val="clear"/>
        </w:rPr>
        <w:t xml:space="preserve"> 50 </w:t>
      </w:r>
      <w:r>
        <w:rPr>
          <w:rFonts w:eastAsia="arial" w:cs="arial" w:ascii="arial" w:hAnsi="arial"/>
          <w:b/>
          <w:i w:val="false"/>
          <w:color w:val="000000"/>
          <w:sz w:val="20"/>
          <w:u w:val="none"/>
          <w:shd w:fill="FFFFFF" w:val="clear"/>
        </w:rPr>
        <w:t>euros par jour de retard.</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pPr>
      <w:bookmarkStart w:id="48" w:name="_Toc4192"/>
      <w:r>
        <w:rPr/>
        <w:t>Autres pénalités</w:t>
      </w:r>
      <w:bookmarkEnd w:id="48"/>
    </w:p>
    <w:p>
      <w:pPr>
        <w:pStyle w:val="Normal"/>
        <w:rPr>
          <w:highlight w:val="none"/>
          <w:shd w:fill="FFFFFF" w:val="clear"/>
        </w:rPr>
      </w:pPr>
      <w:r>
        <w:rPr>
          <w:rFonts w:eastAsia="arial" w:cs="arial" w:ascii="arial" w:hAnsi="arial"/>
          <w:b w:val="false"/>
          <w:i w:val="false"/>
          <w:color w:val="000000"/>
          <w:sz w:val="20"/>
          <w:u w:val="none"/>
          <w:shd w:fill="FFFFFF" w:val="clear"/>
        </w:rPr>
        <w:t>Il n'est pas prévu d'autres pénalités.</w:t>
      </w:r>
    </w:p>
    <w:p>
      <w:pPr>
        <w:pStyle w:val="Titre1"/>
        <w:numPr>
          <w:ilvl w:val="0"/>
          <w:numId w:val="2"/>
        </w:numPr>
        <w:rPr/>
      </w:pPr>
      <w:bookmarkStart w:id="49" w:name="_Toc4193"/>
      <w:r>
        <w:rPr/>
        <w:t>RÉSILIATION ET EXÉCUTION DES PRESTATIONS AUX FRAIS ET RISQUES DU TITULAIRE</w:t>
      </w:r>
      <w:bookmarkEnd w:id="49"/>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L'ensemble des dispositions du CCAG/TIC (chapitre 8) est applicable.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 du titulaire, le pouvoir adjudicateur peut faire procéder par un tiers à l'exécution des prestations prévues par le marché, aux frais et risques du titulaire (article 54 du CCAG TIC).</w:t>
      </w:r>
    </w:p>
    <w:p>
      <w:pPr>
        <w:pStyle w:val="Normal"/>
        <w:spacing w:before="120" w:after="0"/>
        <w:rPr>
          <w:highlight w:val="none"/>
          <w:shd w:fill="FFFFFF" w:val="clear"/>
        </w:rPr>
      </w:pPr>
      <w:r>
        <w:rPr>
          <w:shd w:fill="FFFFFF"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décision de l'acheteur d'arrêter l'exécution des prestations à l'issue de la période de transition entraînera, sans indemnités, la résiliation du marché, en application des articles 41 et 49.3 du CCAG TIC.</w:t>
      </w:r>
    </w:p>
    <w:p>
      <w:pPr>
        <w:pStyle w:val="Normal"/>
        <w:rPr/>
      </w:pPr>
      <w:r>
        <w:rPr>
          <w:rFonts w:eastAsia="arial" w:cs="arial" w:ascii="arial" w:hAnsi="arial"/>
          <w:b w:val="false"/>
          <w:i w:val="false"/>
          <w:color w:val="000000"/>
          <w:sz w:val="20"/>
          <w:u w:val="none"/>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50" w:name="_Toc4194"/>
      <w:r>
        <w:rPr/>
        <w:t>CLAUSES DE GESTION DES D</w:t>
      </w:r>
      <w:bookmarkEnd w:id="50"/>
      <w:r>
        <w:rPr/>
        <w:t>ONNÉES</w:t>
      </w:r>
    </w:p>
    <w:p>
      <w:pPr>
        <w:pStyle w:val="Titre2"/>
        <w:numPr>
          <w:ilvl w:val="1"/>
          <w:numId w:val="2"/>
        </w:numPr>
        <w:rPr/>
      </w:pPr>
      <w:bookmarkStart w:id="51" w:name="_Toc4195"/>
      <w:r>
        <w:rPr/>
        <w:t>Les contraintes réglementaires</w:t>
      </w:r>
      <w:bookmarkEnd w:id="51"/>
    </w:p>
    <w:p>
      <w:pPr>
        <w:pStyle w:val="Titre3"/>
        <w:numPr>
          <w:ilvl w:val="2"/>
          <w:numId w:val="2"/>
        </w:numPr>
        <w:rPr/>
      </w:pPr>
      <w:bookmarkStart w:id="52" w:name="_Toc4196"/>
      <w:r>
        <w:rPr/>
        <w:t>Le RGS</w:t>
      </w:r>
      <w:bookmarkEnd w:id="52"/>
    </w:p>
    <w:p>
      <w:pPr>
        <w:pStyle w:val="Normal"/>
        <w:rPr/>
      </w:pPr>
      <w:r>
        <w:rPr>
          <w:rFonts w:eastAsia="arial" w:cs="arial" w:ascii="arial" w:hAnsi="arial"/>
          <w:b w:val="false"/>
          <w:i w:val="false"/>
          <w:color w:val="000000"/>
          <w:sz w:val="20"/>
          <w:u w:val="none"/>
        </w:rPr>
        <w:t xml:space="preserve">Le décret </w:t>
      </w:r>
      <w:r>
        <w:rPr>
          <w:rFonts w:eastAsia="arial" w:cs="arial" w:ascii="arial" w:hAnsi="arial"/>
          <w:b/>
          <w:i w:val="false"/>
          <w:color w:val="000000"/>
          <w:sz w:val="20"/>
          <w:u w:val="none"/>
        </w:rPr>
        <w:t>RGS</w:t>
      </w:r>
      <w:r>
        <w:rPr>
          <w:rFonts w:eastAsia="arial" w:cs="arial" w:ascii="arial" w:hAnsi="arial"/>
          <w:b w:val="false"/>
          <w:i/>
          <w:color w:val="000000"/>
          <w:sz w:val="20"/>
          <w:u w:val="none"/>
        </w:rPr>
        <w:t>(Référentiel Général de Sécurité)</w:t>
      </w:r>
      <w:r>
        <w:rPr>
          <w:rFonts w:eastAsia="arial" w:cs="arial" w:ascii="arial" w:hAnsi="arial"/>
          <w:b w:val="false"/>
          <w:i w:val="false"/>
          <w:color w:val="000000"/>
          <w:sz w:val="20"/>
          <w:u w:val="none"/>
        </w:rPr>
        <w:t>, pris en application de</w:t>
      </w:r>
      <w:r>
        <w:rPr>
          <w:rFonts w:eastAsia="arial" w:cs="arial" w:ascii="arial" w:hAnsi="arial"/>
          <w:b/>
          <w:i w:val="false"/>
          <w:color w:val="000000"/>
          <w:sz w:val="20"/>
          <w:u w:val="none"/>
        </w:rPr>
        <w:t xml:space="preserve"> l'ordonnance n° 2005-1516 du 8 Décembre 2005</w:t>
      </w:r>
      <w:r>
        <w:rPr>
          <w:rFonts w:eastAsia="arial" w:cs="arial" w:ascii="arial" w:hAnsi="arial"/>
          <w:b w:val="false"/>
          <w:i w:val="false"/>
          <w:color w:val="000000"/>
          <w:sz w:val="20"/>
          <w:u w:val="none"/>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rPr>
        <w:t xml:space="preserve"> télé-services</w:t>
      </w:r>
      <w:r>
        <w:rPr>
          <w:rFonts w:eastAsia="arial" w:cs="arial" w:ascii="arial" w:hAnsi="arial"/>
          <w:b w:val="false"/>
          <w:i w:val="false"/>
          <w:color w:val="000000"/>
          <w:sz w:val="20"/>
          <w:u w:val="none"/>
        </w:rPr>
        <w:t>.</w:t>
      </w:r>
    </w:p>
    <w:p>
      <w:pPr>
        <w:pStyle w:val="Normal"/>
        <w:rPr/>
      </w:pPr>
      <w:r>
        <w:rPr>
          <w:rFonts w:eastAsia="arial" w:cs="arial" w:ascii="arial" w:hAnsi="arial"/>
          <w:b w:val="false"/>
          <w:i w:val="false"/>
          <w:color w:val="000000"/>
          <w:sz w:val="20"/>
          <w:u w:val="none"/>
        </w:rPr>
        <w:t xml:space="preserve">Ainsi, tous les télé-services créés dans le cadre de ce marché, devront être </w:t>
      </w:r>
      <w:r>
        <w:rPr>
          <w:rFonts w:eastAsia="arial" w:cs="arial" w:ascii="arial" w:hAnsi="arial"/>
          <w:b/>
          <w:i w:val="false"/>
          <w:color w:val="000000"/>
          <w:sz w:val="20"/>
          <w:u w:val="none"/>
        </w:rPr>
        <w:t>homologués</w:t>
      </w:r>
      <w:r>
        <w:rPr>
          <w:rFonts w:eastAsia="arial" w:cs="arial" w:ascii="arial" w:hAnsi="arial"/>
          <w:b w:val="false"/>
          <w:i w:val="false"/>
          <w:color w:val="000000"/>
          <w:sz w:val="20"/>
          <w:u w:val="none"/>
        </w:rPr>
        <w:t xml:space="preserve"> par la Ville de Marseille.</w:t>
      </w:r>
    </w:p>
    <w:p>
      <w:pPr>
        <w:pStyle w:val="Normal"/>
        <w:spacing w:before="120" w:after="0"/>
        <w:rPr/>
      </w:pPr>
      <w:r>
        <w:rPr>
          <w:rFonts w:eastAsia="arial" w:cs="arial" w:ascii="arial" w:hAnsi="arial"/>
          <w:b w:val="false"/>
          <w:i w:val="false"/>
          <w:color w:val="000000"/>
          <w:sz w:val="20"/>
          <w:u w:val="none"/>
        </w:rPr>
        <w:t>Cette homologation implique une évaluation du niveau de criticité du télé-service et d'une analyse de risque adaptée.</w:t>
      </w:r>
    </w:p>
    <w:p>
      <w:pPr>
        <w:pStyle w:val="Titre3"/>
        <w:numPr>
          <w:ilvl w:val="2"/>
          <w:numId w:val="2"/>
        </w:numPr>
        <w:rPr/>
      </w:pPr>
      <w:bookmarkStart w:id="53" w:name="_Toc4197"/>
      <w:r>
        <w:rPr/>
        <w:t>Le Règlement Général sur la Protection des Données (RGPD)</w:t>
      </w:r>
      <w:bookmarkEnd w:id="53"/>
    </w:p>
    <w:p>
      <w:pPr>
        <w:pStyle w:val="Normal"/>
        <w:rPr/>
      </w:pPr>
      <w:r>
        <w:rPr>
          <w:rFonts w:eastAsia="arial" w:cs="arial" w:ascii="arial" w:hAnsi="arial"/>
          <w:b w:val="false"/>
          <w:i w:val="false"/>
          <w:color w:val="000000"/>
          <w:sz w:val="20"/>
          <w:u w:val="none"/>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L'ensemble des conditions sont définies dans l'annexe « Protection des données et Politique de sécurité » de l'acte d'engagement, le cas échéant.</w:t>
      </w:r>
    </w:p>
    <w:p>
      <w:pPr>
        <w:pStyle w:val="Titre3"/>
        <w:numPr>
          <w:ilvl w:val="2"/>
          <w:numId w:val="2"/>
        </w:numPr>
        <w:rPr/>
      </w:pPr>
      <w:bookmarkStart w:id="54" w:name="_Toc4198"/>
      <w:r>
        <w:rPr/>
        <w:t>Le Code du Patrimoine</w:t>
      </w:r>
      <w:bookmarkEnd w:id="54"/>
    </w:p>
    <w:p>
      <w:pPr>
        <w:pStyle w:val="Normal"/>
        <w:rPr/>
      </w:pPr>
      <w:r>
        <w:rPr>
          <w:rFonts w:eastAsia="arial" w:cs="arial" w:ascii="arial" w:hAnsi="arial"/>
          <w:b w:val="false"/>
          <w:i w:val="false"/>
          <w:color w:val="000000"/>
          <w:sz w:val="20"/>
          <w:u w:val="none"/>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rPr>
        <w:t xml:space="preserve">Or, la </w:t>
      </w:r>
      <w:r>
        <w:rPr>
          <w:rFonts w:eastAsia="arial" w:cs="arial" w:ascii="arial" w:hAnsi="arial"/>
          <w:b/>
          <w:i w:val="false"/>
          <w:color w:val="000000"/>
          <w:sz w:val="20"/>
          <w:u w:val="none"/>
        </w:rPr>
        <w:t>loi n°2015-195</w:t>
      </w:r>
      <w:r>
        <w:rPr>
          <w:rFonts w:eastAsia="arial" w:cs="arial" w:ascii="arial" w:hAnsi="arial"/>
          <w:b w:val="false"/>
          <w:i w:val="false"/>
          <w:color w:val="000000"/>
          <w:sz w:val="20"/>
          <w:u w:val="none"/>
        </w:rPr>
        <w:t xml:space="preserve"> promulguée le 20 février 2015 et modifiant</w:t>
      </w:r>
      <w:r>
        <w:rPr>
          <w:rFonts w:eastAsia="arial" w:cs="arial" w:ascii="arial" w:hAnsi="arial"/>
          <w:b/>
          <w:i w:val="false"/>
          <w:color w:val="000000"/>
          <w:sz w:val="20"/>
          <w:u w:val="none"/>
        </w:rPr>
        <w:t xml:space="preserve"> l'article L.111-1 du Code du Patrimoine</w:t>
      </w:r>
      <w:r>
        <w:rPr>
          <w:rFonts w:eastAsia="arial" w:cs="arial" w:ascii="arial" w:hAnsi="arial"/>
          <w:b w:val="false"/>
          <w:i w:val="false"/>
          <w:color w:val="000000"/>
          <w:sz w:val="20"/>
          <w:u w:val="none"/>
        </w:rPr>
        <w:t>, qualifie les archives publiques de "</w:t>
      </w:r>
      <w:r>
        <w:rPr>
          <w:rFonts w:eastAsia="arial" w:cs="arial" w:ascii="arial" w:hAnsi="arial"/>
          <w:b w:val="false"/>
          <w:i w:val="false"/>
          <w:color w:val="000000"/>
          <w:sz w:val="20"/>
          <w:u w:val="single"/>
        </w:rPr>
        <w:t>Trésors nationaux</w:t>
      </w:r>
      <w:r>
        <w:rPr>
          <w:rFonts w:eastAsia="arial" w:cs="arial" w:ascii="arial" w:hAnsi="arial"/>
          <w:b w:val="false"/>
          <w:i w:val="false"/>
          <w:color w:val="000000"/>
          <w:sz w:val="20"/>
          <w:u w:val="none"/>
        </w:rPr>
        <w:t>" et ne peuvent donc sortir du territoire douanier qu'après autorisation du Service inter-ministériel des Archives de France (SIAF) et seulement dans certains cas précis.</w:t>
      </w:r>
    </w:p>
    <w:p>
      <w:pPr>
        <w:pStyle w:val="Titre2"/>
        <w:numPr>
          <w:ilvl w:val="1"/>
          <w:numId w:val="2"/>
        </w:numPr>
        <w:rPr/>
      </w:pPr>
      <w:bookmarkStart w:id="55" w:name="_Toc4199"/>
      <w:r>
        <w:rPr/>
        <w:t>Les clauses générales de confidentialité</w:t>
      </w:r>
      <w:bookmarkEnd w:id="55"/>
    </w:p>
    <w:p>
      <w:pPr>
        <w:pStyle w:val="Normal"/>
        <w:rPr/>
      </w:pPr>
      <w:r>
        <w:rPr>
          <w:rFonts w:eastAsia="arial" w:cs="arial" w:ascii="arial" w:hAnsi="arial"/>
          <w:b w:val="false"/>
          <w:i w:val="false"/>
          <w:color w:val="000000"/>
          <w:sz w:val="20"/>
          <w:u w:val="none"/>
        </w:rPr>
        <w:t xml:space="preserve">Les supports informatiques physiques et documents fournis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à la société prestataire restent la propriété de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Les données</w:t>
      </w:r>
      <w:r>
        <w:rPr>
          <w:rFonts w:eastAsia="arial" w:cs="arial" w:ascii="arial" w:hAnsi="arial"/>
          <w:b w:val="false"/>
          <w:i w:val="false"/>
          <w:color w:val="000000"/>
          <w:sz w:val="20"/>
          <w:u w:val="none"/>
        </w:rPr>
        <w:t xml:space="preserve"> contenues dans ces supports et documents sont </w:t>
      </w:r>
      <w:r>
        <w:rPr>
          <w:rFonts w:eastAsia="arial" w:cs="arial" w:ascii="arial" w:hAnsi="arial"/>
          <w:b/>
          <w:i w:val="false"/>
          <w:color w:val="000000"/>
          <w:sz w:val="20"/>
          <w:u w:val="none"/>
        </w:rPr>
        <w:t>strictement couvertes par le secret professionnel</w:t>
      </w:r>
      <w:r>
        <w:rPr>
          <w:rFonts w:eastAsia="arial" w:cs="arial" w:ascii="arial" w:hAnsi="arial"/>
          <w:b w:val="false"/>
          <w:i w:val="false"/>
          <w:color w:val="000000"/>
          <w:sz w:val="20"/>
          <w:u w:val="none"/>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La société</w:t>
      </w:r>
      <w:r>
        <w:rPr>
          <w:rFonts w:eastAsia="arial" w:cs="arial" w:ascii="arial" w:hAnsi="arial"/>
          <w:b w:val="false"/>
          <w:i w:val="false"/>
          <w:color w:val="000000"/>
          <w:sz w:val="20"/>
          <w:u w:val="none"/>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rPr>
        <w:t>et en fin de marché à procéder à la destruction de tous fichiers manuels ou informatisés stockant les informations saisies.</w:t>
      </w:r>
    </w:p>
    <w:p>
      <w:pPr>
        <w:pStyle w:val="Titre2"/>
        <w:numPr>
          <w:ilvl w:val="1"/>
          <w:numId w:val="2"/>
        </w:numPr>
        <w:rPr/>
      </w:pPr>
      <w:bookmarkStart w:id="56" w:name="_Toc4200"/>
      <w:r>
        <w:rPr/>
        <w:t>Les contrôles</w:t>
      </w:r>
      <w:bookmarkEnd w:id="56"/>
    </w:p>
    <w:p>
      <w:pPr>
        <w:pStyle w:val="Normal"/>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57" w:name="_Toc4201"/>
      <w:r>
        <w:rPr/>
        <w:t>Phase de réversibilité</w:t>
      </w:r>
      <w:bookmarkEnd w:id="57"/>
    </w:p>
    <w:p>
      <w:pPr>
        <w:pStyle w:val="Normal"/>
        <w:rPr/>
      </w:pPr>
      <w:r>
        <w:rPr>
          <w:rFonts w:eastAsia="arial" w:cs="arial" w:ascii="arial" w:hAnsi="arial"/>
          <w:b w:val="false"/>
          <w:i w:val="false"/>
          <w:color w:val="000000"/>
          <w:sz w:val="20"/>
          <w:u w:val="none"/>
        </w:rPr>
        <w:t xml:space="preserve">Au terme du marché, le prestataire s'engage à faciliter la réversibilité selon les modalités choisies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et à fournir toutes les informations et prestations utiles à sa mise en œuvre.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fourniture de toutes les</w:t>
      </w:r>
      <w:r>
        <w:rPr>
          <w:rFonts w:eastAsia="arial" w:cs="arial" w:ascii="arial" w:hAnsi="arial"/>
          <w:b/>
          <w:i w:val="false"/>
          <w:color w:val="000000"/>
          <w:sz w:val="20"/>
          <w:u w:val="none"/>
        </w:rPr>
        <w:t xml:space="preserve"> informations relatives à l'exécution du marché</w:t>
      </w:r>
      <w:r>
        <w:rPr>
          <w:rFonts w:eastAsia="arial" w:cs="arial" w:ascii="arial" w:hAnsi="arial"/>
          <w:b w:val="false"/>
          <w:i w:val="false"/>
          <w:color w:val="000000"/>
          <w:sz w:val="20"/>
          <w:u w:val="none"/>
        </w:rPr>
        <w:t xml:space="preserve">, la </w:t>
      </w:r>
      <w:r>
        <w:rPr>
          <w:rFonts w:eastAsia="arial" w:cs="arial" w:ascii="arial" w:hAnsi="arial"/>
          <w:b/>
          <w:i w:val="false"/>
          <w:color w:val="000000"/>
          <w:sz w:val="20"/>
          <w:u w:val="none"/>
        </w:rPr>
        <w:t>documentation</w:t>
      </w:r>
      <w:r>
        <w:rPr>
          <w:rFonts w:eastAsia="arial" w:cs="arial" w:ascii="arial" w:hAnsi="arial"/>
          <w:b w:val="false"/>
          <w:i w:val="false"/>
          <w:color w:val="000000"/>
          <w:sz w:val="20"/>
          <w:u w:val="none"/>
        </w:rPr>
        <w:t xml:space="preserve"> constituée durant la prestation, sous forme électronique mise à jour, ainsi que le</w:t>
      </w:r>
      <w:r>
        <w:rPr>
          <w:rFonts w:eastAsia="arial" w:cs="arial" w:ascii="arial" w:hAnsi="arial"/>
          <w:b/>
          <w:i w:val="false"/>
          <w:color w:val="000000"/>
          <w:sz w:val="20"/>
          <w:u w:val="none"/>
        </w:rPr>
        <w:t xml:space="preserve"> transfert de connaissance</w:t>
      </w:r>
      <w:r>
        <w:rPr>
          <w:rFonts w:eastAsia="arial" w:cs="arial" w:ascii="arial" w:hAnsi="arial"/>
          <w:b w:val="false"/>
          <w:i w:val="false"/>
          <w:color w:val="000000"/>
          <w:sz w:val="20"/>
          <w:u w:val="none"/>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 transfert se fera directement aux équipes de la Ville de Marseille.</w:t>
      </w:r>
    </w:p>
    <w:p>
      <w:pPr>
        <w:pStyle w:val="Titre1"/>
        <w:numPr>
          <w:ilvl w:val="0"/>
          <w:numId w:val="2"/>
        </w:numPr>
        <w:rPr/>
      </w:pPr>
      <w:bookmarkStart w:id="58" w:name="_Toc4202"/>
      <w:r>
        <w:rPr/>
        <w:t>LOGICIEL E-ATTESTATIONS</w:t>
      </w:r>
      <w:bookmarkEnd w:id="58"/>
    </w:p>
    <w:p>
      <w:pPr>
        <w:pStyle w:val="Normal"/>
        <w:rPr/>
      </w:pPr>
      <w:r>
        <w:rPr>
          <w:rFonts w:eastAsia="arial" w:cs="arial" w:ascii="arial" w:hAnsi="arial"/>
          <w:b w:val="false"/>
          <w:i w:val="false"/>
          <w:color w:val="000000"/>
          <w:sz w:val="20"/>
          <w:u w:val="none"/>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rPr>
        <w:t>- les attestations fiscales et sociales,</w:t>
      </w:r>
    </w:p>
    <w:p>
      <w:pPr>
        <w:pStyle w:val="Normal"/>
        <w:spacing w:before="120" w:after="0"/>
        <w:rPr/>
      </w:pPr>
      <w:r>
        <w:rPr>
          <w:rFonts w:eastAsia="arial" w:cs="arial" w:ascii="arial" w:hAnsi="arial"/>
          <w:b w:val="false"/>
          <w:i w:val="false"/>
          <w:color w:val="000000"/>
          <w:sz w:val="20"/>
          <w:u w:val="none"/>
        </w:rPr>
        <w:t>- l'inscription au RCS (K ou K Bis),</w:t>
      </w:r>
    </w:p>
    <w:p>
      <w:pPr>
        <w:pStyle w:val="Normal"/>
        <w:spacing w:before="120" w:after="0"/>
        <w:rPr/>
      </w:pPr>
      <w:r>
        <w:rPr>
          <w:rFonts w:eastAsia="arial" w:cs="arial" w:ascii="arial" w:hAnsi="arial"/>
          <w:b w:val="false"/>
          <w:i w:val="false"/>
          <w:color w:val="000000"/>
          <w:sz w:val="20"/>
          <w:u w:val="none"/>
        </w:rPr>
        <w:t>- la garantie décennale pour les marchés de travaux,</w:t>
      </w:r>
    </w:p>
    <w:p>
      <w:pPr>
        <w:pStyle w:val="Normal"/>
        <w:spacing w:before="120" w:after="0"/>
        <w:rPr/>
      </w:pPr>
      <w:r>
        <w:rPr>
          <w:rFonts w:eastAsia="arial" w:cs="arial" w:ascii="arial" w:hAnsi="arial"/>
          <w:b w:val="false"/>
          <w:i w:val="false"/>
          <w:color w:val="000000"/>
          <w:sz w:val="20"/>
          <w:u w:val="none"/>
        </w:rPr>
        <w:t>- la liste nominative des travailleurs étrangers</w:t>
      </w:r>
    </w:p>
    <w:p>
      <w:pPr>
        <w:pStyle w:val="Normal"/>
        <w:spacing w:before="120" w:after="0"/>
        <w:rPr/>
      </w:pPr>
      <w:r>
        <w:rPr>
          <w:rFonts w:eastAsia="arial" w:cs="arial" w:ascii="arial" w:hAnsi="arial"/>
          <w:b w:val="false"/>
          <w:i w:val="false"/>
          <w:color w:val="000000"/>
          <w:sz w:val="20"/>
          <w:u w:val="none"/>
        </w:rPr>
        <w:t>- l'attestation sur l'honneur relative à l'égalité réelle entre les femmes et les hommes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rPr>
        <w:t xml:space="preserve">L'interface e-attestations est une solution </w:t>
      </w:r>
      <w:r>
        <w:rPr>
          <w:rFonts w:eastAsia="arial" w:cs="arial" w:ascii="arial" w:hAnsi="arial"/>
          <w:b/>
          <w:i w:val="false"/>
          <w:color w:val="000000"/>
          <w:sz w:val="20"/>
          <w:u w:val="none"/>
        </w:rPr>
        <w:t>gratuite</w:t>
      </w:r>
      <w:r>
        <w:rPr>
          <w:rFonts w:eastAsia="arial" w:cs="arial" w:ascii="arial" w:hAnsi="arial"/>
          <w:b w:val="false"/>
          <w:i w:val="false"/>
          <w:color w:val="000000"/>
          <w:sz w:val="20"/>
          <w:u w:val="none"/>
        </w:rPr>
        <w:t xml:space="preserve"> de dépôt et de mise à jour, l'adresse du site est la suivante : http://www.e-attestations.com/</w:t>
      </w:r>
    </w:p>
    <w:p>
      <w:pPr>
        <w:pStyle w:val="Normal"/>
        <w:spacing w:before="120" w:after="0"/>
        <w:rPr/>
      </w:pPr>
      <w:r>
        <w:rPr/>
      </w:r>
    </w:p>
    <w:p>
      <w:pPr>
        <w:pStyle w:val="Normal"/>
        <w:spacing w:before="120" w:after="0"/>
        <w:rPr/>
      </w:pPr>
      <w:r>
        <w:rPr/>
      </w:r>
    </w:p>
    <w:p>
      <w:pPr>
        <w:pStyle w:val="Titre1"/>
        <w:numPr>
          <w:ilvl w:val="0"/>
          <w:numId w:val="2"/>
        </w:numPr>
        <w:rPr/>
      </w:pPr>
      <w:bookmarkStart w:id="59" w:name="_Toc4203"/>
      <w:r>
        <w:rPr/>
        <w:t>LOI APPLICABLE</w:t>
      </w:r>
      <w:bookmarkEnd w:id="59"/>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60" w:name="_Toc4204"/>
      <w:r>
        <w:rPr/>
        <w:t>CONFORMITÉ AUX NORMES</w:t>
      </w:r>
      <w:bookmarkEnd w:id="60"/>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FFFFFF" w:val="clear"/>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fournitures seront conformes aux normes en vigueur, normes homologuées ou autres normes reconnues équivalentes, en vertu de l'article R2111-11 du Code de la commande publique.</w:t>
      </w:r>
    </w:p>
    <w:p>
      <w:pPr>
        <w:pStyle w:val="Normal"/>
        <w:spacing w:before="120" w:after="0"/>
        <w:rPr>
          <w:highlight w:val="none"/>
          <w:shd w:fill="FFFFFF" w:val="clear"/>
        </w:rPr>
      </w:pPr>
      <w:r>
        <w:rPr>
          <w:shd w:fill="FFFFFF" w:val="clear"/>
        </w:rPr>
      </w:r>
    </w:p>
    <w:p>
      <w:pPr>
        <w:pStyle w:val="Normal"/>
        <w:spacing w:before="120" w:after="0"/>
        <w:rPr>
          <w:highlight w:val="none"/>
        </w:rPr>
      </w:pPr>
      <w:r>
        <w:rPr>
          <w:rFonts w:eastAsia="arial" w:cs="arial" w:ascii="arial" w:hAnsi="arial"/>
          <w:b w:val="false"/>
          <w:i w:val="false"/>
          <w:color w:val="000000"/>
          <w:sz w:val="20"/>
          <w:u w:val="none"/>
          <w:shd w:fill="FFFFFF" w:val="clear"/>
        </w:rPr>
        <w:t>Toute norme décrite dans le présent marché, dont l'usage n'est pas rendu obligatoire par une réglementation, est entendue comme comprenant la mention "ou équivalent" même si elle n'est</w:t>
      </w:r>
      <w:r>
        <w:rPr>
          <w:rFonts w:eastAsia="arial" w:cs="arial" w:ascii="arial" w:hAnsi="arial"/>
          <w:b w:val="false"/>
          <w:i w:val="false"/>
          <w:color w:val="000000"/>
          <w:sz w:val="20"/>
          <w:u w:val="none"/>
          <w:shd w:fill="D4EDDA" w:val="clear"/>
        </w:rPr>
        <w:t xml:space="preserve"> </w:t>
      </w:r>
      <w:r>
        <w:rPr>
          <w:rFonts w:eastAsia="arial" w:cs="arial" w:ascii="arial" w:hAnsi="arial"/>
          <w:b w:val="false"/>
          <w:i w:val="false"/>
          <w:color w:val="000000"/>
          <w:sz w:val="20"/>
          <w:u w:val="none"/>
          <w:shd w:fill="FFFFFF" w:val="clear"/>
        </w:rPr>
        <w:t>pas expressément suivie de cette mention.</w:t>
      </w:r>
    </w:p>
    <w:p>
      <w:pPr>
        <w:pStyle w:val="Titre1"/>
        <w:numPr>
          <w:ilvl w:val="0"/>
          <w:numId w:val="2"/>
        </w:numPr>
        <w:rPr>
          <w:highlight w:val="none"/>
          <w:shd w:fill="FFFFFF" w:val="clear"/>
        </w:rPr>
      </w:pPr>
      <w:bookmarkStart w:id="61" w:name="_Toc4205"/>
      <w:r>
        <w:rPr>
          <w:shd w:fill="FFFFFF" w:val="clear"/>
        </w:rPr>
        <w:t>ASSURANCES</w:t>
      </w:r>
      <w:bookmarkEnd w:id="61"/>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FFFFFF" w:val="clear"/>
        </w:rPr>
      </w:pPr>
      <w:r>
        <w:rPr>
          <w:rFonts w:eastAsia="arial" w:cs="arial" w:ascii="arial" w:hAnsi="arial"/>
          <w:b w:val="false"/>
          <w:i w:val="false"/>
          <w:color w:val="000000"/>
          <w:sz w:val="20"/>
          <w:u w:val="none"/>
          <w:shd w:fill="FFFFFF" w:val="clear"/>
        </w:rPr>
        <w:t>Conformément à l'article 9 du CCAG TIC, le titulaire doit contracter les assurances permettant de garantir sa responsabilité à l'égard du pouvoir adjudicateur et des tiers, victimes d'accidents ou de dommages causés par l'exécution des prestations.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highlight w:val="none"/>
          <w:shd w:fill="FFFFFF" w:val="clear"/>
        </w:rPr>
      </w:pPr>
      <w:bookmarkStart w:id="62" w:name="_Toc4206"/>
      <w:r>
        <w:rPr>
          <w:shd w:fill="FFFFFF" w:val="clear"/>
        </w:rPr>
        <w:t>DÉROGATIONS AUX DOCUMENTS G</w:t>
      </w:r>
      <w:bookmarkEnd w:id="62"/>
      <w:r>
        <w:rPr>
          <w:shd w:fill="FFFFFF" w:val="clear"/>
        </w:rPr>
        <w:t>ÉNÉRAUX</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FFFFFF" w:val="clear"/>
        </w:rPr>
      </w:pPr>
      <w:r>
        <w:rPr>
          <w:rFonts w:eastAsia="arial" w:cs="arial" w:ascii="arial" w:hAnsi="arial"/>
          <w:b w:val="false"/>
          <w:i w:val="false"/>
          <w:color w:val="000000"/>
          <w:sz w:val="20"/>
          <w:u w:val="none"/>
          <w:shd w:fill="FFFFFF" w:val="clear"/>
        </w:rPr>
        <w:t>Les dérogations explicitées dans les articles désignés ci-après du C.C.A.P. sont apportées aux articles suivants des documents et des normes françaises homologuées ci-après :</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Dérogations au CCAG-TIC:</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l'article 2 déroge à l'article 4.1 du CCAG-TIC</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l'article 17.1 déroge à l'article 14.1.1 du CCAG-TIC</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l'article 17.1 déroge à l'article 14.1.2 du CCAG-TIC</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CCAP_SOLUTION DE GESTION DE PRISE DE RENDEZ VOUS ÉLECTRONIQUES POUR LE CENTRE DE VACCINATION</w:t>
    </w:r>
    <w:r>
      <w:rPr/>
      <w:tab/>
      <w:tab/>
    </w:r>
    <w:r>
      <w:rPr/>
      <w:fldChar w:fldCharType="begin"/>
    </w:r>
    <w:r>
      <w:rPr/>
      <w:instrText> PAGE </w:instrText>
    </w:r>
    <w:r>
      <w:rPr/>
      <w:fldChar w:fldCharType="separate"/>
    </w:r>
    <w:r>
      <w:rPr/>
      <w:t>18</w:t>
    </w:r>
    <w:r>
      <w:rPr/>
      <w:fldChar w:fldCharType="end"/>
    </w:r>
    <w:r>
      <w:rPr/>
      <w:t>/</w:t>
    </w:r>
    <w:r>
      <w:rPr/>
      <w:fldChar w:fldCharType="begin"/>
    </w:r>
    <w:r>
      <w:rPr/>
      <w:instrText> NUMPAGES </w:instrText>
    </w:r>
    <w:r>
      <w:rPr/>
      <w:fldChar w:fldCharType="separate"/>
    </w:r>
    <w:r>
      <w:rPr/>
      <w:t>18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clauses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23_1946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uiPriority w:val="9"/>
    <w:semiHidden/>
    <w:unhideWhenUsed/>
    <w:qFormat/>
    <w:pPr>
      <w:numPr>
        <w:ilvl w:val="5"/>
        <w:numId w:val="1"/>
      </w:numPr>
      <w:spacing w:before="283" w:after="283"/>
      <w:jc w:val="both"/>
      <w:outlineLvl w:val="5"/>
    </w:pPr>
    <w:rPr>
      <w:bCs/>
      <w:sz w:val="22"/>
    </w:rPr>
  </w:style>
  <w:style w:type="paragraph" w:styleId="Titre7">
    <w:name w:val="Heading 7"/>
    <w:basedOn w:val="Titre"/>
    <w:qFormat/>
    <w:pPr>
      <w:numPr>
        <w:ilvl w:val="6"/>
        <w:numId w:val="1"/>
      </w:numPr>
      <w:spacing w:before="283" w:after="57"/>
      <w:jc w:val="both"/>
      <w:outlineLvl w:val="6"/>
    </w:pPr>
    <w:rPr>
      <w:bCs/>
      <w:sz w:val="22"/>
    </w:rPr>
  </w:style>
  <w:style w:type="paragraph" w:styleId="Titre8">
    <w:name w:val="Heading 8"/>
    <w:basedOn w:val="Titre"/>
    <w:qFormat/>
    <w:pPr>
      <w:numPr>
        <w:ilvl w:val="7"/>
        <w:numId w:val="1"/>
      </w:numPr>
      <w:spacing w:before="283" w:after="57"/>
      <w:jc w:val="both"/>
      <w:outlineLvl w:val="7"/>
    </w:pPr>
    <w:rPr>
      <w:bCs/>
      <w:sz w:val="21"/>
    </w:rPr>
  </w:style>
  <w:style w:type="paragraph" w:styleId="Titre9">
    <w:name w:val="Heading 9"/>
    <w:basedOn w:val="Titre"/>
    <w:qFormat/>
    <w:pPr>
      <w:numPr>
        <w:ilvl w:val="8"/>
        <w:numId w:val="1"/>
      </w:numPr>
      <w:spacing w:before="283" w:after="57"/>
      <w:jc w:val="both"/>
      <w:outlineLvl w:val="8"/>
    </w:pPr>
    <w:rPr>
      <w:bCs/>
      <w:sz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uiPriority w:val="99"/>
    <w:qFormat/>
    <w:rPr>
      <w:sz w:val="18"/>
    </w:rPr>
  </w:style>
  <w:style w:type="character" w:styleId="Caractresdenotedebasdepage">
    <w:name w:val="Caractères de note de bas de page"/>
    <w:qFormat/>
    <w:rPr>
      <w:vertAlign w:val="superscript"/>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uiPriority w:val="99"/>
    <w:qFormat/>
    <w:rPr>
      <w:sz w:val="20"/>
    </w:rPr>
  </w:style>
  <w:style w:type="character" w:styleId="Caractresdenotedefin">
    <w:name w:val="Caractères de note de fin"/>
    <w:qFormat/>
    <w:rPr>
      <w:vertAlign w:val="superscript"/>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Pr>
      <w:rFonts w:ascii="Arial" w:hAnsi="Arial" w:eastAsia="Arial" w:cs="Arial"/>
      <w:sz w:val="40"/>
      <w:szCs w:val="40"/>
    </w:rPr>
  </w:style>
  <w:style w:type="character" w:styleId="Titre2Car" w:customStyle="1">
    <w:name w:val="Titre 2 Car"/>
    <w:basedOn w:val="DefaultParagraphFont"/>
    <w:uiPriority w:val="9"/>
    <w:qFormat/>
    <w:rPr>
      <w:rFonts w:ascii="Arial" w:hAnsi="Arial"/>
      <w:b/>
      <w:bCs/>
      <w:iCs/>
      <w:color w:val="666699"/>
      <w:sz w:val="22"/>
      <w:szCs w:val="28"/>
      <w:u w:val="single"/>
    </w:rPr>
  </w:style>
  <w:style w:type="character" w:styleId="Titre3Car" w:customStyle="1">
    <w:name w:val="Titre 3 Car"/>
    <w:basedOn w:val="DefaultParagraphFont"/>
    <w:uiPriority w:val="9"/>
    <w:qFormat/>
    <w:rPr>
      <w:rFonts w:ascii="Arial" w:hAnsi="Arial" w:eastAsia="Arial" w:cs="Arial"/>
      <w:sz w:val="30"/>
      <w:szCs w:val="30"/>
    </w:rPr>
  </w:style>
  <w:style w:type="character" w:styleId="Titre4Car" w:customStyle="1">
    <w:name w:val="Titre 4 Car"/>
    <w:basedOn w:val="DefaultParagraphFont"/>
    <w:uiPriority w:val="9"/>
    <w:qFormat/>
    <w:rPr>
      <w:rFonts w:ascii="Arial" w:hAnsi="Arial" w:eastAsia="Arial" w:cs="Arial"/>
      <w:b/>
      <w:bCs/>
      <w:sz w:val="26"/>
      <w:szCs w:val="26"/>
    </w:rPr>
  </w:style>
  <w:style w:type="character" w:styleId="Titre5Car" w:customStyle="1">
    <w:name w:val="Titre 5 Car"/>
    <w:basedOn w:val="DefaultParagraphFont"/>
    <w:uiPriority w:val="9"/>
    <w:qFormat/>
    <w:rPr>
      <w:rFonts w:ascii="Arial" w:hAnsi="Arial" w:eastAsia="Arial" w:cs="Arial"/>
      <w:b/>
      <w:bCs/>
      <w:sz w:val="24"/>
      <w:szCs w:val="24"/>
    </w:rPr>
  </w:style>
  <w:style w:type="character" w:styleId="Titre6Car" w:customStyle="1">
    <w:name w:val="Titre 6 Car"/>
    <w:basedOn w:val="DefaultParagraphFont"/>
    <w:uiPriority w:val="9"/>
    <w:qFormat/>
    <w:rPr>
      <w:rFonts w:ascii="Arial" w:hAnsi="Arial" w:eastAsia="Arial" w:cs="Arial"/>
      <w:b/>
      <w:bCs/>
      <w:sz w:val="22"/>
      <w:szCs w:val="22"/>
    </w:rPr>
  </w:style>
  <w:style w:type="character" w:styleId="Titre7Car" w:customStyle="1">
    <w:name w:val="Titre 7 Car"/>
    <w:basedOn w:val="DefaultParagraphFont"/>
    <w:uiPriority w:val="9"/>
    <w:qFormat/>
    <w:rPr>
      <w:rFonts w:ascii="Arial" w:hAnsi="Arial" w:eastAsia="Arial" w:cs="Arial"/>
      <w:b/>
      <w:bCs/>
      <w:i/>
      <w:iCs/>
      <w:sz w:val="22"/>
      <w:szCs w:val="22"/>
    </w:rPr>
  </w:style>
  <w:style w:type="character" w:styleId="Titre8Car" w:customStyle="1">
    <w:name w:val="Titre 8 Car"/>
    <w:basedOn w:val="DefaultParagraphFont"/>
    <w:uiPriority w:val="9"/>
    <w:qFormat/>
    <w:rPr>
      <w:rFonts w:ascii="Arial" w:hAnsi="Arial" w:eastAsia="Arial" w:cs="Arial"/>
      <w:i/>
      <w:iCs/>
      <w:sz w:val="22"/>
      <w:szCs w:val="22"/>
    </w:rPr>
  </w:style>
  <w:style w:type="character" w:styleId="Titre9Car" w:customStyle="1">
    <w:name w:val="Titre 9 Car"/>
    <w:basedOn w:val="DefaultParagraphFont"/>
    <w:uiPriority w:val="9"/>
    <w:qFormat/>
    <w:rPr>
      <w:rFonts w:ascii="Arial" w:hAnsi="Arial" w:eastAsia="Arial" w:cs="Arial"/>
      <w:i/>
      <w:iCs/>
      <w:sz w:val="21"/>
      <w:szCs w:val="21"/>
    </w:rPr>
  </w:style>
  <w:style w:type="character" w:styleId="TitreCar" w:customStyle="1">
    <w:name w:val="Titre Car"/>
    <w:basedOn w:val="DefaultParagraphFont"/>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uiPriority w:val="99"/>
    <w:qFormat/>
    <w:rPr/>
  </w:style>
  <w:style w:type="character" w:styleId="NotedebasdepageCar" w:customStyle="1">
    <w:name w:val="Note de bas de page Car"/>
    <w:uiPriority w:val="99"/>
    <w:qFormat/>
    <w:rPr>
      <w:sz w:val="18"/>
    </w:rPr>
  </w:style>
  <w:style w:type="character" w:styleId="NotedefinCar" w:customStyle="1">
    <w:name w:val="Note de fin Car"/>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uiPriority w:val="99"/>
    <w:semiHidden/>
    <w:unhideWhenUsed/>
    <w:qFormat/>
    <w:pPr>
      <w:spacing w:before="120" w:after="40"/>
    </w:pPr>
    <w:rPr>
      <w:sz w:val="18"/>
    </w:rPr>
  </w:style>
  <w:style w:type="paragraph" w:styleId="Notedefin">
    <w:name w:val="Endnote Text"/>
    <w:basedOn w:val="Normal"/>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45</TotalTime>
  <Application>LibreOffice/7.2.7.2$Windows_X86_64 LibreOffice_project/8d71d29d553c0f7dcbfa38fbfda25ee34cce99a2</Application>
  <AppVersion>15.0000</AppVersion>
  <Pages>18</Pages>
  <Words>6856</Words>
  <Characters>28586</Characters>
  <CharactersWithSpaces>33242</CharactersWithSpaces>
  <Paragraphs>313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2023-06-27T14:04:10Z</dcterms:created>
  <dc:creator>Apache POI</dc:creator>
  <dc:description/>
  <dc:language>fr-FR</dc:language>
  <cp:lastModifiedBy/>
  <cp:lastPrinted>2023-07-24T12:16:17Z</cp:lastPrinted>
  <dcterms:modified xsi:type="dcterms:W3CDTF">2023-09-25T16:40:15Z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