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rFonts w:cs="Arial"/>
          <w:color w:val="4472C4"/>
          <w:sz w:val="36"/>
          <w:szCs w:val="36"/>
        </w:rPr>
      </w:pPr>
      <w:r>
        <w:rPr>
          <w:rFonts w:cs="Arial"/>
          <w:color w:val="4472C4"/>
          <w:sz w:val="36"/>
          <w:szCs w:val="36"/>
        </w:rPr>
        <w:t>Mairie de Marseille</w:t>
      </w:r>
    </w:p>
    <w:p>
      <w:pPr>
        <w:pStyle w:val="Standard"/>
        <w:jc w:val="center"/>
        <w:rPr>
          <w:rFonts w:cs="Arial"/>
          <w:color w:val="4472C4"/>
          <w:sz w:val="36"/>
          <w:szCs w:val="36"/>
        </w:rPr>
      </w:pPr>
      <w:r>
        <w:rPr>
          <w:rFonts w:cs="Arial"/>
          <w:color w:val="4472C4"/>
          <w:sz w:val="36"/>
          <w:szCs w:val="36"/>
        </w:rPr>
        <w:t>Direction de la Transition Ecologique et des Environnements de Vie</w:t>
      </w:r>
    </w:p>
    <w:p>
      <w:pPr>
        <w:pStyle w:val="Standard"/>
        <w:jc w:val="center"/>
        <w:rPr>
          <w:rFonts w:cs="Arial"/>
          <w:color w:val="4472C4"/>
          <w:sz w:val="36"/>
          <w:szCs w:val="36"/>
        </w:rPr>
      </w:pPr>
      <w:r>
        <w:rPr>
          <w:rFonts w:cs="Arial"/>
          <w:color w:val="4472C4"/>
          <w:sz w:val="36"/>
          <w:szCs w:val="36"/>
        </w:rPr>
        <w:t>Service Agriculture Urbaine et Sensibilisation à l’Environnement</w:t>
      </w:r>
    </w:p>
    <w:p>
      <w:pPr>
        <w:pStyle w:val="Standard"/>
        <w:jc w:val="center"/>
        <w:rPr>
          <w:sz w:val="36"/>
          <w:szCs w:val="36"/>
        </w:rPr>
      </w:pPr>
      <w:r>
        <w:rPr>
          <w:sz w:val="36"/>
          <w:szCs w:val="36"/>
        </w:rPr>
      </w:r>
    </w:p>
    <w:p>
      <w:pPr>
        <w:pStyle w:val="Titre11"/>
        <w:shd w:val="clear" w:fill="FFFFFF"/>
        <w:jc w:val="left"/>
        <w:rPr>
          <w:color w:val="5B9BD5"/>
          <w:sz w:val="44"/>
          <w:szCs w:val="44"/>
          <w:shd w:fill="FFFFFF" w:val="clear"/>
        </w:rPr>
      </w:pPr>
      <w:r>
        <w:rPr>
          <w:color w:val="5B9BD5"/>
          <w:sz w:val="44"/>
          <w:szCs w:val="44"/>
          <w:shd w:fill="FFFFFF" w:val="clear"/>
        </w:rPr>
      </w:r>
    </w:p>
    <w:p>
      <w:pPr>
        <w:pStyle w:val="Titre11"/>
        <w:shd w:val="clear" w:fill="FFFFFF"/>
        <w:jc w:val="center"/>
        <w:rPr>
          <w:rFonts w:cs="Arial"/>
          <w:color w:val="5B9BD5"/>
          <w:sz w:val="44"/>
          <w:szCs w:val="44"/>
          <w:shd w:fill="FFFFFF" w:val="clear"/>
        </w:rPr>
      </w:pPr>
      <w:r>
        <w:rPr>
          <w:rFonts w:cs="Arial"/>
          <w:color w:val="5B9BD5"/>
          <w:sz w:val="44"/>
          <w:szCs w:val="44"/>
          <w:shd w:fill="FFFFFF" w:val="clear"/>
        </w:rPr>
        <w:t>Cahier des Clauses Administratives Particulières</w:t>
      </w:r>
    </w:p>
    <w:p>
      <w:pPr>
        <w:pStyle w:val="Titre11"/>
        <w:shd w:val="clear" w:fill="FFFFFF"/>
        <w:jc w:val="left"/>
        <w:rPr>
          <w:color w:val="5B9BD5"/>
          <w:sz w:val="44"/>
          <w:szCs w:val="44"/>
          <w:shd w:fill="FFFFFF" w:val="clear"/>
        </w:rPr>
      </w:pPr>
      <w:r>
        <w:rPr>
          <w:color w:val="5B9BD5"/>
          <w:sz w:val="44"/>
          <w:szCs w:val="44"/>
          <w:shd w:fill="FFFFFF" w:val="clear"/>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color w:val="5B9BD5"/>
          <w:sz w:val="36"/>
          <w:szCs w:val="36"/>
          <w:shd w:fill="FFFFFF" w:val="clear"/>
        </w:rPr>
      </w:pPr>
      <w:r>
        <w:rPr>
          <w:rFonts w:cs="Arial"/>
          <w:color w:val="5B9BD5"/>
          <w:sz w:val="36"/>
          <w:szCs w:val="36"/>
          <w:shd w:fill="FFFFFF" w:val="clear"/>
        </w:rPr>
        <w:t>ACTIVITES PEDAGOGIQUES DE SENSIBILISATION A L'ENVIRONNEMENT - RELAIS NATURE DE LA MOLINE</w:t>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right="0" w:hanging="3600"/>
        <w:rPr/>
      </w:pPr>
      <w:r>
        <w:rPr>
          <w:rFonts w:cs="Arial"/>
          <w:b/>
          <w:bCs/>
          <w:color w:val="000000"/>
          <w:sz w:val="24"/>
          <w:szCs w:val="24"/>
          <w:u w:val="single"/>
        </w:rPr>
        <w:t>Numéro de la consultation :</w:t>
      </w:r>
      <w:r>
        <w:rPr>
          <w:rFonts w:cs="Arial"/>
          <w:color w:val="4472C4"/>
          <w:sz w:val="24"/>
          <w:szCs w:val="24"/>
        </w:rPr>
        <w:t xml:space="preserve"> </w:t>
      </w:r>
      <w:bookmarkStart w:id="0" w:name="__DdeLink__57_1273219247"/>
      <w:bookmarkEnd w:id="0"/>
      <w:r>
        <w:rPr>
          <w:rFonts w:cs="Arial"/>
          <w:color w:val="4472C4"/>
          <w:sz w:val="24"/>
          <w:szCs w:val="24"/>
        </w:rPr>
        <w:t>23_1577</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right="0" w:hanging="3600"/>
        <w:rPr/>
      </w:pPr>
      <w:r>
        <w:rPr>
          <w:rFonts w:cs="Arial"/>
          <w:b/>
          <w:bCs/>
          <w:color w:val="000000"/>
          <w:sz w:val="24"/>
          <w:szCs w:val="24"/>
          <w:u w:val="single"/>
        </w:rPr>
        <w:t>Procédure de passation :</w:t>
      </w:r>
      <w:r>
        <w:rPr>
          <w:rFonts w:cs="Arial"/>
          <w:color w:val="4472C4"/>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right="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sdt>
      <w:sdtPr>
        <w:docPartObj>
          <w:docPartGallery w:val="Table of Contents"/>
          <w:docPartUnique w:val="true"/>
        </w:docPartObj>
      </w:sdtPr>
      <w:sdtContent>
        <w:p>
          <w:pPr>
            <w:pStyle w:val="Tabledesmatiresniveau1"/>
            <w:tabs>
              <w:tab w:val="clear" w:pos="9637"/>
              <w:tab w:val="right" w:pos="8634" w:leader="dot"/>
            </w:tabs>
            <w:rPr/>
          </w:pPr>
          <w:r>
            <w:fldChar w:fldCharType="begin"/>
          </w:r>
          <w:r>
            <w:rPr>
              <w:rStyle w:val="Sautdindex"/>
            </w:rPr>
            <w:instrText> TOC \f \o "1-9" \h</w:instrText>
          </w:r>
          <w:r>
            <w:rPr>
              <w:rStyle w:val="Sautdindex"/>
            </w:rPr>
            <w:fldChar w:fldCharType="separate"/>
          </w:r>
          <w:hyperlink w:anchor="__RefHeading___Toc7353_1156739212">
            <w:r>
              <w:rPr>
                <w:rStyle w:val="Sautdindex"/>
              </w:rPr>
              <w:t>Article 1 -  OBJET ET DUREE DU MARCHE</w:t>
              <w:tab/>
              <w:t>4</w:t>
            </w:r>
          </w:hyperlink>
        </w:p>
        <w:p>
          <w:pPr>
            <w:pStyle w:val="Tabledesmatiresniveau2"/>
            <w:tabs>
              <w:tab w:val="clear" w:pos="706"/>
              <w:tab w:val="right" w:pos="8634" w:leader="dot"/>
            </w:tabs>
            <w:rPr/>
          </w:pPr>
          <w:hyperlink w:anchor="__RefHeading___Toc7355_1156739212">
            <w:r>
              <w:rPr>
                <w:rStyle w:val="Sautdindex"/>
              </w:rPr>
              <w:t>1.1  Intitulé et Objet des prestations</w:t>
              <w:tab/>
              <w:t>4</w:t>
            </w:r>
          </w:hyperlink>
        </w:p>
        <w:p>
          <w:pPr>
            <w:pStyle w:val="Tabledesmatiresniveau2"/>
            <w:tabs>
              <w:tab w:val="clear" w:pos="706"/>
              <w:tab w:val="right" w:pos="8634" w:leader="dot"/>
            </w:tabs>
            <w:rPr/>
          </w:pPr>
          <w:hyperlink w:anchor="__RefHeading___Toc7357_1156739212">
            <w:r>
              <w:rPr>
                <w:rStyle w:val="Sautdindex"/>
              </w:rPr>
              <w:t>1.2  Procédure</w:t>
              <w:tab/>
              <w:t>4</w:t>
            </w:r>
          </w:hyperlink>
        </w:p>
        <w:p>
          <w:pPr>
            <w:pStyle w:val="Tabledesmatiresniveau2"/>
            <w:tabs>
              <w:tab w:val="clear" w:pos="706"/>
              <w:tab w:val="right" w:pos="8634" w:leader="dot"/>
            </w:tabs>
            <w:rPr/>
          </w:pPr>
          <w:hyperlink w:anchor="__RefHeading___Toc7359_1156739212">
            <w:r>
              <w:rPr>
                <w:rStyle w:val="Sautdindex"/>
              </w:rPr>
              <w:t>1.3  Décomposition en Lots, Tranches et postes</w:t>
              <w:tab/>
              <w:t>4</w:t>
            </w:r>
          </w:hyperlink>
        </w:p>
        <w:p>
          <w:pPr>
            <w:pStyle w:val="Tabledesmatiresniveau3"/>
            <w:tabs>
              <w:tab w:val="clear" w:pos="9241"/>
              <w:tab w:val="right" w:pos="8634" w:leader="dot"/>
            </w:tabs>
            <w:rPr/>
          </w:pPr>
          <w:hyperlink w:anchor="__RefHeading___Toc7361_1156739212">
            <w:r>
              <w:rPr>
                <w:rStyle w:val="Sautdindex"/>
              </w:rPr>
              <w:t>1.3.1  Décomposition en lots</w:t>
              <w:tab/>
              <w:t>4</w:t>
            </w:r>
          </w:hyperlink>
        </w:p>
        <w:p>
          <w:pPr>
            <w:pStyle w:val="Tabledesmatiresniveau3"/>
            <w:tabs>
              <w:tab w:val="clear" w:pos="9241"/>
              <w:tab w:val="right" w:pos="8634" w:leader="dot"/>
            </w:tabs>
            <w:rPr/>
          </w:pPr>
          <w:hyperlink w:anchor="__RefHeading___Toc7363_1156739212">
            <w:r>
              <w:rPr>
                <w:rStyle w:val="Sautdindex"/>
              </w:rPr>
              <w:t>1.3.2  Décomposition en tranches</w:t>
              <w:tab/>
              <w:t>4</w:t>
            </w:r>
          </w:hyperlink>
        </w:p>
        <w:p>
          <w:pPr>
            <w:pStyle w:val="Tabledesmatiresniveau3"/>
            <w:tabs>
              <w:tab w:val="clear" w:pos="9241"/>
              <w:tab w:val="right" w:pos="8634" w:leader="dot"/>
            </w:tabs>
            <w:rPr/>
          </w:pPr>
          <w:hyperlink w:anchor="__RefHeading___Toc7365_1156739212">
            <w:r>
              <w:rPr>
                <w:rStyle w:val="Sautdindex"/>
              </w:rPr>
              <w:t>1.3.3  Décomposition en postes</w:t>
              <w:tab/>
              <w:t>4</w:t>
            </w:r>
          </w:hyperlink>
        </w:p>
        <w:p>
          <w:pPr>
            <w:pStyle w:val="Tabledesmatiresniveau2"/>
            <w:tabs>
              <w:tab w:val="clear" w:pos="706"/>
              <w:tab w:val="right" w:pos="8634" w:leader="dot"/>
            </w:tabs>
            <w:rPr/>
          </w:pPr>
          <w:hyperlink w:anchor="__RefHeading___Toc7367_1156739212">
            <w:r>
              <w:rPr>
                <w:rStyle w:val="Sautdindex"/>
              </w:rPr>
              <w:t>1.4  Modalités d'exécution des tranches optionnelles</w:t>
              <w:tab/>
              <w:t>4</w:t>
            </w:r>
          </w:hyperlink>
        </w:p>
        <w:p>
          <w:pPr>
            <w:pStyle w:val="Tabledesmatiresniveau2"/>
            <w:tabs>
              <w:tab w:val="clear" w:pos="706"/>
              <w:tab w:val="right" w:pos="8634" w:leader="dot"/>
            </w:tabs>
            <w:rPr/>
          </w:pPr>
          <w:hyperlink w:anchor="__RefHeading___Toc7369_1156739212">
            <w:r>
              <w:rPr>
                <w:rStyle w:val="Sautdindex"/>
              </w:rPr>
              <w:t>1.5  Accord-cadre à bons de commande</w:t>
              <w:tab/>
              <w:t>5</w:t>
            </w:r>
          </w:hyperlink>
        </w:p>
        <w:p>
          <w:pPr>
            <w:pStyle w:val="Tabledesmatiresniveau2"/>
            <w:tabs>
              <w:tab w:val="clear" w:pos="706"/>
              <w:tab w:val="right" w:pos="8634" w:leader="dot"/>
            </w:tabs>
            <w:rPr/>
          </w:pPr>
          <w:hyperlink w:anchor="__RefHeading___Toc7371_1156739212">
            <w:r>
              <w:rPr>
                <w:rStyle w:val="Sautdindex"/>
              </w:rPr>
              <w:t>1.6  Date d'effet du marché</w:t>
              <w:tab/>
              <w:t>5</w:t>
            </w:r>
          </w:hyperlink>
        </w:p>
        <w:p>
          <w:pPr>
            <w:pStyle w:val="Tabledesmatiresniveau2"/>
            <w:tabs>
              <w:tab w:val="clear" w:pos="706"/>
              <w:tab w:val="right" w:pos="8634" w:leader="dot"/>
            </w:tabs>
            <w:rPr/>
          </w:pPr>
          <w:hyperlink w:anchor="__RefHeading___Toc7373_1156739212">
            <w:r>
              <w:rPr>
                <w:rStyle w:val="Sautdindex"/>
              </w:rPr>
              <w:t>1.7  Durée du marché - Période de validité</w:t>
              <w:tab/>
              <w:t>5</w:t>
            </w:r>
          </w:hyperlink>
        </w:p>
        <w:p>
          <w:pPr>
            <w:pStyle w:val="Tabledesmatiresniveau2"/>
            <w:tabs>
              <w:tab w:val="clear" w:pos="706"/>
              <w:tab w:val="right" w:pos="8634" w:leader="dot"/>
            </w:tabs>
            <w:rPr/>
          </w:pPr>
          <w:hyperlink w:anchor="__RefHeading___Toc7375_1156739212">
            <w:r>
              <w:rPr>
                <w:rStyle w:val="Sautdindex"/>
              </w:rPr>
              <w:t>1.8  Clause obligatoire d'insertion par l'activité économique</w:t>
              <w:tab/>
              <w:t>5</w:t>
            </w:r>
          </w:hyperlink>
        </w:p>
        <w:p>
          <w:pPr>
            <w:pStyle w:val="Tabledesmatiresniveau1"/>
            <w:tabs>
              <w:tab w:val="clear" w:pos="9637"/>
              <w:tab w:val="right" w:pos="8634" w:leader="dot"/>
            </w:tabs>
            <w:rPr/>
          </w:pPr>
          <w:hyperlink w:anchor="__RefHeading___Toc7377_1156739212">
            <w:r>
              <w:rPr>
                <w:rStyle w:val="Sautdindex"/>
              </w:rPr>
              <w:t>Article 2 -  DOCUMENTS CONTRACTUELS</w:t>
              <w:tab/>
              <w:t>5</w:t>
            </w:r>
          </w:hyperlink>
        </w:p>
        <w:p>
          <w:pPr>
            <w:pStyle w:val="Tabledesmatiresniveau1"/>
            <w:tabs>
              <w:tab w:val="clear" w:pos="9637"/>
              <w:tab w:val="right" w:pos="8634" w:leader="dot"/>
            </w:tabs>
            <w:rPr/>
          </w:pPr>
          <w:hyperlink w:anchor="__RefHeading___Toc7379_1156739212">
            <w:r>
              <w:rPr>
                <w:rStyle w:val="Sautdindex"/>
              </w:rPr>
              <w:t>Article 3 -  DELAIS D'EXECUTION</w:t>
              <w:tab/>
              <w:t>6</w:t>
            </w:r>
          </w:hyperlink>
        </w:p>
        <w:p>
          <w:pPr>
            <w:pStyle w:val="Tabledesmatiresniveau2"/>
            <w:tabs>
              <w:tab w:val="clear" w:pos="706"/>
              <w:tab w:val="right" w:pos="8634" w:leader="dot"/>
            </w:tabs>
            <w:rPr/>
          </w:pPr>
          <w:hyperlink w:anchor="__RefHeading___Toc7381_1156739212">
            <w:r>
              <w:rPr>
                <w:rStyle w:val="Sautdindex"/>
              </w:rPr>
              <w:t>3.1  Délais</w:t>
              <w:tab/>
              <w:t>6</w:t>
            </w:r>
          </w:hyperlink>
        </w:p>
        <w:p>
          <w:pPr>
            <w:pStyle w:val="Tabledesmatiresniveau2"/>
            <w:tabs>
              <w:tab w:val="clear" w:pos="706"/>
              <w:tab w:val="right" w:pos="8634" w:leader="dot"/>
            </w:tabs>
            <w:rPr/>
          </w:pPr>
          <w:hyperlink w:anchor="__RefHeading___Toc7383_1156739212">
            <w:r>
              <w:rPr>
                <w:rStyle w:val="Sautdindex"/>
              </w:rPr>
              <w:t>3.2  Emission des bons de commande</w:t>
              <w:tab/>
              <w:t>6</w:t>
            </w:r>
          </w:hyperlink>
        </w:p>
        <w:p>
          <w:pPr>
            <w:pStyle w:val="Tabledesmatiresniveau1"/>
            <w:tabs>
              <w:tab w:val="clear" w:pos="9637"/>
              <w:tab w:val="right" w:pos="8634" w:leader="dot"/>
            </w:tabs>
            <w:rPr/>
          </w:pPr>
          <w:hyperlink w:anchor="__RefHeading___Toc7385_1156739212">
            <w:r>
              <w:rPr>
                <w:rStyle w:val="Sautdindex"/>
              </w:rPr>
              <w:t>Article 4 -  RESERVE BON DE COMMANDE – ORDRE DE SERVICE</w:t>
              <w:tab/>
              <w:t>7</w:t>
            </w:r>
          </w:hyperlink>
        </w:p>
        <w:p>
          <w:pPr>
            <w:pStyle w:val="Tabledesmatiresniveau1"/>
            <w:tabs>
              <w:tab w:val="clear" w:pos="9637"/>
              <w:tab w:val="right" w:pos="8634" w:leader="dot"/>
            </w:tabs>
            <w:rPr/>
          </w:pPr>
          <w:hyperlink w:anchor="__RefHeading___Toc7387_1156739212">
            <w:r>
              <w:rPr>
                <w:rStyle w:val="Sautdindex"/>
              </w:rPr>
              <w:t>Article 5 -  ENTREPRISES GROUPEES</w:t>
              <w:tab/>
              <w:t>7</w:t>
            </w:r>
          </w:hyperlink>
        </w:p>
        <w:p>
          <w:pPr>
            <w:pStyle w:val="Tabledesmatiresniveau1"/>
            <w:tabs>
              <w:tab w:val="clear" w:pos="9637"/>
              <w:tab w:val="right" w:pos="8634" w:leader="dot"/>
            </w:tabs>
            <w:rPr/>
          </w:pPr>
          <w:hyperlink w:anchor="__RefHeading___Toc7389_1156739212">
            <w:r>
              <w:rPr>
                <w:rStyle w:val="Sautdindex"/>
              </w:rPr>
              <w:t>Article 6 -  CONDITIONS DE LA MISE A DISPOSITION</w:t>
              <w:tab/>
              <w:t>7</w:t>
            </w:r>
          </w:hyperlink>
        </w:p>
        <w:p>
          <w:pPr>
            <w:pStyle w:val="Tabledesmatiresniveau2"/>
            <w:tabs>
              <w:tab w:val="clear" w:pos="706"/>
              <w:tab w:val="right" w:pos="8634" w:leader="dot"/>
            </w:tabs>
            <w:rPr/>
          </w:pPr>
          <w:hyperlink w:anchor="__RefHeading___Toc7391_1156739212">
            <w:r>
              <w:rPr>
                <w:rStyle w:val="Sautdindex"/>
              </w:rPr>
              <w:t>6.1  Lieux d'exécution</w:t>
              <w:tab/>
              <w:t>7</w:t>
            </w:r>
          </w:hyperlink>
        </w:p>
        <w:p>
          <w:pPr>
            <w:pStyle w:val="Tabledesmatiresniveau2"/>
            <w:tabs>
              <w:tab w:val="clear" w:pos="706"/>
              <w:tab w:val="right" w:pos="8634" w:leader="dot"/>
            </w:tabs>
            <w:rPr/>
          </w:pPr>
          <w:hyperlink w:anchor="__RefHeading___Toc7393_1156739212">
            <w:r>
              <w:rPr>
                <w:rStyle w:val="Sautdindex"/>
              </w:rPr>
              <w:t>6.2  Biens mis à disposition du titulaire</w:t>
              <w:tab/>
              <w:t>7</w:t>
            </w:r>
          </w:hyperlink>
        </w:p>
        <w:p>
          <w:pPr>
            <w:pStyle w:val="Tabledesmatiresniveau2"/>
            <w:tabs>
              <w:tab w:val="clear" w:pos="706"/>
              <w:tab w:val="right" w:pos="8634" w:leader="dot"/>
            </w:tabs>
            <w:rPr/>
          </w:pPr>
          <w:hyperlink w:anchor="__RefHeading___Toc7395_1156739212">
            <w:r>
              <w:rPr>
                <w:rStyle w:val="Sautdindex"/>
              </w:rPr>
              <w:t>6.3  Conditions de la mise à disposition</w:t>
              <w:tab/>
              <w:t>8</w:t>
            </w:r>
          </w:hyperlink>
        </w:p>
        <w:p>
          <w:pPr>
            <w:pStyle w:val="Tabledesmatiresniveau1"/>
            <w:tabs>
              <w:tab w:val="clear" w:pos="9637"/>
              <w:tab w:val="right" w:pos="8634" w:leader="dot"/>
            </w:tabs>
            <w:rPr/>
          </w:pPr>
          <w:hyperlink w:anchor="__RefHeading___Toc7397_1156739212">
            <w:r>
              <w:rPr>
                <w:rStyle w:val="Sautdindex"/>
              </w:rPr>
              <w:t>Article 7 -  MODIFICATION DE LA COMPOSITION DE L’EQUIPE</w:t>
              <w:tab/>
              <w:t>9</w:t>
            </w:r>
          </w:hyperlink>
        </w:p>
        <w:p>
          <w:pPr>
            <w:pStyle w:val="Tabledesmatiresniveau1"/>
            <w:tabs>
              <w:tab w:val="clear" w:pos="9637"/>
              <w:tab w:val="right" w:pos="8634" w:leader="dot"/>
            </w:tabs>
            <w:rPr/>
          </w:pPr>
          <w:hyperlink w:anchor="__RefHeading___Toc7399_1156739212">
            <w:r>
              <w:rPr>
                <w:rStyle w:val="Sautdindex"/>
              </w:rPr>
              <w:t>Article 8 -  OPERATIONS DE VERIFICATIONS / ADMISSION</w:t>
              <w:tab/>
              <w:t>9</w:t>
            </w:r>
          </w:hyperlink>
        </w:p>
        <w:p>
          <w:pPr>
            <w:pStyle w:val="Tabledesmatiresniveau1"/>
            <w:tabs>
              <w:tab w:val="clear" w:pos="9637"/>
              <w:tab w:val="right" w:pos="8634" w:leader="dot"/>
            </w:tabs>
            <w:rPr/>
          </w:pPr>
          <w:hyperlink w:anchor="__RefHeading___Toc7401_1156739212">
            <w:r>
              <w:rPr>
                <w:rStyle w:val="Sautdindex"/>
              </w:rPr>
              <w:t>Article 9 -  GARANTIE CONTRACTUELLE</w:t>
              <w:tab/>
              <w:t>10</w:t>
            </w:r>
          </w:hyperlink>
        </w:p>
        <w:p>
          <w:pPr>
            <w:pStyle w:val="Tabledesmatiresniveau2"/>
            <w:tabs>
              <w:tab w:val="clear" w:pos="706"/>
              <w:tab w:val="right" w:pos="8634" w:leader="dot"/>
            </w:tabs>
            <w:rPr/>
          </w:pPr>
          <w:hyperlink w:anchor="__RefHeading___Toc7403_1156739212">
            <w:r>
              <w:rPr>
                <w:rStyle w:val="Sautdindex"/>
              </w:rPr>
              <w:t>9.1  Durée de garantie</w:t>
              <w:tab/>
              <w:t>10</w:t>
            </w:r>
          </w:hyperlink>
        </w:p>
        <w:p>
          <w:pPr>
            <w:pStyle w:val="Tabledesmatiresniveau1"/>
            <w:tabs>
              <w:tab w:val="clear" w:pos="9637"/>
              <w:tab w:val="right" w:pos="8634" w:leader="dot"/>
            </w:tabs>
            <w:rPr/>
          </w:pPr>
          <w:hyperlink w:anchor="__RefHeading___Toc7405_1156739212">
            <w:r>
              <w:rPr>
                <w:rStyle w:val="Sautdindex"/>
              </w:rPr>
              <w:t>Article 10 -  PROPRIETE INTELLECTUELLE ET UTILISATION DES RESULTATS</w:t>
              <w:tab/>
              <w:t>10</w:t>
            </w:r>
          </w:hyperlink>
        </w:p>
        <w:p>
          <w:pPr>
            <w:pStyle w:val="Tabledesmatiresniveau1"/>
            <w:tabs>
              <w:tab w:val="clear" w:pos="9637"/>
              <w:tab w:val="right" w:pos="8634" w:leader="dot"/>
            </w:tabs>
            <w:rPr/>
          </w:pPr>
          <w:hyperlink w:anchor="__RefHeading___Toc7407_1156739212">
            <w:r>
              <w:rPr>
                <w:rStyle w:val="Sautdindex"/>
              </w:rPr>
              <w:t>Article 11 -  CONFIDENTIALITE ET MESURES DE SECURITE</w:t>
              <w:tab/>
              <w:t>10</w:t>
            </w:r>
          </w:hyperlink>
        </w:p>
        <w:p>
          <w:pPr>
            <w:pStyle w:val="Tabledesmatiresniveau1"/>
            <w:tabs>
              <w:tab w:val="clear" w:pos="9637"/>
              <w:tab w:val="right" w:pos="8634" w:leader="dot"/>
            </w:tabs>
            <w:rPr/>
          </w:pPr>
          <w:hyperlink w:anchor="__RefHeading___Toc7409_1156739212">
            <w:r>
              <w:rPr>
                <w:rStyle w:val="Sautdindex"/>
              </w:rPr>
              <w:t>Article 12 -  MODALITES DE DETERMINATION DES PRIX</w:t>
              <w:tab/>
              <w:t>10</w:t>
            </w:r>
          </w:hyperlink>
        </w:p>
        <w:p>
          <w:pPr>
            <w:pStyle w:val="Tabledesmatiresniveau2"/>
            <w:tabs>
              <w:tab w:val="clear" w:pos="706"/>
              <w:tab w:val="right" w:pos="8634" w:leader="dot"/>
            </w:tabs>
            <w:rPr/>
          </w:pPr>
          <w:hyperlink w:anchor="__RefHeading___Toc7411_1156739212">
            <w:r>
              <w:rPr>
                <w:rStyle w:val="Sautdindex"/>
              </w:rPr>
              <w:t>12.1  Nature du prix</w:t>
              <w:tab/>
              <w:t>10</w:t>
            </w:r>
          </w:hyperlink>
        </w:p>
        <w:p>
          <w:pPr>
            <w:pStyle w:val="Tabledesmatiresniveau2"/>
            <w:tabs>
              <w:tab w:val="clear" w:pos="706"/>
              <w:tab w:val="right" w:pos="8634" w:leader="dot"/>
            </w:tabs>
            <w:rPr/>
          </w:pPr>
          <w:hyperlink w:anchor="__RefHeading___Toc7413_1156739212">
            <w:r>
              <w:rPr>
                <w:rStyle w:val="Sautdindex"/>
              </w:rPr>
              <w:t>12.2  Variations du prix</w:t>
              <w:tab/>
              <w:t>11</w:t>
            </w:r>
          </w:hyperlink>
        </w:p>
        <w:p>
          <w:pPr>
            <w:pStyle w:val="Tabledesmatiresniveau2"/>
            <w:tabs>
              <w:tab w:val="clear" w:pos="706"/>
              <w:tab w:val="right" w:pos="8634" w:leader="dot"/>
            </w:tabs>
            <w:rPr/>
          </w:pPr>
          <w:hyperlink w:anchor="__RefHeading___Toc7415_1156739212">
            <w:r>
              <w:rPr>
                <w:rStyle w:val="Sautdindex"/>
              </w:rPr>
              <w:t>12.3  Disparition d'indice</w:t>
              <w:tab/>
              <w:t>11</w:t>
            </w:r>
          </w:hyperlink>
        </w:p>
        <w:p>
          <w:pPr>
            <w:pStyle w:val="Tabledesmatiresniveau1"/>
            <w:tabs>
              <w:tab w:val="clear" w:pos="9637"/>
              <w:tab w:val="right" w:pos="8634" w:leader="dot"/>
            </w:tabs>
            <w:rPr/>
          </w:pPr>
          <w:hyperlink w:anchor="__RefHeading___Toc7417_1156739212">
            <w:r>
              <w:rPr>
                <w:rStyle w:val="Sautdindex"/>
              </w:rPr>
              <w:t>Article 13 -  AVANCE</w:t>
              <w:tab/>
              <w:t>12</w:t>
            </w:r>
          </w:hyperlink>
        </w:p>
        <w:p>
          <w:pPr>
            <w:pStyle w:val="Tabledesmatiresniveau2"/>
            <w:tabs>
              <w:tab w:val="clear" w:pos="706"/>
              <w:tab w:val="right" w:pos="8634" w:leader="dot"/>
            </w:tabs>
            <w:rPr/>
          </w:pPr>
          <w:hyperlink w:anchor="__RefHeading___Toc7419_1156739212">
            <w:r>
              <w:rPr>
                <w:rStyle w:val="Sautdindex"/>
              </w:rPr>
              <w:t>13.1  Régime de l'avance</w:t>
              <w:tab/>
              <w:t>12</w:t>
            </w:r>
          </w:hyperlink>
        </w:p>
        <w:p>
          <w:pPr>
            <w:pStyle w:val="Tabledesmatiresniveau2"/>
            <w:tabs>
              <w:tab w:val="clear" w:pos="706"/>
              <w:tab w:val="right" w:pos="8634" w:leader="dot"/>
            </w:tabs>
            <w:rPr/>
          </w:pPr>
          <w:hyperlink w:anchor="__RefHeading___Toc7421_1156739212">
            <w:r>
              <w:rPr>
                <w:rStyle w:val="Sautdindex"/>
              </w:rPr>
              <w:t>13.2  Dispositions complémentaires</w:t>
              <w:tab/>
              <w:t>12</w:t>
            </w:r>
          </w:hyperlink>
        </w:p>
        <w:p>
          <w:pPr>
            <w:pStyle w:val="Tabledesmatiresniveau1"/>
            <w:tabs>
              <w:tab w:val="clear" w:pos="9637"/>
              <w:tab w:val="right" w:pos="8634" w:leader="dot"/>
            </w:tabs>
            <w:rPr/>
          </w:pPr>
          <w:hyperlink w:anchor="__RefHeading___Toc7423_1156739212">
            <w:r>
              <w:rPr>
                <w:rStyle w:val="Sautdindex"/>
              </w:rPr>
              <w:t>Article 14 -  MODALITÉS DE REGLEMENT</w:t>
              <w:tab/>
              <w:t>12</w:t>
            </w:r>
          </w:hyperlink>
        </w:p>
        <w:p>
          <w:pPr>
            <w:pStyle w:val="Tabledesmatiresniveau1"/>
            <w:tabs>
              <w:tab w:val="clear" w:pos="9637"/>
              <w:tab w:val="right" w:pos="8634" w:leader="dot"/>
            </w:tabs>
            <w:rPr/>
          </w:pPr>
          <w:hyperlink w:anchor="__RefHeading___Toc7425_1156739212">
            <w:r>
              <w:rPr>
                <w:rStyle w:val="Sautdindex"/>
              </w:rPr>
              <w:t>Article 15 -  PAIEMENT ET ETABLISSEMENT DE LA FACTURE</w:t>
              <w:tab/>
              <w:t>13</w:t>
            </w:r>
          </w:hyperlink>
        </w:p>
        <w:p>
          <w:pPr>
            <w:pStyle w:val="Tabledesmatiresniveau2"/>
            <w:tabs>
              <w:tab w:val="clear" w:pos="706"/>
              <w:tab w:val="right" w:pos="8634" w:leader="dot"/>
            </w:tabs>
            <w:rPr/>
          </w:pPr>
          <w:hyperlink w:anchor="__RefHeading___Toc7427_1156739212">
            <w:r>
              <w:rPr>
                <w:rStyle w:val="Sautdindex"/>
              </w:rPr>
              <w:t>15.1  Délais de paiements</w:t>
              <w:tab/>
              <w:t>13</w:t>
            </w:r>
          </w:hyperlink>
        </w:p>
        <w:p>
          <w:pPr>
            <w:pStyle w:val="Tabledesmatiresniveau2"/>
            <w:tabs>
              <w:tab w:val="clear" w:pos="706"/>
              <w:tab w:val="right" w:pos="8634" w:leader="dot"/>
            </w:tabs>
            <w:rPr/>
          </w:pPr>
          <w:hyperlink w:anchor="__RefHeading___Toc7429_1156739212">
            <w:r>
              <w:rPr>
                <w:rStyle w:val="Sautdindex"/>
              </w:rPr>
              <w:t>15.2  Intérêts moratoires</w:t>
              <w:tab/>
              <w:t>13</w:t>
            </w:r>
          </w:hyperlink>
        </w:p>
        <w:p>
          <w:pPr>
            <w:pStyle w:val="Tabledesmatiresniveau2"/>
            <w:tabs>
              <w:tab w:val="clear" w:pos="706"/>
              <w:tab w:val="right" w:pos="8634" w:leader="dot"/>
            </w:tabs>
            <w:rPr/>
          </w:pPr>
          <w:hyperlink w:anchor="__RefHeading___Toc7431_1156739212">
            <w:r>
              <w:rPr>
                <w:rStyle w:val="Sautdindex"/>
              </w:rPr>
              <w:t>15.3  Modalités de paiement direct des sous-traitants</w:t>
              <w:tab/>
              <w:t>13</w:t>
            </w:r>
          </w:hyperlink>
        </w:p>
        <w:p>
          <w:pPr>
            <w:pStyle w:val="Tabledesmatiresniveau2"/>
            <w:tabs>
              <w:tab w:val="clear" w:pos="706"/>
              <w:tab w:val="right" w:pos="8634" w:leader="dot"/>
            </w:tabs>
            <w:rPr/>
          </w:pPr>
          <w:hyperlink w:anchor="__RefHeading___Toc7433_1156739212">
            <w:r>
              <w:rPr>
                <w:rStyle w:val="Sautdindex"/>
              </w:rPr>
              <w:t>15.4  Présentation des demandes de paiement</w:t>
              <w:tab/>
              <w:t>13</w:t>
            </w:r>
          </w:hyperlink>
        </w:p>
        <w:p>
          <w:pPr>
            <w:pStyle w:val="Tabledesmatiresniveau2"/>
            <w:tabs>
              <w:tab w:val="clear" w:pos="706"/>
              <w:tab w:val="right" w:pos="8634" w:leader="dot"/>
            </w:tabs>
            <w:rPr/>
          </w:pPr>
          <w:hyperlink w:anchor="__RefHeading___Toc7435_1156739212">
            <w:r>
              <w:rPr>
                <w:rStyle w:val="Sautdindex"/>
              </w:rPr>
              <w:t>15.5  Dématérialisation des factures</w:t>
              <w:tab/>
              <w:t>14</w:t>
            </w:r>
          </w:hyperlink>
        </w:p>
        <w:p>
          <w:pPr>
            <w:pStyle w:val="Tabledesmatiresniveau1"/>
            <w:tabs>
              <w:tab w:val="clear" w:pos="9637"/>
              <w:tab w:val="right" w:pos="8634" w:leader="dot"/>
            </w:tabs>
            <w:rPr/>
          </w:pPr>
          <w:hyperlink w:anchor="__RefHeading___Toc7437_1156739212">
            <w:r>
              <w:rPr>
                <w:rStyle w:val="Sautdindex"/>
              </w:rPr>
              <w:t>Article 16 -  PENALITES</w:t>
              <w:tab/>
              <w:t>15</w:t>
            </w:r>
          </w:hyperlink>
        </w:p>
        <w:p>
          <w:pPr>
            <w:pStyle w:val="Tabledesmatiresniveau2"/>
            <w:tabs>
              <w:tab w:val="clear" w:pos="706"/>
              <w:tab w:val="right" w:pos="8634" w:leader="dot"/>
            </w:tabs>
            <w:rPr/>
          </w:pPr>
          <w:hyperlink w:anchor="__RefHeading___Toc7439_1156739212">
            <w:r>
              <w:rPr>
                <w:rStyle w:val="Sautdindex"/>
              </w:rPr>
              <w:t>16.1  Pénalités de retard</w:t>
              <w:tab/>
              <w:t>15</w:t>
            </w:r>
          </w:hyperlink>
        </w:p>
        <w:p>
          <w:pPr>
            <w:pStyle w:val="Tabledesmatiresniveau2"/>
            <w:tabs>
              <w:tab w:val="clear" w:pos="706"/>
              <w:tab w:val="right" w:pos="8634" w:leader="dot"/>
            </w:tabs>
            <w:rPr/>
          </w:pPr>
          <w:hyperlink w:anchor="__RefHeading___Toc7441_1156739212">
            <w:r>
              <w:rPr>
                <w:rStyle w:val="Sautdindex"/>
              </w:rPr>
              <w:t>16.2  Obligations environnementales à la charge du titulaire et pénalités en cas de manquement</w:t>
              <w:tab/>
              <w:t>15</w:t>
            </w:r>
          </w:hyperlink>
        </w:p>
        <w:p>
          <w:pPr>
            <w:pStyle w:val="Tabledesmatiresniveau2"/>
            <w:tabs>
              <w:tab w:val="clear" w:pos="706"/>
              <w:tab w:val="right" w:pos="8634" w:leader="dot"/>
            </w:tabs>
            <w:rPr/>
          </w:pPr>
          <w:hyperlink w:anchor="__RefHeading___Toc7443_1156739212">
            <w:r>
              <w:rPr>
                <w:rStyle w:val="Sautdindex"/>
              </w:rPr>
              <w:t>16.3  Pénalités pour non respect des dispositions du Code du Travail</w:t>
              <w:tab/>
              <w:t>15</w:t>
            </w:r>
          </w:hyperlink>
        </w:p>
        <w:p>
          <w:pPr>
            <w:pStyle w:val="Tabledesmatiresniveau2"/>
            <w:tabs>
              <w:tab w:val="clear" w:pos="706"/>
              <w:tab w:val="right" w:pos="8634" w:leader="dot"/>
            </w:tabs>
            <w:rPr/>
          </w:pPr>
          <w:hyperlink w:anchor="__RefHeading___Toc7445_1156739212">
            <w:r>
              <w:rPr>
                <w:rStyle w:val="Sautdindex"/>
              </w:rPr>
              <w:t>16.4  Autres pénalités</w:t>
              <w:tab/>
              <w:t>15</w:t>
            </w:r>
          </w:hyperlink>
        </w:p>
        <w:p>
          <w:pPr>
            <w:pStyle w:val="Tabledesmatiresniveau1"/>
            <w:tabs>
              <w:tab w:val="clear" w:pos="9637"/>
              <w:tab w:val="right" w:pos="8634" w:leader="dot"/>
            </w:tabs>
            <w:rPr/>
          </w:pPr>
          <w:hyperlink w:anchor="__RefHeading___Toc7447_1156739212">
            <w:r>
              <w:rPr>
                <w:rStyle w:val="Sautdindex"/>
              </w:rPr>
              <w:t>Article 17 -  RESILIATION ET EXECUTION DES PRESTATIONS AUX FRAIS ET RISQUES DU TITULAIRE</w:t>
              <w:tab/>
              <w:t>16</w:t>
            </w:r>
          </w:hyperlink>
        </w:p>
        <w:p>
          <w:pPr>
            <w:pStyle w:val="Tabledesmatiresniveau1"/>
            <w:tabs>
              <w:tab w:val="clear" w:pos="9637"/>
              <w:tab w:val="right" w:pos="8634" w:leader="dot"/>
            </w:tabs>
            <w:rPr/>
          </w:pPr>
          <w:hyperlink w:anchor="__RefHeading___Toc7449_1156739212">
            <w:r>
              <w:rPr>
                <w:rStyle w:val="Sautdindex"/>
              </w:rPr>
              <w:t>Article 18 -  CLAUSES DE GESTION DES DONNEES</w:t>
              <w:tab/>
              <w:t>16</w:t>
            </w:r>
          </w:hyperlink>
        </w:p>
        <w:p>
          <w:pPr>
            <w:pStyle w:val="Tabledesmatiresniveau2"/>
            <w:tabs>
              <w:tab w:val="clear" w:pos="706"/>
              <w:tab w:val="right" w:pos="8634" w:leader="dot"/>
            </w:tabs>
            <w:rPr/>
          </w:pPr>
          <w:hyperlink w:anchor="__RefHeading___Toc7451_1156739212">
            <w:r>
              <w:rPr>
                <w:rStyle w:val="Sautdindex"/>
              </w:rPr>
              <w:t>18.1  Les contraintes réglementaires</w:t>
              <w:tab/>
              <w:t>16</w:t>
            </w:r>
          </w:hyperlink>
        </w:p>
        <w:p>
          <w:pPr>
            <w:pStyle w:val="Tabledesmatiresniveau3"/>
            <w:tabs>
              <w:tab w:val="clear" w:pos="9241"/>
              <w:tab w:val="right" w:pos="8634" w:leader="dot"/>
            </w:tabs>
            <w:rPr/>
          </w:pPr>
          <w:hyperlink w:anchor="__RefHeading___Toc7453_1156739212">
            <w:r>
              <w:rPr>
                <w:rStyle w:val="Sautdindex"/>
              </w:rPr>
              <w:t>18.1.1  Le RGS</w:t>
              <w:tab/>
              <w:t>16</w:t>
            </w:r>
          </w:hyperlink>
        </w:p>
        <w:p>
          <w:pPr>
            <w:pStyle w:val="Tabledesmatiresniveau3"/>
            <w:tabs>
              <w:tab w:val="clear" w:pos="9241"/>
              <w:tab w:val="right" w:pos="8634" w:leader="dot"/>
            </w:tabs>
            <w:rPr/>
          </w:pPr>
          <w:hyperlink w:anchor="__RefHeading___Toc7455_1156739212">
            <w:r>
              <w:rPr>
                <w:rStyle w:val="Sautdindex"/>
              </w:rPr>
              <w:t>18.1.2  Le Règlement Général sur la Protection des Données (RGPD)</w:t>
              <w:tab/>
              <w:t>16</w:t>
            </w:r>
          </w:hyperlink>
        </w:p>
        <w:p>
          <w:pPr>
            <w:pStyle w:val="Tabledesmatiresniveau3"/>
            <w:tabs>
              <w:tab w:val="clear" w:pos="9241"/>
              <w:tab w:val="right" w:pos="8634" w:leader="dot"/>
            </w:tabs>
            <w:rPr/>
          </w:pPr>
          <w:hyperlink w:anchor="__RefHeading___Toc7457_1156739212">
            <w:r>
              <w:rPr>
                <w:rStyle w:val="Sautdindex"/>
              </w:rPr>
              <w:t>18.1.3  Le Code du Patrimoine</w:t>
              <w:tab/>
              <w:t>17</w:t>
            </w:r>
          </w:hyperlink>
        </w:p>
        <w:p>
          <w:pPr>
            <w:pStyle w:val="Tabledesmatiresniveau2"/>
            <w:tabs>
              <w:tab w:val="clear" w:pos="706"/>
              <w:tab w:val="right" w:pos="8634" w:leader="dot"/>
            </w:tabs>
            <w:rPr/>
          </w:pPr>
          <w:hyperlink w:anchor="__RefHeading___Toc7459_1156739212">
            <w:r>
              <w:rPr>
                <w:rStyle w:val="Sautdindex"/>
              </w:rPr>
              <w:t>18.2  Les clauses générales de confidentialité</w:t>
              <w:tab/>
              <w:t>17</w:t>
            </w:r>
          </w:hyperlink>
        </w:p>
        <w:p>
          <w:pPr>
            <w:pStyle w:val="Tabledesmatiresniveau2"/>
            <w:tabs>
              <w:tab w:val="clear" w:pos="706"/>
              <w:tab w:val="right" w:pos="8634" w:leader="dot"/>
            </w:tabs>
            <w:rPr/>
          </w:pPr>
          <w:hyperlink w:anchor="__RefHeading___Toc7461_1156739212">
            <w:r>
              <w:rPr>
                <w:rStyle w:val="Sautdindex"/>
              </w:rPr>
              <w:t>18.3  Les contrôles</w:t>
              <w:tab/>
              <w:t>18</w:t>
            </w:r>
          </w:hyperlink>
        </w:p>
        <w:p>
          <w:pPr>
            <w:pStyle w:val="Tabledesmatiresniveau2"/>
            <w:tabs>
              <w:tab w:val="clear" w:pos="706"/>
              <w:tab w:val="right" w:pos="8634" w:leader="dot"/>
            </w:tabs>
            <w:rPr/>
          </w:pPr>
          <w:hyperlink w:anchor="__RefHeading___Toc7463_1156739212">
            <w:r>
              <w:rPr>
                <w:rStyle w:val="Sautdindex"/>
              </w:rPr>
              <w:t>18.4  Phase de réversibilité</w:t>
              <w:tab/>
              <w:t>18</w:t>
            </w:r>
          </w:hyperlink>
        </w:p>
        <w:p>
          <w:pPr>
            <w:pStyle w:val="Tabledesmatiresniveau1"/>
            <w:tabs>
              <w:tab w:val="clear" w:pos="9637"/>
              <w:tab w:val="right" w:pos="8634" w:leader="dot"/>
            </w:tabs>
            <w:rPr/>
          </w:pPr>
          <w:hyperlink w:anchor="__RefHeading___Toc7465_1156739212">
            <w:r>
              <w:rPr>
                <w:rStyle w:val="Sautdindex"/>
              </w:rPr>
              <w:t>Article 19 -  LOGICIEL E-ATTESTATIONS</w:t>
              <w:tab/>
              <w:t>18</w:t>
            </w:r>
          </w:hyperlink>
        </w:p>
        <w:p>
          <w:pPr>
            <w:pStyle w:val="Tabledesmatiresniveau1"/>
            <w:tabs>
              <w:tab w:val="clear" w:pos="9637"/>
              <w:tab w:val="right" w:pos="8634" w:leader="dot"/>
            </w:tabs>
            <w:rPr/>
          </w:pPr>
          <w:hyperlink w:anchor="__RefHeading___Toc7467_1156739212">
            <w:r>
              <w:rPr>
                <w:rStyle w:val="Sautdindex"/>
              </w:rPr>
              <w:t>Article 20 -  LOI APPLICABLE</w:t>
              <w:tab/>
              <w:t>18</w:t>
            </w:r>
          </w:hyperlink>
        </w:p>
        <w:p>
          <w:pPr>
            <w:pStyle w:val="Tabledesmatiresniveau1"/>
            <w:tabs>
              <w:tab w:val="clear" w:pos="9637"/>
              <w:tab w:val="right" w:pos="8634" w:leader="dot"/>
            </w:tabs>
            <w:rPr/>
          </w:pPr>
          <w:hyperlink w:anchor="__RefHeading___Toc7469_1156739212">
            <w:r>
              <w:rPr>
                <w:rStyle w:val="Sautdindex"/>
              </w:rPr>
              <w:t>Article 21 -  CONFORMITE AUX NORMES</w:t>
              <w:tab/>
              <w:t>19</w:t>
            </w:r>
          </w:hyperlink>
        </w:p>
        <w:p>
          <w:pPr>
            <w:pStyle w:val="Tabledesmatiresniveau1"/>
            <w:tabs>
              <w:tab w:val="clear" w:pos="9637"/>
              <w:tab w:val="right" w:pos="8634" w:leader="dot"/>
            </w:tabs>
            <w:rPr/>
          </w:pPr>
          <w:hyperlink w:anchor="__RefHeading___Toc7471_1156739212">
            <w:r>
              <w:rPr>
                <w:rStyle w:val="Sautdindex"/>
              </w:rPr>
              <w:t>Article 22 -  ASSURANCES</w:t>
              <w:tab/>
              <w:t>19</w:t>
            </w:r>
          </w:hyperlink>
        </w:p>
        <w:p>
          <w:pPr>
            <w:pStyle w:val="Tabledesmatiresniveau1"/>
            <w:tabs>
              <w:tab w:val="clear" w:pos="9637"/>
              <w:tab w:val="right" w:pos="8634" w:leader="dot"/>
            </w:tabs>
            <w:rPr/>
          </w:pPr>
          <w:hyperlink w:anchor="__RefHeading___Toc7473_1156739212">
            <w:r>
              <w:rPr>
                <w:rStyle w:val="Sautdindex"/>
              </w:rPr>
              <w:t>Article 23 -  DEROGATIONS AUX DOCUMENTS GENERAUX</w:t>
              <w:tab/>
              <w:t>19</w:t>
            </w:r>
          </w:hyperlink>
          <w:r>
            <w:rPr>
              <w:rStyle w:val="Sautdindex"/>
            </w:rPr>
            <w:fldChar w:fldCharType="end"/>
          </w:r>
        </w:p>
      </w:sdtContent>
    </w:sdt>
    <w:p>
      <w:pPr>
        <w:pStyle w:val="Tabledesmatiresniveau1"/>
        <w:tabs>
          <w:tab w:val="right" w:pos="8290" w:leader="dot"/>
          <w:tab w:val="right" w:pos="9637" w:leader="dot"/>
        </w:tabs>
        <w:rPr/>
      </w:pPr>
      <w:r>
        <w:fldChar w:fldCharType="begin"/>
      </w:r>
      <w:r>
        <w:rPr/>
      </w:r>
      <w:hyperlink w:anchor="_Toc3986" w:tgtFrame="#_Toc3986">
        <w:r>
          <w:rPr>
            <w:webHidden/>
          </w:rPr>
          <w:fldChar w:fldCharType="begin"/>
        </w:r>
        <w:r>
          <w:rPr>
            <w:webHidden/>
          </w:rPr>
          <w:instrText>PAGEREF _Toc3986 \h</w:instrText>
        </w:r>
        <w:r>
          <w:rPr>
            <w:webHidden/>
          </w:rPr>
          <w:fldChar w:fldCharType="separate"/>
        </w:r>
        <w:r>
          <w:rPr/>
        </w:r>
        <w:r>
          <w:rPr>
            <w:webHidden/>
          </w:rPr>
          <w:fldChar w:fldCharType="end"/>
        </w:r>
      </w:hyperlink>
      <w:r>
        <w:fldChar w:fldCharType="begin"/>
      </w:r>
      <w:r>
        <w:rPr/>
      </w:r>
      <w:r>
        <w:rPr/>
      </w:r>
      <w:r>
        <w:rPr/>
        <w:fldChar w:fldCharType="separate"/>
      </w:r>
      <w:r>
        <w:rPr/>
      </w:r>
      <w:r>
        <w:rPr/>
      </w:r>
      <w:r>
        <w:rPr/>
        <w:fldChar w:fldCharType="end"/>
      </w:r>
      <w:r>
        <w:rPr>
          <w:vanish/>
        </w:rPr>
        <w:fldChar w:fldCharType="begin"/>
      </w:r>
      <w:r>
        <w:rPr>
          <w:vanish/>
        </w:rPr>
        <w:instrText> PAGEREF _Toc3986 \h </w:instrText>
      </w:r>
      <w:r>
        <w:rPr>
          <w:vanish/>
        </w:rPr>
        <w:fldChar w:fldCharType="separate"/>
      </w:r>
      <w:r>
        <w:rPr>
          <w:vanish/>
        </w:rPr>
        <w:t>4</w:t>
      </w:r>
      <w:r>
        <w:rPr>
          <w:vanish/>
        </w:rPr>
        <w:fldChar w:fldCharType="end"/>
      </w:r>
      <w:r>
        <w:rPr/>
        <w:fldChar w:fldCharType="begin"/>
      </w:r>
      <w:r>
        <w:rPr/>
        <w:instrText> PAGEREF _Toc3986 \h </w:instrText>
      </w:r>
      <w:r>
        <w:rPr/>
        <w:fldChar w:fldCharType="separate"/>
      </w:r>
      <w:r>
        <w:rPr/>
        <w:t>4</w:t>
      </w:r>
      <w:r>
        <w:rPr/>
        <w:fldChar w:fldCharType="end"/>
      </w:r>
      <w:r>
        <w:rPr>
          <w:vanish/>
        </w:rPr>
        <w:fldChar w:fldCharType="begin"/>
      </w:r>
      <w:r>
        <w:rPr>
          <w:vanish/>
        </w:rPr>
        <w:instrText> PAGEREF _Toc3986 \h </w:instrText>
      </w:r>
      <w:r>
        <w:rPr>
          <w:vanish/>
        </w:rPr>
        <w:fldChar w:fldCharType="separate"/>
      </w:r>
      <w:r>
        <w:rPr>
          <w:vanish/>
        </w:rPr>
        <w:t>4</w:t>
      </w:r>
      <w:r>
        <w:rPr>
          <w:vanish/>
        </w:rPr>
        <w:fldChar w:fldCharType="end"/>
      </w:r>
      <w:r>
        <w:rPr>
          <w:vanish/>
        </w:rPr>
        <w:fldChar w:fldCharType="separate"/>
      </w:r>
      <w:r>
        <w:rPr>
          <w:vanish/>
        </w:rPr>
      </w:r>
      <w:r>
        <w:rPr>
          <w:vanish/>
        </w:rPr>
      </w:r>
      <w:r>
        <w:rPr>
          <w:vanish/>
        </w:rPr>
        <w:fldChar w:fldCharType="end"/>
      </w:r>
      <w:r>
        <w:rPr/>
        <w:fldChar w:fldCharType="begin"/>
      </w:r>
      <w:r>
        <w:rPr/>
        <w:instrText> PAGEREF _Toc3986 \h </w:instrText>
      </w:r>
      <w:r>
        <w:rPr/>
        <w:fldChar w:fldCharType="separate"/>
      </w:r>
      <w:r>
        <w:rPr/>
        <w:t>4</w:t>
      </w:r>
      <w:r>
        <w:rPr/>
        <w:fldChar w:fldCharType="end"/>
      </w:r>
      <w:r>
        <w:br w:type="page"/>
      </w:r>
    </w:p>
    <w:p>
      <w:pPr>
        <w:pStyle w:val="Titre1"/>
        <w:numPr>
          <w:ilvl w:val="0"/>
          <w:numId w:val="2"/>
        </w:numPr>
        <w:ind w:left="1701" w:right="0" w:firstLine="283"/>
        <w:rPr/>
      </w:pPr>
      <w:bookmarkStart w:id="1" w:name="__RefHeading___Toc7353_1156739212"/>
      <w:bookmarkStart w:id="2" w:name="_Toc3986"/>
      <w:bookmarkEnd w:id="1"/>
      <w:r>
        <w:rPr/>
        <w:t>OBJET ET DUREE DU MARCHE</w:t>
      </w:r>
      <w:bookmarkEnd w:id="2"/>
    </w:p>
    <w:p>
      <w:pPr>
        <w:pStyle w:val="Titre2"/>
        <w:numPr>
          <w:ilvl w:val="1"/>
          <w:numId w:val="2"/>
        </w:numPr>
        <w:ind w:left="1701" w:right="0" w:firstLine="283"/>
        <w:rPr/>
      </w:pPr>
      <w:bookmarkStart w:id="3" w:name="__RefHeading___Toc7355_1156739212"/>
      <w:bookmarkStart w:id="4" w:name="_Toc3987"/>
      <w:bookmarkEnd w:id="3"/>
      <w:r>
        <w:rPr/>
        <w:t>Intitulé et Objet des prestations</w:t>
      </w:r>
      <w:bookmarkEnd w:id="4"/>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Intitulé de la consultation : ACTIVITES PEDAGOGIQUES DE SENSIBILISATION A L'ENVIRONNEMENT - RELAIS NATURE DE LA MOLINE</w:t>
      </w:r>
    </w:p>
    <w:p>
      <w:pPr>
        <w:pStyle w:val="Normal"/>
        <w:rPr>
          <w:sz w:val="21"/>
          <w:szCs w:val="21"/>
        </w:rPr>
      </w:pPr>
      <w:r>
        <w:rPr>
          <w:rFonts w:eastAsia="arial" w:cs="arial" w:ascii="arial" w:hAnsi="arial"/>
          <w:b w:val="false"/>
          <w:i w:val="false"/>
          <w:color w:val="000000"/>
          <w:sz w:val="21"/>
          <w:szCs w:val="21"/>
          <w:u w:val="none"/>
        </w:rPr>
        <w:t>La présente consultation a pour objet : la réalisation d'activités pédagogiques de sensibilisation à l'environnement sur le temps scolaire et extrascolaire,</w:t>
      </w:r>
      <w:r>
        <w:rPr>
          <w:rFonts w:eastAsia="arial" w:cs="arial" w:ascii="arial" w:hAnsi="arial"/>
          <w:b w:val="false"/>
          <w:i w:val="false"/>
          <w:color w:val="000000"/>
          <w:sz w:val="21"/>
          <w:szCs w:val="21"/>
          <w:u w:val="none"/>
          <w:shd w:fill="auto" w:val="clear"/>
        </w:rPr>
        <w:t xml:space="preserve"> </w:t>
      </w:r>
      <w:r>
        <w:rPr>
          <w:rFonts w:eastAsia="Arial" w:cs="Arial" w:ascii="arial" w:hAnsi="arial"/>
          <w:b w:val="false"/>
          <w:i w:val="false"/>
          <w:color w:val="000000"/>
          <w:sz w:val="21"/>
          <w:szCs w:val="21"/>
          <w:u w:val="none"/>
          <w:shd w:fill="auto" w:val="clear"/>
        </w:rPr>
        <w:t>l’entretien du jardin support des activités,</w:t>
      </w:r>
      <w:r>
        <w:rPr>
          <w:rFonts w:eastAsia="arial" w:cs="arial" w:ascii="arial" w:hAnsi="arial"/>
          <w:b w:val="false"/>
          <w:i w:val="false"/>
          <w:color w:val="000000"/>
          <w:sz w:val="21"/>
          <w:szCs w:val="21"/>
          <w:u w:val="none"/>
          <w:shd w:fill="auto" w:val="clear"/>
        </w:rPr>
        <w:t xml:space="preserve"> </w:t>
      </w:r>
      <w:r>
        <w:rPr>
          <w:rFonts w:eastAsia="arial" w:cs="arial" w:ascii="arial" w:hAnsi="arial"/>
          <w:b w:val="false"/>
          <w:i w:val="false"/>
          <w:color w:val="000000"/>
          <w:sz w:val="21"/>
          <w:szCs w:val="21"/>
          <w:u w:val="none"/>
        </w:rPr>
        <w:t>au sein du Relais-Nature de la Moline, situé 26 boulevard Marius Richard 13012 Marseille.</w:t>
      </w:r>
    </w:p>
    <w:p>
      <w:pPr>
        <w:pStyle w:val="BodyText3"/>
        <w:rPr>
          <w:sz w:val="21"/>
          <w:szCs w:val="21"/>
        </w:rPr>
      </w:pPr>
      <w:r>
        <w:rPr>
          <w:rFonts w:cs="Times New Roman" w:ascii="Arial" w:hAnsi="Arial"/>
          <w:b w:val="false"/>
          <w:bCs w:val="false"/>
          <w:color w:val="000000"/>
          <w:sz w:val="21"/>
          <w:szCs w:val="21"/>
        </w:rPr>
        <w:t>La Ville de Marseille a créé des fermes pédagogiques et des relais-nature dans le cadre de sa politique d’éducation à l’environnement et de sensibilisation du jeune public à la protection de la nature.</w:t>
      </w:r>
    </w:p>
    <w:p>
      <w:pPr>
        <w:pStyle w:val="BodyText3"/>
        <w:rPr>
          <w:sz w:val="21"/>
          <w:szCs w:val="21"/>
        </w:rPr>
      </w:pPr>
      <w:r>
        <w:rPr>
          <w:rFonts w:cs="Times New Roman" w:ascii="Arial" w:hAnsi="Arial"/>
          <w:b w:val="false"/>
          <w:bCs w:val="false"/>
          <w:color w:val="000000"/>
          <w:sz w:val="21"/>
          <w:szCs w:val="21"/>
        </w:rPr>
        <w:t>La mission d’un relais-nature s’appuie sur la circulaire du 6 juin 1980 (Ministères de l’Environnement, de l’Éducation, de l’Agriculture et de la Jeunesse et des Sports) relative au développement de l’initiation à l’environnement : « Dans le cadre de la politique nationale de protection de la nature et de l’environnement, il est du plus haut intérêt de sensibiliser et de former sur le terrain les jeunes et les adultes. Une telle action implique une démarche nouvelle, d’essence interdisciplinaire, permettant une vision aussi globale que possible des problèmes posés par les relations qui unissent l’homme à son milieu de vie dans le temps et l’espace ».</w:t>
      </w:r>
    </w:p>
    <w:p>
      <w:pPr>
        <w:pStyle w:val="Normal"/>
        <w:rPr>
          <w:sz w:val="21"/>
          <w:szCs w:val="21"/>
        </w:rPr>
      </w:pPr>
      <w:r>
        <w:rPr>
          <w:rFonts w:eastAsia="arial" w:cs="Times New Roman"/>
          <w:b w:val="false"/>
          <w:i w:val="false"/>
          <w:color w:val="000000"/>
          <w:sz w:val="21"/>
          <w:szCs w:val="21"/>
          <w:u w:val="none"/>
        </w:rPr>
        <w:t xml:space="preserve">La finalité recherchée par la Ville de Marseille est de développer auprès des publics, en particulier des plus jeunes, une sensibilité à l’environnement, de leur offrir un espace </w:t>
      </w:r>
      <w:r>
        <w:rPr>
          <w:rFonts w:eastAsia="arial" w:cs="Times New Roman"/>
          <w:b w:val="false"/>
          <w:bCs w:val="false"/>
          <w:i w:val="false"/>
          <w:color w:val="000000"/>
          <w:sz w:val="21"/>
          <w:szCs w:val="21"/>
          <w:u w:val="none"/>
        </w:rPr>
        <w:t>d’expérimentation pour appréhender un certain nombre de concepts concernant l’écologie, l’interdépendance des êtres vivants, la biodiversité et le développement durable.</w:t>
      </w:r>
      <w:r>
        <w:rPr>
          <w:rFonts w:eastAsia="arial" w:cs="Times New Roman"/>
          <w:b w:val="false"/>
          <w:i w:val="false"/>
          <w:color w:val="000000"/>
          <w:sz w:val="21"/>
          <w:szCs w:val="21"/>
          <w:u w:val="none"/>
        </w:rPr>
        <w:t xml:space="preserve"> Il s’agit d’apprendre à regarder, sentir, écouter pour aimer et respecter ; d’observer et d’expérimenter pour agir de manière responsable</w:t>
      </w:r>
      <w:r>
        <w:rPr>
          <w:rFonts w:eastAsia="arial" w:cs="Times New Roman" w:ascii="Times New Roman" w:hAnsi="Times New Roman"/>
          <w:b w:val="false"/>
          <w:i w:val="false"/>
          <w:color w:val="000000"/>
          <w:sz w:val="21"/>
          <w:szCs w:val="21"/>
          <w:u w:val="none"/>
        </w:rPr>
        <w:t>.</w:t>
      </w:r>
    </w:p>
    <w:p>
      <w:pPr>
        <w:pStyle w:val="Titre2"/>
        <w:numPr>
          <w:ilvl w:val="1"/>
          <w:numId w:val="2"/>
        </w:numPr>
        <w:ind w:left="1701" w:right="0" w:firstLine="283"/>
        <w:rPr/>
      </w:pPr>
      <w:bookmarkStart w:id="5" w:name="__RefHeading___Toc7357_1156739212"/>
      <w:bookmarkStart w:id="6" w:name="_Toc3988"/>
      <w:bookmarkEnd w:id="5"/>
      <w:r>
        <w:rPr/>
        <w:t>Procédure</w:t>
      </w:r>
      <w:bookmarkEnd w:id="6"/>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Titre2"/>
        <w:numPr>
          <w:ilvl w:val="1"/>
          <w:numId w:val="2"/>
        </w:numPr>
        <w:ind w:left="1701" w:right="0" w:firstLine="283"/>
        <w:rPr/>
      </w:pPr>
      <w:bookmarkStart w:id="7" w:name="__RefHeading___Toc7359_1156739212"/>
      <w:bookmarkStart w:id="8" w:name="_Toc3989"/>
      <w:bookmarkEnd w:id="7"/>
      <w:r>
        <w:rPr/>
        <w:t>Décomposition en Lots, Tranches et postes</w:t>
      </w:r>
      <w:bookmarkEnd w:id="8"/>
    </w:p>
    <w:p>
      <w:pPr>
        <w:pStyle w:val="Titre3"/>
        <w:numPr>
          <w:ilvl w:val="2"/>
          <w:numId w:val="2"/>
        </w:numPr>
        <w:ind w:left="1701" w:right="0" w:firstLine="283"/>
        <w:rPr/>
      </w:pPr>
      <w:bookmarkStart w:id="9" w:name="__RefHeading___Toc7361_1156739212"/>
      <w:bookmarkStart w:id="10" w:name="_Toc3990"/>
      <w:bookmarkEnd w:id="9"/>
      <w:r>
        <w:rPr/>
        <w:t>Décomposition en lots</w:t>
      </w:r>
      <w:bookmarkEnd w:id="10"/>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prestations fait l'objet d'un marché unique.</w:t>
      </w:r>
    </w:p>
    <w:p>
      <w:pPr>
        <w:pStyle w:val="Titre3"/>
        <w:numPr>
          <w:ilvl w:val="2"/>
          <w:numId w:val="2"/>
        </w:numPr>
        <w:ind w:left="1701" w:right="0" w:firstLine="283"/>
        <w:rPr/>
      </w:pPr>
      <w:bookmarkStart w:id="11" w:name="__RefHeading___Toc7363_1156739212"/>
      <w:bookmarkStart w:id="12" w:name="_Toc3991"/>
      <w:bookmarkEnd w:id="11"/>
      <w:r>
        <w:rPr/>
        <w:t>Décomposition en tranches</w:t>
      </w:r>
      <w:bookmarkEnd w:id="12"/>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ind w:left="1701" w:right="0" w:firstLine="283"/>
        <w:rPr/>
      </w:pPr>
      <w:bookmarkStart w:id="13" w:name="__RefHeading___Toc7365_1156739212"/>
      <w:bookmarkStart w:id="14" w:name="_Toc3992"/>
      <w:bookmarkEnd w:id="13"/>
      <w:r>
        <w:rPr/>
        <w:t>Décomposition en postes</w:t>
      </w:r>
      <w:bookmarkEnd w:id="14"/>
    </w:p>
    <w:p>
      <w:pPr>
        <w:pStyle w:val="Normal"/>
        <w:rPr/>
      </w:pPr>
      <w:r>
        <w:rPr>
          <w:rFonts w:eastAsia="arial" w:cs="arial" w:ascii="arial" w:hAnsi="arial"/>
          <w:b w:val="false"/>
          <w:i w:val="false"/>
          <w:color w:val="000000"/>
          <w:sz w:val="20"/>
          <w:u w:val="none"/>
        </w:rPr>
        <w:t>Les prestations sont  subdivisées en deux postes, le poste 1  « prestations d’animations » qui est à prix unitaires et le poste 2 « Entretien du jardin » qui est à prix global et forfaitaire</w:t>
      </w:r>
      <w:r>
        <w:rPr>
          <w:rFonts w:eastAsia="arial" w:cs="arial" w:ascii="arial" w:hAnsi="arial"/>
          <w:b w:val="false"/>
          <w:i w:val="false"/>
          <w:color w:val="000000"/>
          <w:sz w:val="20"/>
          <w:u w:val="none"/>
          <w:shd w:fill="auto" w:val="clear"/>
        </w:rPr>
        <w:t xml:space="preserve"> annuel.</w:t>
      </w:r>
    </w:p>
    <w:p>
      <w:pPr>
        <w:pStyle w:val="Titre2"/>
        <w:numPr>
          <w:ilvl w:val="1"/>
          <w:numId w:val="2"/>
        </w:numPr>
        <w:ind w:left="1701" w:right="0" w:firstLine="283"/>
        <w:rPr/>
      </w:pPr>
      <w:bookmarkStart w:id="15" w:name="__RefHeading___Toc7367_1156739212"/>
      <w:bookmarkStart w:id="16" w:name="_Toc3993"/>
      <w:bookmarkEnd w:id="15"/>
      <w:r>
        <w:rPr/>
        <w:t>Modalités d'exécution des tranches optionnelles</w:t>
      </w:r>
      <w:bookmarkEnd w:id="16"/>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prestations n'est pas subdivisé en tranches.</w:t>
      </w:r>
    </w:p>
    <w:p>
      <w:pPr>
        <w:pStyle w:val="Titre2"/>
        <w:numPr>
          <w:ilvl w:val="1"/>
          <w:numId w:val="2"/>
        </w:numPr>
        <w:ind w:left="1701" w:right="0" w:firstLine="283"/>
        <w:rPr/>
      </w:pPr>
      <w:bookmarkStart w:id="17" w:name="__RefHeading___Toc7369_1156739212"/>
      <w:bookmarkStart w:id="18" w:name="_Toc3994"/>
      <w:bookmarkEnd w:id="17"/>
      <w:r>
        <w:rPr/>
        <w:t>Accord-cadre à bons de commande</w:t>
      </w:r>
      <w:bookmarkEnd w:id="18"/>
    </w:p>
    <w:p>
      <w:pPr>
        <w:pStyle w:val="Normal"/>
        <w:jc w:val="both"/>
        <w:rPr>
          <w:highlight w:val="none"/>
          <w:shd w:fill="auto" w:val="clear"/>
        </w:rPr>
      </w:pPr>
      <w:r>
        <w:rPr>
          <w:rFonts w:eastAsia="arial" w:cs="arial" w:ascii="arial" w:hAnsi="arial"/>
          <w:b w:val="false"/>
          <w:i w:val="false"/>
          <w:color w:val="000000"/>
          <w:sz w:val="20"/>
          <w:u w:val="none"/>
          <w:shd w:fill="auto" w:val="clear"/>
        </w:rPr>
        <w:t>Le poste 1 « prestations d’animations » est un accord-cadre exécuté par l'émission de bons de commande, en application des articles R2162-1 à 6 et R2162-13 et 14 du Code de la commande publique.</w:t>
      </w:r>
    </w:p>
    <w:p>
      <w:pPr>
        <w:pStyle w:val="Normal"/>
        <w:jc w:val="both"/>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w:t>
      </w:r>
    </w:p>
    <w:p>
      <w:pPr>
        <w:pStyle w:val="Normal"/>
        <w:spacing w:before="120" w:after="0"/>
        <w:jc w:val="both"/>
        <w:rPr/>
      </w:pPr>
      <w:r>
        <w:rPr>
          <w:rFonts w:eastAsia="arial" w:cs="arial" w:ascii="arial" w:hAnsi="arial"/>
          <w:b w:val="false"/>
          <w:i w:val="false"/>
          <w:color w:val="000000"/>
          <w:sz w:val="20"/>
          <w:u w:val="none"/>
          <w:shd w:fill="auto" w:val="clear"/>
        </w:rPr>
        <w:t xml:space="preserve">Les valeurs données ci-après sont données </w:t>
      </w:r>
      <w:r>
        <w:rPr>
          <w:rFonts w:eastAsia="arial" w:cs="arial" w:ascii="arial" w:hAnsi="arial"/>
          <w:b/>
          <w:i w:val="false"/>
          <w:color w:val="000000"/>
          <w:sz w:val="20"/>
          <w:u w:val="none"/>
          <w:shd w:fill="auto" w:val="clear"/>
        </w:rPr>
        <w:t>par période annuelle :</w:t>
      </w:r>
    </w:p>
    <w:p>
      <w:pPr>
        <w:pStyle w:val="Normal"/>
        <w:spacing w:before="120" w:after="0"/>
        <w:jc w:val="both"/>
        <w:rPr/>
      </w:pPr>
      <w:r>
        <w:rPr>
          <w:rFonts w:eastAsia="arial" w:cs="arial" w:ascii="arial" w:hAnsi="arial"/>
          <w:b/>
          <w:i w:val="false"/>
          <w:color w:val="000000"/>
          <w:sz w:val="20"/>
          <w:u w:val="none"/>
          <w:shd w:fill="auto" w:val="clear"/>
        </w:rPr>
        <w:t>MONTANT MINIMUM : 80 000,00 € HT</w:t>
      </w:r>
    </w:p>
    <w:p>
      <w:pPr>
        <w:pStyle w:val="Normal"/>
        <w:spacing w:before="120" w:after="0"/>
        <w:jc w:val="both"/>
        <w:rPr>
          <w:rFonts w:ascii="arial" w:hAnsi="arial" w:eastAsia="arial" w:cs="arial"/>
          <w:b/>
          <w:b/>
          <w:i w:val="false"/>
          <w:i w:val="false"/>
          <w:color w:val="000000"/>
          <w:sz w:val="20"/>
          <w:u w:val="none"/>
          <w:shd w:fill="auto" w:val="clear"/>
        </w:rPr>
      </w:pPr>
      <w:r>
        <w:rPr>
          <w:rFonts w:eastAsia="arial" w:cs="arial" w:ascii="arial" w:hAnsi="arial"/>
          <w:b/>
          <w:i w:val="false"/>
          <w:color w:val="000000"/>
          <w:sz w:val="20"/>
          <w:u w:val="none"/>
          <w:shd w:fill="auto" w:val="clear"/>
        </w:rPr>
        <w:t>MONTANT MAXIMUM : 300 000,00 € HT</w:t>
      </w:r>
    </w:p>
    <w:p>
      <w:pPr>
        <w:pStyle w:val="Normal"/>
        <w:jc w:val="both"/>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bons de commande pourront être émis jusqu'au dernier jour de la période de validité du marché.</w:t>
      </w:r>
    </w:p>
    <w:p>
      <w:pPr>
        <w:pStyle w:val="Normal"/>
        <w:jc w:val="both"/>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bons de commande ne pourront voir leur exécution se prolonger au delà de 3 mois après la fin du marché.</w:t>
      </w:r>
    </w:p>
    <w:p>
      <w:pPr>
        <w:pStyle w:val="Titre2"/>
        <w:numPr>
          <w:ilvl w:val="1"/>
          <w:numId w:val="2"/>
        </w:numPr>
        <w:ind w:left="1701" w:right="0" w:firstLine="283"/>
        <w:rPr/>
      </w:pPr>
      <w:bookmarkStart w:id="19" w:name="__RefHeading___Toc7371_1156739212"/>
      <w:bookmarkStart w:id="20" w:name="_Toc3995"/>
      <w:bookmarkEnd w:id="19"/>
      <w:r>
        <w:rPr/>
        <w:t>Date d'effet du marché</w:t>
      </w:r>
      <w:bookmarkEnd w:id="20"/>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La date de début de la période de validité et d'exécution du marché est la date de notification du marché au titulaire.</w:t>
      </w:r>
    </w:p>
    <w:p>
      <w:pPr>
        <w:pStyle w:val="Titre2"/>
        <w:numPr>
          <w:ilvl w:val="1"/>
          <w:numId w:val="2"/>
        </w:numPr>
        <w:ind w:left="1701" w:right="0" w:firstLine="283"/>
        <w:rPr/>
      </w:pPr>
      <w:bookmarkStart w:id="21" w:name="__RefHeading___Toc7373_1156739212"/>
      <w:bookmarkStart w:id="22" w:name="_Toc3996"/>
      <w:bookmarkEnd w:id="21"/>
      <w:r>
        <w:rPr/>
        <w:t>Durée du marché - Période de validité</w:t>
      </w:r>
      <w:bookmarkEnd w:id="22"/>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La durée du marché se définit comme suit : 1 an à compter de la notification du marché.</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marché est reconductible par période de 1 an, dans la limite de 3 reconductions.</w:t>
      </w:r>
    </w:p>
    <w:p>
      <w:pPr>
        <w:pStyle w:val="Normal"/>
        <w:spacing w:before="120" w:after="0"/>
        <w:rPr/>
      </w:pPr>
      <w:r>
        <w:rPr>
          <w:rFonts w:eastAsia="arial" w:cs="arial" w:ascii="arial" w:hAnsi="arial"/>
          <w:b w:val="false"/>
          <w:i w:val="false"/>
          <w:color w:val="000000"/>
          <w:sz w:val="20"/>
          <w:u w:val="none"/>
          <w:shd w:fill="auto" w:val="clear"/>
        </w:rPr>
        <w:t>La reconduction du marché se fera de manière</w:t>
      </w:r>
      <w:r>
        <w:rPr>
          <w:rFonts w:eastAsia="arial" w:cs="arial" w:ascii="arial" w:hAnsi="arial"/>
          <w:b/>
          <w:i w:val="false"/>
          <w:color w:val="000000"/>
          <w:sz w:val="20"/>
          <w:u w:val="none"/>
          <w:shd w:fill="auto" w:val="clear"/>
        </w:rPr>
        <w:t xml:space="preserve"> </w:t>
      </w:r>
      <w:r>
        <w:rPr>
          <w:rFonts w:eastAsia="arial" w:cs="arial" w:ascii="arial" w:hAnsi="arial"/>
          <w:b w:val="false"/>
          <w:bCs w:val="false"/>
          <w:i w:val="false"/>
          <w:color w:val="000000"/>
          <w:sz w:val="20"/>
          <w:u w:val="none"/>
          <w:shd w:fill="auto" w:val="clear"/>
        </w:rPr>
        <w:t>tacite.</w:t>
      </w:r>
    </w:p>
    <w:p>
      <w:pPr>
        <w:pStyle w:val="Normal"/>
        <w:spacing w:before="120" w:after="0"/>
        <w:rPr/>
      </w:pPr>
      <w:r>
        <w:rPr>
          <w:rFonts w:eastAsia="arial" w:cs="arial" w:ascii="arial" w:hAnsi="arial"/>
          <w:b w:val="false"/>
          <w:i w:val="false"/>
          <w:color w:val="000000"/>
          <w:sz w:val="20"/>
          <w:u w:val="none"/>
          <w:shd w:fill="auto" w:val="clear"/>
        </w:rPr>
        <w:t xml:space="preserve">En cas de décision de </w:t>
      </w:r>
      <w:r>
        <w:rPr>
          <w:rFonts w:eastAsia="arial" w:cs="arial" w:ascii="arial" w:hAnsi="arial"/>
          <w:b w:val="false"/>
          <w:bCs w:val="false"/>
          <w:i w:val="false"/>
          <w:color w:val="000000"/>
          <w:sz w:val="20"/>
          <w:u w:val="none"/>
          <w:shd w:fill="auto" w:val="clear"/>
        </w:rPr>
        <w:t>non</w:t>
      </w:r>
      <w:r>
        <w:rPr>
          <w:rFonts w:eastAsia="arial" w:cs="arial" w:ascii="arial" w:hAnsi="arial"/>
          <w:b w:val="false"/>
          <w:i w:val="false"/>
          <w:color w:val="000000"/>
          <w:sz w:val="20"/>
          <w:u w:val="none"/>
          <w:shd w:fill="auto"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rFonts w:eastAsia="arial" w:cs="arial" w:ascii="arial" w:hAnsi="arial"/>
          <w:b w:val="false"/>
          <w:i w:val="false"/>
          <w:color w:val="000000"/>
          <w:sz w:val="20"/>
          <w:u w:val="none"/>
          <w:shd w:fill="auto" w:val="clear"/>
        </w:rPr>
        <w:t>Les bons de commande émis en fin de marché ne pourront voir leur exécution se prolonger de plus de</w:t>
      </w:r>
      <w:r>
        <w:rPr>
          <w:rFonts w:eastAsia="arial" w:cs="arial" w:ascii="arial" w:hAnsi="arial"/>
          <w:b/>
          <w:i w:val="false"/>
          <w:color w:val="000000"/>
          <w:sz w:val="20"/>
          <w:u w:val="none"/>
          <w:shd w:fill="auto" w:val="clear"/>
        </w:rPr>
        <w:t xml:space="preserve"> </w:t>
      </w:r>
      <w:r>
        <w:rPr>
          <w:rFonts w:eastAsia="arial" w:cs="arial" w:ascii="arial" w:hAnsi="arial"/>
          <w:b w:val="false"/>
          <w:bCs w:val="false"/>
          <w:i w:val="false"/>
          <w:color w:val="000000"/>
          <w:sz w:val="20"/>
          <w:u w:val="none"/>
          <w:shd w:fill="auto" w:val="clear"/>
        </w:rPr>
        <w:t>3</w:t>
      </w:r>
      <w:r>
        <w:rPr>
          <w:rFonts w:eastAsia="arial" w:cs="arial" w:ascii="arial" w:hAnsi="arial"/>
          <w:b/>
          <w:bCs/>
          <w:i w:val="false"/>
          <w:color w:val="000000"/>
          <w:sz w:val="20"/>
          <w:u w:val="none"/>
          <w:shd w:fill="auto" w:val="clear"/>
        </w:rPr>
        <w:t xml:space="preserve"> </w:t>
      </w:r>
      <w:r>
        <w:rPr>
          <w:rFonts w:eastAsia="arial" w:cs="arial" w:ascii="arial" w:hAnsi="arial"/>
          <w:b w:val="false"/>
          <w:i w:val="false"/>
          <w:color w:val="000000"/>
          <w:sz w:val="20"/>
          <w:u w:val="none"/>
          <w:shd w:fill="auto" w:val="clear"/>
        </w:rPr>
        <w:t>mois après la date d'expiration du marché.</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bons de commandes pourront être émis jusqu'au dernier jour de la période de validité du marché.</w:t>
      </w:r>
    </w:p>
    <w:p>
      <w:pPr>
        <w:pStyle w:val="Titre2"/>
        <w:numPr>
          <w:ilvl w:val="1"/>
          <w:numId w:val="2"/>
        </w:numPr>
        <w:ind w:left="1701" w:right="0" w:firstLine="283"/>
        <w:rPr/>
      </w:pPr>
      <w:bookmarkStart w:id="23" w:name="__RefHeading___Toc7375_1156739212"/>
      <w:bookmarkStart w:id="24" w:name="_Toc3997"/>
      <w:bookmarkEnd w:id="23"/>
      <w:r>
        <w:rPr/>
        <w:t>Clause obligatoire d'insertion par l'activité économique</w:t>
      </w:r>
      <w:bookmarkEnd w:id="24"/>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1"/>
        <w:numPr>
          <w:ilvl w:val="0"/>
          <w:numId w:val="2"/>
        </w:numPr>
        <w:ind w:left="1701" w:right="0" w:firstLine="283"/>
        <w:rPr/>
      </w:pPr>
      <w:bookmarkStart w:id="25" w:name="__RefHeading___Toc7377_1156739212"/>
      <w:bookmarkStart w:id="26" w:name="_Toc3998"/>
      <w:bookmarkEnd w:id="25"/>
      <w:r>
        <w:rPr/>
        <w:t>DOCUMENTS CONTRACTUELS</w:t>
      </w:r>
      <w:bookmarkEnd w:id="26"/>
    </w:p>
    <w:p>
      <w:pPr>
        <w:pStyle w:val="Normal"/>
        <w:rPr/>
      </w:pPr>
      <w:r>
        <w:rPr>
          <w:rFonts w:eastAsia="arial" w:cs="arial" w:ascii="arial" w:hAnsi="arial"/>
          <w:b/>
          <w:i w:val="false"/>
          <w:color w:val="000000"/>
          <w:sz w:val="20"/>
          <w:u w:val="none"/>
          <w:shd w:fill="auto" w:val="clear"/>
        </w:rPr>
        <w:t>Par dérogation à l'article 4.1 du C.C.A.G. PI</w:t>
      </w:r>
      <w:r>
        <w:rPr>
          <w:rFonts w:eastAsia="arial" w:cs="arial" w:ascii="arial" w:hAnsi="arial"/>
          <w:b w:val="false"/>
          <w:i w:val="false"/>
          <w:color w:val="000000"/>
          <w:sz w:val="20"/>
          <w:u w:val="none"/>
          <w:shd w:fill="auto" w:val="clear"/>
        </w:rPr>
        <w:t>, les pièces constitutives du marché sont les suivantes par ordre de priorité décroissante :</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L'Acte d'Engagement (AE) et son annexe relative à la « Protection des Données et Politique de Sécurité »</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Bordereau des Prix Unitaires (B.P.U.)</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présent Cahier des Clauses Administratives Particulières (C.C.A.P.)</w:t>
      </w:r>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Techniques Particulières (C.C.T.P.) et ses 4 annexes (plan périmètre  des lieux mis à disposition  – plan des locaux - plan du jardin – détail du patrimoine végétal du relais nature).</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Générales (C.C.A.G.) applicable aux marchés publics de prestations intellectuelles par l'arrêté du 30 mars 2021 publié au JORF du 1er avril 2021</w:t>
      </w:r>
    </w:p>
    <w:p>
      <w:pPr>
        <w:pStyle w:val="ListParagraph"/>
        <w:ind w:left="0" w:right="0" w:hanging="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Mémoire Technique </w:t>
      </w:r>
    </w:p>
    <w:p>
      <w:pPr>
        <w:pStyle w:val="Normal"/>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r>
    </w:p>
    <w:p>
      <w:pPr>
        <w:pStyle w:val="Titre1"/>
        <w:numPr>
          <w:ilvl w:val="0"/>
          <w:numId w:val="2"/>
        </w:numPr>
        <w:ind w:left="1701" w:right="0" w:firstLine="283"/>
        <w:rPr/>
      </w:pPr>
      <w:bookmarkStart w:id="27" w:name="__RefHeading___Toc7379_1156739212"/>
      <w:bookmarkStart w:id="28" w:name="_Toc3999"/>
      <w:bookmarkEnd w:id="27"/>
      <w:r>
        <w:rPr/>
        <w:t>DELAIS D'EXECUTION</w:t>
      </w:r>
      <w:bookmarkEnd w:id="28"/>
    </w:p>
    <w:p>
      <w:pPr>
        <w:pStyle w:val="Titre2"/>
        <w:numPr>
          <w:ilvl w:val="1"/>
          <w:numId w:val="2"/>
        </w:numPr>
        <w:ind w:left="1701" w:right="0" w:firstLine="283"/>
        <w:rPr/>
      </w:pPr>
      <w:bookmarkStart w:id="29" w:name="__RefHeading___Toc7381_1156739212"/>
      <w:bookmarkStart w:id="30" w:name="_Toc4000"/>
      <w:bookmarkEnd w:id="29"/>
      <w:r>
        <w:rPr/>
        <w:t>Délais</w:t>
      </w:r>
      <w:bookmarkEnd w:id="30"/>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bCs/>
          <w:i w:val="false"/>
          <w:color w:val="000000"/>
          <w:sz w:val="20"/>
          <w:u w:val="none"/>
          <w:shd w:fill="auto" w:val="clear"/>
        </w:rPr>
        <w:t>Pour le poste 1</w:t>
      </w:r>
      <w:r>
        <w:rPr>
          <w:rFonts w:eastAsia="arial" w:cs="arial" w:ascii="arial" w:hAnsi="arial"/>
          <w:b w:val="false"/>
          <w:i w:val="false"/>
          <w:color w:val="000000"/>
          <w:sz w:val="20"/>
          <w:u w:val="none"/>
          <w:shd w:fill="auto" w:val="clear"/>
        </w:rPr>
        <w:t> :</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Les bons de commandes indiquent les prestations à réaliser et le délai d’exécution. </w:t>
      </w:r>
    </w:p>
    <w:p>
      <w:pPr>
        <w:pStyle w:val="Normal"/>
        <w:spacing w:before="0" w:after="0"/>
        <w:ind w:left="0" w:right="0" w:hanging="0"/>
        <w:jc w:val="both"/>
        <w:rPr>
          <w:rFonts w:eastAsia="Arial" w:cs="Arial"/>
          <w:color w:val="000000"/>
          <w:sz w:val="20"/>
          <w:shd w:fill="auto" w:val="clear"/>
        </w:rPr>
      </w:pPr>
      <w:r>
        <w:rPr>
          <w:rFonts w:eastAsia="Arial" w:cs="Arial"/>
          <w:color w:val="000000"/>
          <w:sz w:val="20"/>
          <w:shd w:fill="auto" w:val="clear"/>
        </w:rPr>
        <w:t>Le délai d'exécution des prestations commence à courir à la date de début d'exécution indiquée dans le bon de commande.</w:t>
      </w:r>
    </w:p>
    <w:p>
      <w:pPr>
        <w:pStyle w:val="Normal"/>
        <w:spacing w:before="200" w:after="0"/>
        <w:ind w:left="0" w:right="0" w:hanging="0"/>
        <w:jc w:val="both"/>
        <w:rPr>
          <w:rFonts w:eastAsia="Arial" w:cs="Arial"/>
          <w:color w:val="000000"/>
          <w:sz w:val="20"/>
          <w:shd w:fill="auto" w:val="clear"/>
        </w:rPr>
      </w:pPr>
      <w:r>
        <w:rPr>
          <w:rFonts w:eastAsia="Arial" w:cs="Arial"/>
          <w:color w:val="000000"/>
          <w:sz w:val="20"/>
          <w:shd w:fill="auto" w:val="clear"/>
        </w:rPr>
        <w:t>Si la date de début d'exécution de la prestation est antérieure à la date de notification du bon de commande, le délai d'exécution de la prestation commence à courir à la date de notification. De ce fait, la date de fin d'exécution des prestations est automatiquement révisée et décalée afin de respecter le délai d'exécution prévu initialement.</w:t>
      </w:r>
    </w:p>
    <w:p>
      <w:pPr>
        <w:pStyle w:val="Normal"/>
        <w:spacing w:before="200" w:after="0"/>
        <w:ind w:left="0" w:right="0" w:hanging="0"/>
        <w:jc w:val="both"/>
        <w:rPr>
          <w:rFonts w:eastAsia="Arial" w:cs="Arial"/>
          <w:color w:val="000000"/>
          <w:sz w:val="20"/>
          <w:shd w:fill="auto" w:val="clear"/>
        </w:rPr>
      </w:pPr>
      <w:r>
        <w:rPr>
          <w:rFonts w:eastAsia="Arial" w:cs="Arial"/>
          <w:color w:val="000000"/>
          <w:sz w:val="20"/>
          <w:shd w:fill="auto" w:val="clear"/>
        </w:rPr>
        <w:t>La date de notification du bon de commande est la date de réception indiquée sur l'accusé de réception électronique, ou sur le récépissé de remise directe.</w:t>
      </w:r>
    </w:p>
    <w:p>
      <w:pPr>
        <w:pStyle w:val="Normal"/>
        <w:spacing w:before="200" w:after="0"/>
        <w:ind w:left="0" w:right="0" w:hanging="0"/>
        <w:jc w:val="both"/>
        <w:rPr/>
      </w:pPr>
      <w:r>
        <w:rPr>
          <w:rFonts w:eastAsia="Arial" w:cs="Arial"/>
          <w:color w:val="000000"/>
          <w:sz w:val="20"/>
          <w:u w:val="single"/>
          <w:shd w:fill="auto" w:val="clear"/>
        </w:rPr>
        <w:t>Prolongation du délai d'exécution du bon de commande</w:t>
      </w:r>
      <w:r>
        <w:rPr>
          <w:rFonts w:eastAsia="Arial" w:cs="Arial"/>
          <w:color w:val="000000"/>
          <w:sz w:val="20"/>
          <w:u w:val="none"/>
          <w:shd w:fill="auto" w:val="clear"/>
        </w:rPr>
        <w:t xml:space="preserve"> :</w:t>
      </w:r>
    </w:p>
    <w:p>
      <w:pPr>
        <w:pStyle w:val="Normal"/>
        <w:spacing w:before="200" w:after="0"/>
        <w:ind w:left="0" w:right="0" w:hanging="0"/>
        <w:jc w:val="both"/>
        <w:rPr>
          <w:rFonts w:eastAsia="Arial" w:cs="Arial"/>
          <w:color w:val="000000"/>
          <w:sz w:val="20"/>
          <w:shd w:fill="auto" w:val="clear"/>
        </w:rPr>
      </w:pPr>
      <w:r>
        <w:rPr>
          <w:rFonts w:eastAsia="Arial" w:cs="Arial"/>
          <w:color w:val="000000"/>
          <w:sz w:val="20"/>
          <w:shd w:fill="auto" w:val="clear"/>
        </w:rPr>
        <w:t>Par dérogation à l’article 13.3 du CCAG, le pouvoir adjudicateur pourra prolonger le délai d'exécution d'un bon de commande de sa  propre  initiative ou sur demande du titulaire, en raison d'un évènement reconnu par lui comme entravant l'exécution des prestations.</w:t>
      </w:r>
    </w:p>
    <w:p>
      <w:pPr>
        <w:pStyle w:val="Normal"/>
        <w:spacing w:before="200" w:after="0"/>
        <w:ind w:left="0" w:right="0" w:hanging="0"/>
        <w:jc w:val="both"/>
        <w:rPr>
          <w:rFonts w:eastAsia="Arial" w:cs="Arial"/>
          <w:color w:val="000000"/>
          <w:sz w:val="20"/>
          <w:shd w:fill="auto" w:val="clear"/>
        </w:rPr>
      </w:pPr>
      <w:r>
        <w:rPr>
          <w:rFonts w:eastAsia="Arial" w:cs="Arial"/>
          <w:color w:val="000000"/>
          <w:sz w:val="20"/>
          <w:shd w:fill="auto" w:val="clear"/>
        </w:rPr>
        <w:t>Si le titulaire demande la prolongation du délai d’exécution, il doit la demander dès que les causes faisant obstacle au respect du délai apparaissent et avant la fin du délai. Il devra apporter tous les justificatifs nécessaires permettant au pouvoir adjudicateur de décider de la prolongation. Le délai ainsi prolongé a les mêmes effets que le délai contractuel. Aucune demande de prolongation du délai d’exécution ne peut être présentée après l’expiration du délai contractuel d’exécution</w:t>
      </w:r>
    </w:p>
    <w:p>
      <w:pPr>
        <w:pStyle w:val="Normal"/>
        <w:spacing w:before="200" w:after="0"/>
        <w:ind w:left="0" w:right="0" w:hanging="0"/>
        <w:jc w:val="both"/>
        <w:rPr>
          <w:rFonts w:eastAsia="Arial" w:cs="Arial"/>
          <w:color w:val="000000"/>
          <w:sz w:val="20"/>
          <w:shd w:fill="auto" w:val="clear"/>
        </w:rPr>
      </w:pPr>
      <w:r>
        <w:rPr>
          <w:rFonts w:eastAsia="Arial" w:cs="Arial"/>
          <w:b/>
          <w:bCs/>
          <w:color w:val="000000"/>
          <w:sz w:val="20"/>
          <w:shd w:fill="auto" w:val="clear"/>
        </w:rPr>
        <w:t>Pour le poste 2</w:t>
      </w:r>
      <w:r>
        <w:rPr>
          <w:rFonts w:eastAsia="Arial" w:cs="Arial"/>
          <w:color w:val="000000"/>
          <w:sz w:val="20"/>
          <w:shd w:fill="auto" w:val="clear"/>
        </w:rPr>
        <w:t> :</w:t>
      </w:r>
    </w:p>
    <w:p>
      <w:pPr>
        <w:pStyle w:val="Normal"/>
        <w:spacing w:before="200" w:after="0"/>
        <w:ind w:left="0" w:right="0" w:hanging="0"/>
        <w:jc w:val="both"/>
        <w:rPr>
          <w:rFonts w:eastAsia="Arial" w:cs="Arial"/>
          <w:color w:val="000000"/>
          <w:sz w:val="20"/>
          <w:shd w:fill="auto" w:val="clear"/>
        </w:rPr>
      </w:pPr>
      <w:r>
        <w:rPr>
          <w:rFonts w:eastAsia="Arial" w:cs="Arial"/>
          <w:color w:val="000000"/>
          <w:sz w:val="20"/>
          <w:shd w:fill="auto" w:val="clear"/>
        </w:rPr>
        <w:t xml:space="preserve">Le titulaire doit procéder à l’entretien du jardin sur l’ensemble de l’année afin </w:t>
      </w:r>
      <w:r>
        <w:rPr>
          <w:rFonts w:eastAsia="Arial" w:cs="Times New Roman"/>
          <w:b w:val="false"/>
          <w:bCs w:val="false"/>
          <w:color w:val="000000"/>
          <w:sz w:val="20"/>
          <w:szCs w:val="20"/>
          <w:u w:val="none"/>
          <w:shd w:fill="auto" w:val="clear"/>
        </w:rPr>
        <w:t>de garantir et de valoriser la fonction pédagogique de cet espace. Le prestataire commence l’exécution des prestations à compter de la date de l’état des lieux.</w:t>
      </w:r>
      <w:r>
        <w:rPr>
          <w:rFonts w:eastAsia="Arial" w:cs="Arial"/>
          <w:b w:val="false"/>
          <w:bCs w:val="false"/>
          <w:color w:val="000000"/>
          <w:sz w:val="20"/>
          <w:szCs w:val="20"/>
          <w:u w:val="none"/>
          <w:shd w:fill="auto" w:val="clear"/>
        </w:rPr>
        <w:t xml:space="preserve"> La prestation est reconduite lors de chaque reconduction du marché. </w:t>
      </w:r>
    </w:p>
    <w:p>
      <w:pPr>
        <w:pStyle w:val="Normal"/>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Titre2"/>
        <w:numPr>
          <w:ilvl w:val="1"/>
          <w:numId w:val="2"/>
        </w:numPr>
        <w:ind w:left="1701" w:right="0" w:firstLine="283"/>
        <w:rPr/>
      </w:pPr>
      <w:bookmarkStart w:id="31" w:name="__RefHeading___Toc7383_1156739212"/>
      <w:bookmarkStart w:id="32" w:name="_Toc4001"/>
      <w:bookmarkEnd w:id="31"/>
      <w:r>
        <w:rPr/>
        <w:t xml:space="preserve">Emission des bons de commande </w:t>
      </w:r>
      <w:bookmarkEnd w:id="32"/>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commandes du poste 1 « Prestations d’animations » sont faites au fur et à mesure des besoins par le moyen de bons de commande délivrés par le service et qui comporteront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La référence au marché,</w:t>
      </w:r>
    </w:p>
    <w:p>
      <w:pPr>
        <w:pStyle w:val="Normal"/>
        <w:spacing w:before="120" w:after="0"/>
        <w:rPr/>
      </w:pPr>
      <w:r>
        <w:rPr>
          <w:rFonts w:eastAsia="arial" w:cs="arial" w:ascii="arial" w:hAnsi="arial"/>
          <w:b w:val="false"/>
          <w:i w:val="false"/>
          <w:color w:val="000000"/>
          <w:sz w:val="20"/>
          <w:u w:val="none"/>
          <w:shd w:fill="auto" w:val="clear"/>
        </w:rPr>
        <w:t xml:space="preserve">- La désignation de </w:t>
      </w:r>
      <w:r>
        <w:rPr>
          <w:rFonts w:eastAsia="arial" w:cs="arial" w:ascii="arial" w:hAnsi="arial"/>
          <w:b w:val="false"/>
          <w:bCs w:val="false"/>
          <w:i w:val="false"/>
          <w:color w:val="000000"/>
          <w:sz w:val="20"/>
          <w:u w:val="none"/>
          <w:shd w:fill="auto" w:val="clear"/>
        </w:rPr>
        <w:t>la prestation à effectuer,</w:t>
      </w:r>
    </w:p>
    <w:p>
      <w:pPr>
        <w:pStyle w:val="Normal"/>
        <w:spacing w:before="120" w:after="0"/>
        <w:rPr>
          <w:rFonts w:ascii="arial" w:hAnsi="arial" w:eastAsia="arial" w:cs="arial"/>
          <w:b w:val="false"/>
          <w:b w:val="false"/>
          <w:bCs w:val="false"/>
          <w:i w:val="false"/>
          <w:i w:val="false"/>
          <w:color w:val="000000"/>
          <w:sz w:val="20"/>
          <w:u w:val="none"/>
          <w:shd w:fill="auto" w:val="clear"/>
        </w:rPr>
      </w:pPr>
      <w:r>
        <w:rPr>
          <w:rFonts w:eastAsia="arial" w:cs="arial" w:ascii="arial" w:hAnsi="arial"/>
          <w:b w:val="false"/>
          <w:bCs w:val="false"/>
          <w:i w:val="false"/>
          <w:color w:val="000000"/>
          <w:sz w:val="20"/>
          <w:u w:val="none"/>
          <w:shd w:fill="auto" w:val="clear"/>
        </w:rPr>
        <w:t>- La quantité commandée,</w:t>
      </w:r>
    </w:p>
    <w:p>
      <w:pPr>
        <w:pStyle w:val="Normal"/>
        <w:spacing w:before="120" w:after="0"/>
        <w:rPr>
          <w:rFonts w:ascii="arial" w:hAnsi="arial" w:eastAsia="arial" w:cs="arial"/>
          <w:b w:val="false"/>
          <w:b w:val="false"/>
          <w:bCs w:val="false"/>
          <w:i w:val="false"/>
          <w:i w:val="false"/>
          <w:color w:val="000000"/>
          <w:sz w:val="20"/>
          <w:u w:val="none"/>
          <w:shd w:fill="auto" w:val="clear"/>
        </w:rPr>
      </w:pPr>
      <w:r>
        <w:rPr>
          <w:rFonts w:eastAsia="arial" w:cs="arial" w:ascii="arial" w:hAnsi="arial"/>
          <w:b w:val="false"/>
          <w:bCs w:val="false"/>
          <w:i w:val="false"/>
          <w:color w:val="000000"/>
          <w:sz w:val="20"/>
          <w:u w:val="none"/>
          <w:shd w:fill="auto" w:val="clear"/>
        </w:rPr>
        <w:t>- Le lieu d'exécution,</w:t>
      </w:r>
    </w:p>
    <w:p>
      <w:pPr>
        <w:pStyle w:val="Normal"/>
        <w:spacing w:before="120" w:after="0"/>
        <w:rPr>
          <w:rFonts w:ascii="arial" w:hAnsi="arial" w:eastAsia="arial" w:cs="arial"/>
          <w:b w:val="false"/>
          <w:b w:val="false"/>
          <w:bCs w:val="false"/>
          <w:i w:val="false"/>
          <w:i w:val="false"/>
          <w:color w:val="000000"/>
          <w:sz w:val="20"/>
          <w:u w:val="none"/>
          <w:shd w:fill="auto" w:val="clear"/>
        </w:rPr>
      </w:pPr>
      <w:r>
        <w:rPr>
          <w:rFonts w:eastAsia="arial" w:cs="arial" w:ascii="arial" w:hAnsi="arial"/>
          <w:b w:val="false"/>
          <w:bCs w:val="false"/>
          <w:i w:val="false"/>
          <w:color w:val="000000"/>
          <w:sz w:val="20"/>
          <w:u w:val="none"/>
          <w:shd w:fill="auto" w:val="clear"/>
        </w:rPr>
        <w:t>- Le délai d'exécution,</w:t>
      </w:r>
    </w:p>
    <w:p>
      <w:pPr>
        <w:pStyle w:val="Normal"/>
        <w:spacing w:before="120" w:after="0"/>
        <w:rPr/>
      </w:pPr>
      <w:r>
        <w:rPr>
          <w:rFonts w:eastAsia="arial" w:cs="arial" w:ascii="arial" w:hAnsi="arial"/>
          <w:b w:val="false"/>
          <w:bCs w:val="false"/>
          <w:i w:val="false"/>
          <w:color w:val="000000"/>
          <w:sz w:val="20"/>
          <w:u w:val="none"/>
          <w:shd w:fill="auto" w:val="clear"/>
        </w:rPr>
        <w:t>- Le montant total en E</w:t>
      </w:r>
      <w:r>
        <w:rPr>
          <w:rFonts w:eastAsia="arial" w:cs="arial" w:ascii="arial" w:hAnsi="arial"/>
          <w:b w:val="false"/>
          <w:i w:val="false"/>
          <w:color w:val="000000"/>
          <w:sz w:val="20"/>
          <w:u w:val="none"/>
          <w:shd w:fill="auto" w:val="clear"/>
        </w:rPr>
        <w:t>uro HT et TTC du bon de commande,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La date.</w:t>
      </w:r>
    </w:p>
    <w:p>
      <w:pPr>
        <w:pStyle w:val="Normal"/>
        <w:spacing w:before="120" w:after="0"/>
        <w:rPr/>
      </w:pPr>
      <w:r>
        <w:rPr>
          <w:rFonts w:eastAsia="arial" w:cs="arial" w:ascii="arial" w:hAnsi="arial"/>
          <w:b w:val="false"/>
          <w:i w:val="false"/>
          <w:color w:val="000000"/>
          <w:sz w:val="20"/>
          <w:u w:val="none"/>
          <w:shd w:fill="auto" w:val="clear"/>
        </w:rPr>
        <w:t xml:space="preserve">La personne habilitée à signer les bons de commande est : </w:t>
      </w:r>
      <w:r>
        <w:rPr>
          <w:rFonts w:eastAsia="arial" w:cs="arial" w:ascii="arial" w:hAnsi="arial"/>
          <w:b/>
          <w:i w:val="false"/>
          <w:color w:val="000000"/>
          <w:sz w:val="20"/>
          <w:u w:val="none"/>
          <w:shd w:fill="auto" w:val="clear"/>
        </w:rPr>
        <w:t>Le Chef du Service Agriculture Urbaine et Sensibilisation à l’Environnement ou son représentant.</w:t>
      </w:r>
    </w:p>
    <w:p>
      <w:pPr>
        <w:pStyle w:val="Normal"/>
        <w:spacing w:before="120" w:after="0"/>
        <w:rPr/>
      </w:pPr>
      <w:r>
        <w:rPr>
          <w:rFonts w:eastAsia="arial" w:cs="arial" w:ascii="arial" w:hAnsi="arial"/>
          <w:b w:val="false"/>
          <w:i w:val="false"/>
          <w:color w:val="000000"/>
          <w:sz w:val="20"/>
          <w:u w:val="none"/>
          <w:shd w:fill="auto" w:val="clear"/>
        </w:rPr>
        <w:t>Les bons de commande seront notifiés</w:t>
      </w:r>
      <w:r>
        <w:rPr>
          <w:rFonts w:eastAsia="arial" w:cs="arial" w:ascii="arial" w:hAnsi="arial"/>
          <w:b/>
          <w:i w:val="false"/>
          <w:color w:val="000000"/>
          <w:sz w:val="20"/>
          <w:u w:val="none"/>
          <w:shd w:fill="auto" w:val="clear"/>
        </w:rPr>
        <w:t xml:space="preserve"> par mail</w:t>
      </w:r>
      <w:r>
        <w:rPr>
          <w:rFonts w:eastAsia="arial" w:cs="arial" w:ascii="arial" w:hAnsi="arial"/>
          <w:b w:val="false"/>
          <w:i w:val="false"/>
          <w:color w:val="000000"/>
          <w:sz w:val="20"/>
          <w:u w:val="none"/>
          <w:shd w:fill="auto" w:val="clear"/>
        </w:rPr>
        <w:t xml:space="preserve"> (avec accusé de réception) ou</w:t>
      </w:r>
      <w:r>
        <w:rPr>
          <w:rFonts w:eastAsia="arial" w:cs="arial" w:ascii="arial" w:hAnsi="arial"/>
          <w:b/>
          <w:bCs/>
          <w:i w:val="false"/>
          <w:color w:val="000000"/>
          <w:sz w:val="20"/>
          <w:u w:val="none"/>
          <w:shd w:fill="auto" w:val="clear"/>
        </w:rPr>
        <w:t xml:space="preserve"> par remise directe contre récépissé</w:t>
      </w:r>
      <w:r>
        <w:rPr>
          <w:rFonts w:eastAsia="arial" w:cs="arial" w:ascii="arial" w:hAnsi="arial"/>
          <w:b w:val="false"/>
          <w:i w:val="false"/>
          <w:color w:val="000000"/>
          <w:sz w:val="20"/>
          <w:u w:val="none"/>
          <w:shd w:fill="auto" w:val="clear"/>
        </w:rPr>
        <w:t>.</w:t>
      </w:r>
    </w:p>
    <w:p>
      <w:pPr>
        <w:pStyle w:val="Titre1"/>
        <w:numPr>
          <w:ilvl w:val="0"/>
          <w:numId w:val="2"/>
        </w:numPr>
        <w:ind w:left="1701" w:right="0" w:firstLine="283"/>
        <w:rPr/>
      </w:pPr>
      <w:bookmarkStart w:id="33" w:name="__RefHeading___Toc7385_1156739212"/>
      <w:bookmarkStart w:id="34" w:name="_Toc4002"/>
      <w:bookmarkEnd w:id="33"/>
      <w:r>
        <w:rPr/>
        <w:t>R</w:t>
      </w:r>
      <w:bookmarkEnd w:id="34"/>
      <w:r>
        <w:rPr/>
        <w:t>ESERVE BON DE COMMANDE – ORDRE DE SERVICE</w:t>
      </w:r>
    </w:p>
    <w:p>
      <w:pPr>
        <w:pStyle w:val="Normal"/>
        <w:ind w:left="0" w:right="0" w:hanging="0"/>
        <w:rPr/>
      </w:pPr>
      <w:r>
        <w:rPr>
          <w:u w:val="none"/>
        </w:rPr>
        <w:t xml:space="preserve">Par dérogation à l'article 3.7.2 du CCAG-PI, en cas de réserves de la part du titulaire concernant un bon de commande, celui-ci dispose de </w:t>
      </w:r>
      <w:r>
        <w:rPr>
          <w:b/>
          <w:bCs/>
          <w:u w:val="none"/>
        </w:rPr>
        <w:t>Huit (8) jours</w:t>
      </w:r>
      <w:r>
        <w:rPr>
          <w:u w:val="none"/>
        </w:rPr>
        <w:t xml:space="preserve"> pour les présenter par écrit au signataire du bon de commande, sous peine de forclusion.</w:t>
      </w:r>
    </w:p>
    <w:p>
      <w:pPr>
        <w:pStyle w:val="Normal"/>
        <w:rPr>
          <w:u w:val="none"/>
        </w:rPr>
      </w:pPr>
      <w:r>
        <w:rPr>
          <w:u w:val="none"/>
        </w:rPr>
      </w:r>
    </w:p>
    <w:p>
      <w:pPr>
        <w:pStyle w:val="Normal"/>
        <w:ind w:left="0" w:right="0" w:hanging="0"/>
        <w:rPr/>
      </w:pPr>
      <w:r>
        <w:rPr>
          <w:b w:val="false"/>
          <w:i w:val="false"/>
          <w:u w:val="none"/>
        </w:rPr>
        <w:t>Par dérogation à l'article 3.8.2 du CCAG-PI, en cas de réserves de la part du titulaire concernant un ordre de service, celui-ci dispose de</w:t>
      </w:r>
      <w:r>
        <w:rPr>
          <w:b/>
          <w:bCs/>
          <w:i w:val="false"/>
          <w:u w:val="none"/>
        </w:rPr>
        <w:t xml:space="preserve"> Huit (8) jours</w:t>
      </w:r>
      <w:r>
        <w:rPr>
          <w:b w:val="false"/>
          <w:i w:val="false"/>
          <w:u w:val="none"/>
        </w:rPr>
        <w:t xml:space="preserve"> pour les présenter par écrit au signataire de l'ordre de service, sous peine de forclusion. </w:t>
      </w:r>
    </w:p>
    <w:p>
      <w:pPr>
        <w:pStyle w:val="Titre1"/>
        <w:numPr>
          <w:ilvl w:val="0"/>
          <w:numId w:val="2"/>
        </w:numPr>
        <w:ind w:left="1701" w:right="0" w:firstLine="283"/>
        <w:rPr/>
      </w:pPr>
      <w:bookmarkStart w:id="35" w:name="__RefHeading___Toc7387_1156739212"/>
      <w:bookmarkStart w:id="36" w:name="_Toc40021"/>
      <w:bookmarkEnd w:id="35"/>
      <w:r>
        <w:rPr/>
        <w:t>ENTREPRISES GROUPEES</w:t>
      </w:r>
      <w:bookmarkEnd w:id="36"/>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mandataire du groupement représente l'ensemble des entrepreneurs, vis-à-vis du représentant du pouvoir adjudicateur pour l'exécution du marché.</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Il assure, sous sa responsabilité, la coordination de ces entrepreneurs.</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ind w:left="1701" w:right="0" w:firstLine="283"/>
        <w:rPr/>
      </w:pPr>
      <w:bookmarkStart w:id="37" w:name="__RefHeading___Toc7389_1156739212"/>
      <w:bookmarkStart w:id="38" w:name="_Toc4003"/>
      <w:bookmarkEnd w:id="37"/>
      <w:r>
        <w:rPr/>
        <w:t>CONDITIONS</w:t>
      </w:r>
      <w:bookmarkEnd w:id="38"/>
      <w:r>
        <w:rPr/>
        <w:t xml:space="preserve"> DE LA MISE A DISPOSITION</w:t>
      </w:r>
    </w:p>
    <w:p>
      <w:pPr>
        <w:pStyle w:val="Normal"/>
        <w:ind w:left="0" w:right="0" w:hanging="0"/>
        <w:rPr>
          <w:rFonts w:ascii="arial" w:hAnsi="arial" w:eastAsia="arial" w:cs="arial"/>
          <w:b w:val="false"/>
          <w:b w:val="false"/>
          <w:i w:val="false"/>
          <w:i w:val="false"/>
          <w:color w:val="000000"/>
          <w:sz w:val="20"/>
          <w:szCs w:val="21"/>
          <w:u w:val="none"/>
          <w:shd w:fill="auto" w:val="clear"/>
        </w:rPr>
      </w:pPr>
      <w:r>
        <w:rPr>
          <w:rFonts w:eastAsia="arial" w:cs="arial" w:ascii="arial" w:hAnsi="arial"/>
          <w:b w:val="false"/>
          <w:i w:val="false"/>
          <w:color w:val="000000"/>
          <w:sz w:val="20"/>
          <w:szCs w:val="21"/>
          <w:u w:val="none"/>
          <w:shd w:fill="auto" w:val="clear"/>
        </w:rPr>
        <w:t>Le C.C.T.P. du marché fixe les conditions particulières d'exécution.</w:t>
      </w:r>
      <w:bookmarkStart w:id="39" w:name="_Toc4005"/>
    </w:p>
    <w:p>
      <w:pPr>
        <w:pStyle w:val="Titre2"/>
        <w:numPr>
          <w:ilvl w:val="1"/>
          <w:numId w:val="2"/>
        </w:numPr>
        <w:ind w:left="1701" w:right="0" w:firstLine="283"/>
        <w:rPr/>
      </w:pPr>
      <w:bookmarkStart w:id="40" w:name="__RefHeading___Toc7391_1156739212"/>
      <w:bookmarkEnd w:id="40"/>
      <w:r>
        <w:rPr/>
        <w:t>Lieux d'exécution</w:t>
      </w:r>
    </w:p>
    <w:p>
      <w:pPr>
        <w:pStyle w:val="Normal"/>
        <w:ind w:left="0" w:right="0" w:hanging="0"/>
        <w:rPr/>
      </w:pPr>
      <w:r>
        <w:rPr>
          <w:rFonts w:eastAsia="arial" w:cs="arial" w:ascii="arial" w:hAnsi="arial"/>
          <w:b w:val="false"/>
          <w:i w:val="false"/>
          <w:color w:val="000000"/>
          <w:sz w:val="20"/>
          <w:u w:val="none"/>
          <w:shd w:fill="auto" w:val="clear"/>
        </w:rPr>
        <w:t xml:space="preserve">Le titulaire effectuera les prestations </w:t>
      </w:r>
      <w:r>
        <w:rPr>
          <w:rFonts w:eastAsia="Arial" w:cs="Arial"/>
          <w:b w:val="false"/>
          <w:i w:val="false"/>
          <w:color w:val="000000"/>
          <w:sz w:val="20"/>
          <w:u w:val="none"/>
          <w:shd w:fill="auto" w:val="clear"/>
        </w:rPr>
        <w:t>au sein du Relais-Nature de la Moline – Parc de la Moline 26 bd Marius Richard 13012 Marseille. Le Parc de la Moline peut également servir de support pédagogique selon la thématique de l’animation.</w:t>
      </w:r>
    </w:p>
    <w:p>
      <w:pPr>
        <w:pStyle w:val="Titre2"/>
        <w:numPr>
          <w:ilvl w:val="1"/>
          <w:numId w:val="2"/>
        </w:numPr>
        <w:ind w:left="1701" w:right="0" w:firstLine="283"/>
        <w:rPr/>
      </w:pPr>
      <w:bookmarkStart w:id="41" w:name="__RefHeading___Toc7393_1156739212"/>
      <w:bookmarkEnd w:id="39"/>
      <w:bookmarkEnd w:id="41"/>
      <w:r>
        <w:rPr/>
        <w:t>Biens mis à disposition du titulaire</w:t>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 xml:space="preserve">La Ville de Marseille met gratuitement à disposition du titulaire, </w:t>
      </w:r>
      <w:r>
        <w:rPr>
          <w:rFonts w:cs="Times New Roman" w:ascii="Arial" w:hAnsi="Arial"/>
          <w:b/>
          <w:bCs/>
          <w:color w:val="000000"/>
          <w:sz w:val="20"/>
          <w:szCs w:val="20"/>
          <w:u w:val="none"/>
          <w:shd w:fill="auto" w:val="clear"/>
        </w:rPr>
        <w:t>pour la préparation et l’exécution des prestations attendues dans le cadre du marché</w:t>
      </w:r>
      <w:r>
        <w:rPr>
          <w:rFonts w:cs="Times New Roman" w:ascii="Arial" w:hAnsi="Arial"/>
          <w:b w:val="false"/>
          <w:bCs w:val="false"/>
          <w:color w:val="000000"/>
          <w:sz w:val="20"/>
          <w:szCs w:val="20"/>
          <w:u w:val="none"/>
          <w:shd w:fill="auto" w:val="clear"/>
        </w:rPr>
        <w:t>, des locaux dans la Bastide Ranque du Parc de la Moline et un terrain situé dans le Parc de la Moline (cf : annexes 1 et 2 du CCTP) comprenant :</w:t>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- 120 m</w:t>
      </w:r>
      <w:r>
        <w:rPr>
          <w:rFonts w:cs="Times New Roman" w:ascii="Arial" w:hAnsi="Arial"/>
          <w:b w:val="false"/>
          <w:bCs w:val="false"/>
          <w:color w:val="000000"/>
          <w:sz w:val="20"/>
          <w:szCs w:val="20"/>
          <w:u w:val="none"/>
          <w:shd w:fill="auto" w:val="clear"/>
          <w:vertAlign w:val="superscript"/>
        </w:rPr>
        <w:t>2</w:t>
      </w:r>
      <w:r>
        <w:rPr>
          <w:rFonts w:cs="Times New Roman" w:ascii="Arial" w:hAnsi="Arial"/>
          <w:b w:val="false"/>
          <w:bCs w:val="false"/>
          <w:color w:val="000000"/>
          <w:sz w:val="20"/>
          <w:szCs w:val="20"/>
          <w:u w:val="none"/>
          <w:shd w:fill="auto" w:val="clear"/>
        </w:rPr>
        <w:t xml:space="preserve"> au rez-de-chaussée de la bastide composé d'un hall, d'une salle d'accueil, d'un bureau, d'une cuisine et de sanitaires </w:t>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- 60 m</w:t>
      </w:r>
      <w:r>
        <w:rPr>
          <w:rFonts w:cs="Times New Roman" w:ascii="Arial" w:hAnsi="Arial"/>
          <w:b w:val="false"/>
          <w:bCs w:val="false"/>
          <w:color w:val="000000"/>
          <w:sz w:val="20"/>
          <w:szCs w:val="20"/>
          <w:u w:val="none"/>
          <w:shd w:fill="auto" w:val="clear"/>
          <w:vertAlign w:val="superscript"/>
        </w:rPr>
        <w:t>2</w:t>
      </w:r>
      <w:r>
        <w:rPr>
          <w:rFonts w:cs="Times New Roman" w:ascii="Arial" w:hAnsi="Arial"/>
          <w:b w:val="false"/>
          <w:bCs w:val="false"/>
          <w:color w:val="000000"/>
          <w:sz w:val="20"/>
          <w:szCs w:val="20"/>
          <w:u w:val="none"/>
          <w:shd w:fill="auto" w:val="clear"/>
        </w:rPr>
        <w:t xml:space="preserve"> dans un bâtiment préfabriqué dans l'espace jardin, comprenant un bureau, une salle d'activité, des sanitaires et un espace de stockage</w:t>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- 5 500 m</w:t>
      </w:r>
      <w:r>
        <w:rPr>
          <w:rFonts w:cs="Times New Roman" w:ascii="Arial" w:hAnsi="Arial"/>
          <w:b w:val="false"/>
          <w:bCs w:val="false"/>
          <w:color w:val="000000"/>
          <w:sz w:val="20"/>
          <w:szCs w:val="20"/>
          <w:u w:val="none"/>
          <w:shd w:fill="auto" w:val="clear"/>
          <w:vertAlign w:val="superscript"/>
        </w:rPr>
        <w:t>2</w:t>
      </w:r>
      <w:r>
        <w:rPr>
          <w:rFonts w:cs="Times New Roman" w:ascii="Arial" w:hAnsi="Arial"/>
          <w:b w:val="false"/>
          <w:bCs w:val="false"/>
          <w:color w:val="000000"/>
          <w:sz w:val="20"/>
          <w:szCs w:val="20"/>
          <w:u w:val="none"/>
          <w:shd w:fill="auto" w:val="clear"/>
        </w:rPr>
        <w:t xml:space="preserve"> de terrain</w:t>
      </w:r>
      <w:r>
        <w:rPr>
          <w:rFonts w:cs="Times New Roman" w:ascii="Arial" w:hAnsi="Arial"/>
          <w:b w:val="false"/>
          <w:bCs w:val="false"/>
          <w:strike w:val="false"/>
          <w:dstrike w:val="false"/>
          <w:color w:val="000000"/>
          <w:sz w:val="20"/>
          <w:szCs w:val="20"/>
          <w:u w:val="none"/>
          <w:shd w:fill="auto" w:val="clear"/>
        </w:rPr>
        <w:t xml:space="preserve">, </w:t>
      </w:r>
      <w:r>
        <w:rPr>
          <w:rFonts w:cs="Times New Roman" w:ascii="Arial" w:hAnsi="Arial"/>
          <w:b w:val="false"/>
          <w:bCs w:val="false"/>
          <w:color w:val="000000"/>
          <w:sz w:val="20"/>
          <w:szCs w:val="20"/>
          <w:u w:val="none"/>
          <w:shd w:fill="auto" w:val="clear"/>
        </w:rPr>
        <w:t>comprenant une prairie, un jardin potager, une aire de plantes aromatiques, un verger, une haie arbustive, une mare et une serre pédagogiques.</w:t>
      </w:r>
    </w:p>
    <w:p>
      <w:pPr>
        <w:pStyle w:val="BodyText3"/>
        <w:tabs>
          <w:tab w:val="clear" w:pos="960"/>
          <w:tab w:val="left" w:pos="980" w:leader="none"/>
        </w:tabs>
        <w:spacing w:lineRule="auto" w:line="240"/>
        <w:ind w:left="0" w:right="0" w:hanging="0"/>
        <w:jc w:val="both"/>
        <w:rPr>
          <w:rFonts w:ascii="Arial" w:hAnsi="Arial" w:cs="Times New Roman"/>
          <w:b w:val="false"/>
          <w:b w:val="false"/>
          <w:bCs w:val="false"/>
          <w:color w:val="000000"/>
          <w:sz w:val="21"/>
          <w:szCs w:val="21"/>
          <w:u w:val="none"/>
          <w:shd w:fill="FE7F00" w:val="clear"/>
        </w:rPr>
      </w:pPr>
      <w:r>
        <w:rPr>
          <w:rFonts w:cs="Times New Roman" w:ascii="Arial" w:hAnsi="Arial"/>
          <w:b w:val="false"/>
          <w:bCs w:val="false"/>
          <w:color w:val="000000"/>
          <w:sz w:val="21"/>
          <w:szCs w:val="21"/>
          <w:u w:val="none"/>
          <w:shd w:fill="FE7F00" w:val="clear"/>
        </w:rPr>
      </w:r>
    </w:p>
    <w:p>
      <w:pPr>
        <w:pStyle w:val="Titre2"/>
        <w:numPr>
          <w:ilvl w:val="1"/>
          <w:numId w:val="2"/>
        </w:numPr>
        <w:ind w:left="1701" w:right="0" w:firstLine="283"/>
        <w:rPr/>
      </w:pPr>
      <w:bookmarkStart w:id="42" w:name="__RefHeading___Toc7395_1156739212"/>
      <w:bookmarkEnd w:id="42"/>
      <w:r>
        <w:rPr/>
        <w:t>Conditions de la mise à disposition</w:t>
      </w:r>
    </w:p>
    <w:p>
      <w:pPr>
        <w:pStyle w:val="BodyText3"/>
        <w:tabs>
          <w:tab w:val="clear" w:pos="960"/>
          <w:tab w:val="left" w:pos="980" w:leader="none"/>
        </w:tabs>
        <w:spacing w:lineRule="auto" w:line="240"/>
        <w:ind w:left="0" w:right="0" w:hanging="0"/>
        <w:jc w:val="both"/>
        <w:rPr>
          <w:highlight w:val="none"/>
          <w:shd w:fill="auto" w:val="clear"/>
        </w:rPr>
      </w:pPr>
      <w:r>
        <w:rPr>
          <w:rFonts w:cs="Times New Roman" w:ascii="Arial" w:hAnsi="Arial"/>
          <w:b w:val="false"/>
          <w:bCs w:val="false"/>
          <w:color w:val="000000"/>
          <w:sz w:val="20"/>
          <w:szCs w:val="20"/>
          <w:u w:val="none"/>
          <w:shd w:fill="auto" w:val="clear"/>
        </w:rPr>
        <w:t>La mise à disposition prend effet à compter de la réalisation de l’état des lieux (terrains et bâtis) et prend fin dans les 15 jours suivant la réalisation de la dernière activité du poste 1 commandée, après réalisation de l’état des lieux de sortie, dans les conditions définies ci-dessous.</w:t>
      </w:r>
    </w:p>
    <w:p>
      <w:pPr>
        <w:pStyle w:val="BodyText3"/>
        <w:tabs>
          <w:tab w:val="clear" w:pos="960"/>
          <w:tab w:val="left" w:pos="980" w:leader="none"/>
        </w:tabs>
        <w:spacing w:lineRule="auto" w:line="240"/>
        <w:ind w:left="0" w:right="0" w:hanging="0"/>
        <w:jc w:val="both"/>
        <w:rPr>
          <w:highlight w:val="none"/>
          <w:shd w:fill="auto" w:val="clear"/>
        </w:rPr>
      </w:pPr>
      <w:r>
        <w:rPr>
          <w:rFonts w:cs="Times New Roman" w:ascii="Arial" w:hAnsi="Arial"/>
          <w:b w:val="false"/>
          <w:bCs w:val="false"/>
          <w:color w:val="000000"/>
          <w:sz w:val="20"/>
          <w:szCs w:val="20"/>
          <w:u w:val="none"/>
          <w:shd w:fill="auto" w:val="clear"/>
        </w:rPr>
        <w:t>L’état des lieux est dressé en présence des deux parties.</w:t>
      </w:r>
    </w:p>
    <w:p>
      <w:pPr>
        <w:pStyle w:val="BodyText3"/>
        <w:tabs>
          <w:tab w:val="clear" w:pos="960"/>
          <w:tab w:val="left" w:pos="980" w:leader="none"/>
        </w:tabs>
        <w:spacing w:lineRule="auto" w:line="240"/>
        <w:ind w:left="0" w:right="0" w:hanging="0"/>
        <w:jc w:val="both"/>
        <w:rPr>
          <w:highlight w:val="none"/>
          <w:shd w:fill="auto" w:val="clear"/>
        </w:rPr>
      </w:pPr>
      <w:r>
        <w:rPr>
          <w:rFonts w:cs="Times New Roman" w:ascii="Arial" w:hAnsi="Arial"/>
          <w:b w:val="false"/>
          <w:bCs w:val="false"/>
          <w:color w:val="000000"/>
          <w:sz w:val="20"/>
          <w:szCs w:val="20"/>
          <w:u w:val="none"/>
          <w:shd w:fill="auto" w:val="clear"/>
        </w:rPr>
        <w:t>Le titulaire doit restituer les lieux dans l’état où il en a pris possession, hors vétusté.</w:t>
      </w:r>
    </w:p>
    <w:p>
      <w:pPr>
        <w:pStyle w:val="BodyText3"/>
        <w:tabs>
          <w:tab w:val="clear" w:pos="960"/>
          <w:tab w:val="left" w:pos="980" w:leader="none"/>
        </w:tabs>
        <w:spacing w:lineRule="auto" w:line="240"/>
        <w:ind w:left="0" w:right="0" w:hanging="0"/>
        <w:jc w:val="both"/>
        <w:rPr>
          <w:highlight w:val="none"/>
          <w:shd w:fill="auto" w:val="clear"/>
        </w:rPr>
      </w:pPr>
      <w:r>
        <w:rPr>
          <w:rFonts w:cs="Times New Roman" w:ascii="Arial" w:hAnsi="Arial"/>
          <w:b w:val="false"/>
          <w:bCs w:val="false"/>
          <w:color w:val="000000"/>
          <w:sz w:val="20"/>
          <w:szCs w:val="20"/>
          <w:u w:val="none"/>
          <w:shd w:fill="auto" w:val="clear"/>
        </w:rPr>
        <w:t xml:space="preserve">Le titulaire doit avoir enlevé l'ensemble des éléments nécessaires à son activité avant la date prévue pour l'état des lieux de sortie. Si à la date prévue pour la réalisation de l’état des lieux de sortie, le titulaire n’a pas évacué les lieux ou ne les a pas remis en état, il sera soumis à une astreinte journalière d’un montant de </w:t>
      </w:r>
      <w:r>
        <w:rPr>
          <w:rFonts w:cs="Times New Roman" w:ascii="Arial" w:hAnsi="Arial"/>
          <w:b/>
          <w:bCs/>
          <w:color w:val="000000"/>
          <w:sz w:val="20"/>
          <w:szCs w:val="20"/>
          <w:u w:val="none"/>
          <w:shd w:fill="auto" w:val="clear"/>
        </w:rPr>
        <w:t>100</w:t>
      </w:r>
      <w:r>
        <w:rPr>
          <w:rFonts w:cs="Times New Roman" w:ascii="Arial" w:hAnsi="Arial"/>
          <w:b w:val="false"/>
          <w:bCs w:val="false"/>
          <w:color w:val="000000"/>
          <w:sz w:val="20"/>
          <w:szCs w:val="20"/>
          <w:u w:val="none"/>
          <w:shd w:fill="auto" w:val="clear"/>
        </w:rPr>
        <w:t xml:space="preserve"> euros jusqu’à la complète évacuation ou remise en état du site.</w:t>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 xml:space="preserve">Aucune modification ou aménagement des terrains, bâtiments et annexes ne peut être entreprise par le titulaire. </w:t>
      </w:r>
    </w:p>
    <w:p>
      <w:pPr>
        <w:pStyle w:val="BodyText3"/>
        <w:tabs>
          <w:tab w:val="clear" w:pos="960"/>
          <w:tab w:val="left" w:pos="980" w:leader="none"/>
        </w:tabs>
        <w:spacing w:lineRule="auto" w:line="240"/>
        <w:ind w:left="0" w:right="0" w:hanging="0"/>
        <w:jc w:val="both"/>
        <w:rPr>
          <w:rFonts w:ascii="Arial" w:hAnsi="Arial" w:cs="Times New Roman"/>
          <w:b w:val="false"/>
          <w:b w:val="false"/>
          <w:bCs w:val="false"/>
          <w:color w:val="000000"/>
          <w:sz w:val="20"/>
          <w:szCs w:val="20"/>
          <w:u w:val="none"/>
          <w:shd w:fill="auto" w:val="clear"/>
        </w:rPr>
      </w:pPr>
      <w:r>
        <w:rPr>
          <w:rFonts w:cs="Times New Roman" w:ascii="Arial" w:hAnsi="Arial"/>
          <w:b w:val="false"/>
          <w:bCs w:val="false"/>
          <w:color w:val="000000"/>
          <w:sz w:val="20"/>
          <w:szCs w:val="20"/>
          <w:u w:val="none"/>
          <w:shd w:fill="auto" w:val="clear"/>
        </w:rPr>
        <w:t>Les biens mis à disposition par la Ville de Marseille sont exclusivement destinés à la préparation et la réalisation des prestations devant être réalisées dans le cadre du présent marché.</w:t>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Les biens sont mis à disposition du titulaire du marché du lundi au vendredi de 8h00 à 17h00 hors jours fériés.</w:t>
      </w:r>
    </w:p>
    <w:p>
      <w:pPr>
        <w:pStyle w:val="BodyText3"/>
        <w:tabs>
          <w:tab w:val="clear" w:pos="960"/>
          <w:tab w:val="left" w:pos="980" w:leader="none"/>
        </w:tabs>
        <w:spacing w:lineRule="auto" w:line="240"/>
        <w:ind w:left="0" w:right="0" w:hanging="0"/>
        <w:jc w:val="both"/>
        <w:rPr>
          <w:rFonts w:ascii="Arial" w:hAnsi="Arial" w:cs="Times New Roman"/>
          <w:b w:val="false"/>
          <w:b w:val="false"/>
          <w:bCs w:val="false"/>
          <w:color w:val="000000"/>
          <w:sz w:val="20"/>
          <w:szCs w:val="20"/>
          <w:u w:val="none"/>
          <w:shd w:fill="auto" w:val="clear"/>
        </w:rPr>
      </w:pPr>
      <w:r>
        <w:rPr>
          <w:rFonts w:cs="Times New Roman" w:ascii="Arial" w:hAnsi="Arial"/>
          <w:b w:val="false"/>
          <w:bCs w:val="false"/>
          <w:color w:val="000000"/>
          <w:sz w:val="20"/>
          <w:szCs w:val="20"/>
          <w:u w:val="none"/>
          <w:shd w:fill="auto" w:val="clear"/>
        </w:rPr>
        <w:t>La Ville de Marseille assure les travaux d'entretien et de nettoyage des bâtiments et locaux mis à disposition.</w:t>
      </w:r>
    </w:p>
    <w:p>
      <w:pPr>
        <w:pStyle w:val="BodyText3"/>
        <w:tabs>
          <w:tab w:val="clear" w:pos="960"/>
          <w:tab w:val="left" w:pos="980" w:leader="none"/>
        </w:tabs>
        <w:spacing w:lineRule="auto" w:line="240"/>
        <w:ind w:left="0" w:right="0" w:hanging="0"/>
        <w:jc w:val="both"/>
        <w:rPr>
          <w:rFonts w:ascii="Arial" w:hAnsi="Arial" w:cs="Times New Roman"/>
          <w:b w:val="false"/>
          <w:b w:val="false"/>
          <w:bCs w:val="false"/>
          <w:color w:val="000000"/>
          <w:sz w:val="20"/>
          <w:szCs w:val="20"/>
          <w:u w:val="none"/>
          <w:shd w:fill="auto" w:val="clear"/>
        </w:rPr>
      </w:pPr>
      <w:r>
        <w:rPr>
          <w:rFonts w:cs="Times New Roman" w:ascii="Arial" w:hAnsi="Arial"/>
          <w:b w:val="false"/>
          <w:bCs w:val="false"/>
          <w:color w:val="000000"/>
          <w:sz w:val="20"/>
          <w:szCs w:val="20"/>
          <w:u w:val="none"/>
          <w:shd w:fill="auto" w:val="clear"/>
        </w:rPr>
        <w:t>La Ville de Marseille met à disposition du titulaire l'eau et l'électricité et une ligne téléphonique pour l'exercice de ses missions. Le titulaire ne sera pas redevable du paiement des charges et taxes relatives à l'utilisation des biens mis à disposition.</w:t>
      </w:r>
    </w:p>
    <w:p>
      <w:pPr>
        <w:pStyle w:val="BodyText3"/>
        <w:tabs>
          <w:tab w:val="clear" w:pos="960"/>
          <w:tab w:val="left" w:pos="980" w:leader="none"/>
        </w:tabs>
        <w:spacing w:lineRule="auto" w:line="240"/>
        <w:ind w:left="0" w:right="0" w:hanging="0"/>
        <w:jc w:val="both"/>
        <w:rPr/>
      </w:pPr>
      <w:r>
        <w:rPr>
          <w:rFonts w:eastAsia="arial" w:cs="arial" w:ascii="arial" w:hAnsi="arial"/>
          <w:b w:val="false"/>
          <w:bCs w:val="false"/>
          <w:i w:val="false"/>
          <w:color w:val="000000"/>
          <w:sz w:val="20"/>
          <w:szCs w:val="20"/>
          <w:u w:val="none"/>
          <w:shd w:fill="auto" w:val="clear"/>
        </w:rPr>
        <w:t>Par dérogation à l’article 20.1.2 du CCAG PI, l</w:t>
      </w:r>
      <w:r>
        <w:rPr>
          <w:rFonts w:cs="Times New Roman" w:ascii="Arial" w:hAnsi="Arial"/>
          <w:b w:val="false"/>
          <w:bCs w:val="false"/>
          <w:color w:val="000000"/>
          <w:sz w:val="20"/>
          <w:szCs w:val="20"/>
          <w:u w:val="none"/>
          <w:shd w:fill="auto" w:val="clear"/>
        </w:rPr>
        <w:t>e titulaire, ne pourra entreposer sur le site que les matériels, outils, fournitures nécessaires à l'exercice des prestations du marché (activités et entretien du jardin). Les biens mis en œuvre par le titulaire pour l'exercice de ses prestations restent sa propriété et sous sa responsabilité.</w:t>
      </w:r>
    </w:p>
    <w:p>
      <w:pPr>
        <w:pStyle w:val="Normal"/>
        <w:rPr/>
      </w:pPr>
      <w:r>
        <w:rPr>
          <w:sz w:val="20"/>
          <w:szCs w:val="20"/>
          <w:shd w:fill="auto" w:val="clear"/>
        </w:rPr>
        <w:t xml:space="preserve">Par dérogation à l'article 8.1 du CCAG PI, les dommages de toute nature causés au personnel ou aux biens de l'acheteur par le titulaire, lors de l'exécution du marché sont à la charge du titulaire. </w:t>
      </w:r>
      <w:r>
        <w:rPr>
          <w:rFonts w:cs="Times New Roman"/>
          <w:b w:val="false"/>
          <w:bCs w:val="false"/>
          <w:color w:val="000000"/>
          <w:sz w:val="20"/>
          <w:szCs w:val="20"/>
          <w:u w:val="none"/>
          <w:shd w:fill="auto" w:val="clear"/>
        </w:rPr>
        <w:t>Les dommages causés au personnel ou aux biens du titulaire du fait de l'exécution du marché ne sont à la charge de l'acheteur que si une faute peut lui être attribuée.</w:t>
      </w:r>
    </w:p>
    <w:p>
      <w:pPr>
        <w:pStyle w:val="BodyText3"/>
        <w:tabs>
          <w:tab w:val="clear" w:pos="960"/>
          <w:tab w:val="left" w:pos="980" w:leader="none"/>
        </w:tabs>
        <w:spacing w:lineRule="auto" w:line="240"/>
        <w:ind w:left="0" w:right="0" w:hanging="0"/>
        <w:jc w:val="both"/>
        <w:rPr>
          <w:sz w:val="20"/>
          <w:szCs w:val="20"/>
        </w:rPr>
      </w:pPr>
      <w:r>
        <w:rPr>
          <w:sz w:val="20"/>
          <w:szCs w:val="20"/>
        </w:rPr>
      </w:r>
    </w:p>
    <w:p>
      <w:pPr>
        <w:pStyle w:val="BodyText3"/>
        <w:tabs>
          <w:tab w:val="clear" w:pos="960"/>
          <w:tab w:val="left" w:pos="980" w:leader="none"/>
        </w:tabs>
        <w:spacing w:lineRule="auto" w:line="240"/>
        <w:ind w:left="0" w:right="0" w:hanging="0"/>
        <w:jc w:val="both"/>
        <w:rPr/>
      </w:pPr>
      <w:r>
        <w:rPr>
          <w:rFonts w:cs="Times New Roman" w:ascii="Arial" w:hAnsi="Arial"/>
          <w:b w:val="false"/>
          <w:bCs w:val="false"/>
          <w:color w:val="000000"/>
          <w:sz w:val="20"/>
          <w:szCs w:val="20"/>
          <w:u w:val="none"/>
          <w:shd w:fill="auto" w:val="clear"/>
        </w:rPr>
        <w:t xml:space="preserve">Le titulaire assure l'entretien du jardin afin de garantir et de valoriser la fonction pédagogique de cet espace. Dans cet objectif, il devra effectuer tous les travaux nécessaires à la vie du jardin, à la culture des plantes potagères, aromatiques et ornementales utiles à la réalisation des animations, en respectant les saisons et en mettant en œuvre des pratiques de jardinage écologiques. </w:t>
      </w:r>
    </w:p>
    <w:p>
      <w:pPr>
        <w:pStyle w:val="BodyText3"/>
        <w:tabs>
          <w:tab w:val="clear" w:pos="960"/>
          <w:tab w:val="left" w:pos="980" w:leader="none"/>
        </w:tabs>
        <w:spacing w:lineRule="auto" w:line="240"/>
        <w:ind w:left="0" w:right="0" w:hanging="0"/>
        <w:jc w:val="both"/>
        <w:rPr>
          <w:rFonts w:ascii="Arial" w:hAnsi="Arial" w:cs="Times New Roman"/>
          <w:b w:val="false"/>
          <w:b w:val="false"/>
          <w:bCs w:val="false"/>
          <w:color w:val="000000"/>
          <w:sz w:val="20"/>
          <w:szCs w:val="20"/>
          <w:u w:val="none"/>
          <w:shd w:fill="auto" w:val="clear"/>
        </w:rPr>
      </w:pPr>
      <w:r>
        <w:rPr>
          <w:rFonts w:cs="Times New Roman" w:ascii="Arial" w:hAnsi="Arial"/>
          <w:b w:val="false"/>
          <w:bCs w:val="false"/>
          <w:color w:val="000000"/>
          <w:sz w:val="20"/>
          <w:szCs w:val="20"/>
          <w:u w:val="none"/>
          <w:shd w:fill="auto" w:val="clear"/>
        </w:rPr>
        <w:t xml:space="preserve">Le titulaire doit utiliser les lieux suivant leur désignation dans le cadre de la préparation et de la mise en œuvre des prestations attendues. Il ne peut en aucun cas faire ou laisser faire quelque chose qui puisse les détériorer et devra prévenir, </w:t>
      </w:r>
      <w:r>
        <w:rPr>
          <w:rFonts w:cs="Times New Roman" w:ascii="Arial" w:hAnsi="Arial"/>
          <w:b/>
          <w:bCs/>
          <w:color w:val="000000"/>
          <w:sz w:val="20"/>
          <w:szCs w:val="20"/>
          <w:u w:val="none"/>
          <w:shd w:fill="auto" w:val="clear"/>
        </w:rPr>
        <w:t>sans délai</w:t>
      </w:r>
      <w:r>
        <w:rPr>
          <w:rFonts w:cs="Times New Roman" w:ascii="Arial" w:hAnsi="Arial"/>
          <w:b w:val="false"/>
          <w:bCs w:val="false"/>
          <w:color w:val="000000"/>
          <w:sz w:val="20"/>
          <w:szCs w:val="20"/>
          <w:u w:val="none"/>
          <w:shd w:fill="auto" w:val="clear"/>
        </w:rPr>
        <w:t>, le service gestionnaire du marché de toute atteinte et de toutes dégradations et détériorations qui viendraient à se produire sur les biens mis à disposition.</w:t>
      </w:r>
    </w:p>
    <w:p>
      <w:pPr>
        <w:pStyle w:val="BodyText3"/>
        <w:tabs>
          <w:tab w:val="clear" w:pos="960"/>
          <w:tab w:val="left" w:pos="980" w:leader="none"/>
        </w:tabs>
        <w:spacing w:lineRule="auto" w:line="240"/>
        <w:ind w:left="0" w:right="0" w:hanging="0"/>
        <w:jc w:val="both"/>
        <w:rPr>
          <w:rFonts w:ascii="Arial" w:hAnsi="Arial" w:cs="Times New Roman"/>
          <w:b w:val="false"/>
          <w:b w:val="false"/>
          <w:bCs w:val="false"/>
          <w:color w:val="000000"/>
          <w:sz w:val="20"/>
          <w:szCs w:val="20"/>
          <w:u w:val="none"/>
          <w:shd w:fill="auto" w:val="clear"/>
        </w:rPr>
      </w:pPr>
      <w:r>
        <w:rPr>
          <w:rFonts w:cs="Times New Roman" w:ascii="Arial" w:hAnsi="Arial"/>
          <w:b w:val="false"/>
          <w:bCs w:val="false"/>
          <w:color w:val="000000"/>
          <w:sz w:val="20"/>
          <w:szCs w:val="20"/>
          <w:u w:val="none"/>
          <w:shd w:fill="auto" w:val="clear"/>
        </w:rPr>
        <w:t>Le titulaire devra effectuer à ses frais les réparations résultant de dégradations de son fait, de son personnel, de ses manquements.</w:t>
      </w:r>
    </w:p>
    <w:p>
      <w:pPr>
        <w:pStyle w:val="BodyText3"/>
        <w:tabs>
          <w:tab w:val="clear" w:pos="960"/>
          <w:tab w:val="left" w:pos="980" w:leader="none"/>
        </w:tabs>
        <w:spacing w:lineRule="auto" w:line="240"/>
        <w:ind w:left="0" w:right="0" w:hanging="0"/>
        <w:jc w:val="both"/>
        <w:rPr>
          <w:rFonts w:ascii="Arial" w:hAnsi="Arial" w:eastAsia="Arial" w:cs="Times New Roman"/>
          <w:b w:val="false"/>
          <w:b w:val="false"/>
          <w:bCs w:val="false"/>
          <w:i w:val="false"/>
          <w:i w:val="false"/>
          <w:color w:val="000000"/>
          <w:sz w:val="20"/>
          <w:szCs w:val="20"/>
          <w:u w:val="none"/>
          <w:shd w:fill="auto" w:val="clear"/>
        </w:rPr>
      </w:pPr>
      <w:r>
        <w:rPr>
          <w:rFonts w:eastAsia="Arial" w:cs="Times New Roman" w:ascii="Arial" w:hAnsi="Arial"/>
          <w:b w:val="false"/>
          <w:bCs w:val="false"/>
          <w:i w:val="false"/>
          <w:color w:val="000000"/>
          <w:sz w:val="20"/>
          <w:szCs w:val="20"/>
          <w:u w:val="none"/>
          <w:shd w:fill="auto" w:val="clear"/>
        </w:rPr>
        <w:t>Le titulaire doit laisser chaque jour, les lieux propres et rangés après ses activités, afin de permettre le nettoyage des locaux.</w:t>
      </w:r>
    </w:p>
    <w:p>
      <w:pPr>
        <w:pStyle w:val="Titre1"/>
        <w:numPr>
          <w:ilvl w:val="0"/>
          <w:numId w:val="2"/>
        </w:numPr>
        <w:ind w:left="1701" w:right="0" w:firstLine="283"/>
        <w:rPr/>
      </w:pPr>
      <w:bookmarkStart w:id="43" w:name="__RefHeading___Toc7397_1156739212"/>
      <w:bookmarkEnd w:id="43"/>
      <w:r>
        <w:rPr/>
        <w:t xml:space="preserve">MODIFICATION DE LA COMPOSITION DE L’EQUIPE </w:t>
      </w:r>
    </w:p>
    <w:p>
      <w:pPr>
        <w:pStyle w:val="BodyText3"/>
        <w:tabs>
          <w:tab w:val="clear" w:pos="960"/>
        </w:tabs>
        <w:spacing w:lineRule="auto" w:line="240"/>
        <w:ind w:left="0" w:right="0" w:hanging="0"/>
        <w:jc w:val="both"/>
        <w:rPr/>
      </w:pPr>
      <w:r>
        <w:rPr>
          <w:rFonts w:cs="Times New Roman" w:ascii="Arial" w:hAnsi="Arial"/>
          <w:color w:val="000000"/>
          <w:sz w:val="20"/>
          <w:szCs w:val="20"/>
          <w:u w:val="none"/>
          <w:shd w:fill="auto" w:val="clear"/>
        </w:rPr>
        <w:t xml:space="preserve">Par dérogation à l'article 3.4.3 du CCAG PI, si au cours du marché une personne de l'équipe dédiée à l'exécution des prestations présentée dans le mémoire technique du candidat n'est pas, ou plus, en mesure d'accomplir les missions qui lui sont affectées de façon temporaire ou définitive, le titulaire doit informer le service gestionnaire du marché, </w:t>
      </w:r>
      <w:r>
        <w:rPr>
          <w:rFonts w:cs="Times New Roman" w:ascii="Arial" w:hAnsi="Arial"/>
          <w:b/>
          <w:bCs/>
          <w:color w:val="000000"/>
          <w:sz w:val="20"/>
          <w:szCs w:val="20"/>
          <w:u w:val="none"/>
          <w:shd w:fill="auto" w:val="clear"/>
        </w:rPr>
        <w:t>sans délai</w:t>
      </w:r>
      <w:r>
        <w:rPr>
          <w:rFonts w:cs="Times New Roman" w:ascii="Arial" w:hAnsi="Arial"/>
          <w:color w:val="000000"/>
          <w:sz w:val="20"/>
          <w:szCs w:val="20"/>
          <w:u w:val="none"/>
          <w:shd w:fill="auto" w:val="clear"/>
        </w:rPr>
        <w:t xml:space="preserve"> par téléphone ou message électronique. Il doit lui présenter un remplaçant disposant de compétences au moins équivalentes dont il communiquera les qualifications et expériences dans un délai de</w:t>
      </w:r>
      <w:r>
        <w:rPr>
          <w:rFonts w:cs="Times New Roman" w:ascii="Arial" w:hAnsi="Arial"/>
          <w:b/>
          <w:bCs/>
          <w:color w:val="000000"/>
          <w:sz w:val="20"/>
          <w:szCs w:val="20"/>
          <w:u w:val="none"/>
          <w:shd w:fill="auto" w:val="clear"/>
        </w:rPr>
        <w:t xml:space="preserve"> 15 jours calendaires </w:t>
      </w:r>
      <w:r>
        <w:rPr>
          <w:rFonts w:cs="Times New Roman" w:ascii="Arial" w:hAnsi="Arial"/>
          <w:b w:val="false"/>
          <w:bCs w:val="false"/>
          <w:color w:val="000000"/>
          <w:sz w:val="20"/>
          <w:szCs w:val="20"/>
          <w:u w:val="none"/>
          <w:shd w:fill="auto" w:val="clear"/>
        </w:rPr>
        <w:t>à compter de l'information au service gestionnaire</w:t>
      </w:r>
      <w:r>
        <w:rPr>
          <w:rFonts w:cs="Times New Roman" w:ascii="Arial" w:hAnsi="Arial"/>
          <w:color w:val="000000"/>
          <w:sz w:val="20"/>
          <w:szCs w:val="20"/>
          <w:u w:val="none"/>
          <w:shd w:fill="auto" w:val="clear"/>
        </w:rPr>
        <w:t>.</w:t>
      </w:r>
      <w:r>
        <w:rPr>
          <w:rFonts w:cs="Times New Roman" w:ascii="Arial" w:hAnsi="Arial"/>
          <w:color w:val="000000"/>
          <w:sz w:val="21"/>
          <w:szCs w:val="21"/>
          <w:u w:val="none"/>
          <w:shd w:fill="auto" w:val="clear"/>
        </w:rPr>
        <w:t xml:space="preserve"> L</w:t>
      </w:r>
      <w:r>
        <w:rPr>
          <w:rFonts w:cs="Times New Roman" w:ascii="Arial" w:hAnsi="Arial"/>
          <w:color w:val="000000"/>
          <w:sz w:val="20"/>
          <w:szCs w:val="20"/>
          <w:u w:val="none"/>
          <w:shd w:fill="auto" w:val="clear"/>
        </w:rPr>
        <w:t xml:space="preserve">e service gestionnaire devra se prononcer sur l'agrément de la personne présentée dans les </w:t>
      </w:r>
      <w:r>
        <w:rPr>
          <w:rFonts w:cs="Times New Roman" w:ascii="Arial" w:hAnsi="Arial"/>
          <w:b/>
          <w:bCs/>
          <w:color w:val="000000"/>
          <w:sz w:val="20"/>
          <w:szCs w:val="20"/>
          <w:u w:val="none"/>
          <w:shd w:fill="auto" w:val="clear"/>
        </w:rPr>
        <w:t>7 jours</w:t>
      </w:r>
      <w:r>
        <w:rPr>
          <w:rFonts w:cs="Times New Roman" w:ascii="Arial" w:hAnsi="Arial"/>
          <w:color w:val="000000"/>
          <w:sz w:val="20"/>
          <w:szCs w:val="20"/>
          <w:u w:val="none"/>
          <w:shd w:fill="auto" w:val="clear"/>
        </w:rPr>
        <w:t xml:space="preserve">. La personne est réputée acceptée si elle n'est pas récusée dans les </w:t>
      </w:r>
      <w:r>
        <w:rPr>
          <w:rFonts w:cs="Times New Roman" w:ascii="Arial" w:hAnsi="Arial"/>
          <w:b/>
          <w:bCs/>
          <w:color w:val="000000"/>
          <w:sz w:val="20"/>
          <w:szCs w:val="20"/>
          <w:u w:val="none"/>
          <w:shd w:fill="auto" w:val="clear"/>
        </w:rPr>
        <w:t>7 jours</w:t>
      </w:r>
      <w:r>
        <w:rPr>
          <w:rFonts w:cs="Times New Roman" w:ascii="Arial" w:hAnsi="Arial"/>
          <w:color w:val="000000"/>
          <w:sz w:val="20"/>
          <w:szCs w:val="20"/>
          <w:u w:val="none"/>
          <w:shd w:fill="auto" w:val="clear"/>
        </w:rPr>
        <w:t xml:space="preserve">. Si le service gestionnaire du marché récuse le remplaçant, le titulaire dispose de </w:t>
      </w:r>
      <w:r>
        <w:rPr>
          <w:rFonts w:cs="Times New Roman" w:ascii="Arial" w:hAnsi="Arial"/>
          <w:b/>
          <w:bCs/>
          <w:color w:val="000000"/>
          <w:sz w:val="20"/>
          <w:szCs w:val="20"/>
          <w:u w:val="none"/>
          <w:shd w:fill="auto" w:val="clear"/>
        </w:rPr>
        <w:t>15 jours</w:t>
      </w:r>
      <w:r>
        <w:rPr>
          <w:rFonts w:cs="Times New Roman" w:ascii="Arial" w:hAnsi="Arial"/>
          <w:color w:val="000000"/>
          <w:sz w:val="20"/>
          <w:szCs w:val="20"/>
          <w:u w:val="none"/>
          <w:shd w:fill="auto" w:val="clear"/>
        </w:rPr>
        <w:t xml:space="preserve"> pour présenter une nouvelle personne.</w:t>
      </w:r>
    </w:p>
    <w:p>
      <w:pPr>
        <w:pStyle w:val="BodyText3"/>
        <w:tabs>
          <w:tab w:val="clear" w:pos="960"/>
        </w:tabs>
        <w:spacing w:lineRule="auto" w:line="240"/>
        <w:ind w:left="0" w:right="0" w:hanging="0"/>
        <w:jc w:val="both"/>
        <w:rPr>
          <w:rFonts w:ascii="Arial" w:hAnsi="Arial" w:cs="Times New Roman"/>
          <w:color w:val="000000"/>
          <w:sz w:val="20"/>
          <w:szCs w:val="20"/>
          <w:u w:val="none"/>
          <w:shd w:fill="auto" w:val="clear"/>
        </w:rPr>
      </w:pPr>
      <w:r>
        <w:rPr>
          <w:rFonts w:cs="Times New Roman" w:ascii="Arial" w:hAnsi="Arial"/>
          <w:color w:val="000000"/>
          <w:sz w:val="20"/>
          <w:szCs w:val="20"/>
          <w:u w:val="none"/>
          <w:shd w:fill="auto" w:val="clear"/>
        </w:rPr>
        <w:t>A défaut de proposition de remplacement par le titulaire ou de récusation par le service gestionnaire du marché, le marché pourra être résilié pour faute du titulaire.</w:t>
      </w:r>
    </w:p>
    <w:p>
      <w:pPr>
        <w:pStyle w:val="Normal"/>
        <w:tabs>
          <w:tab w:val="clear" w:pos="706"/>
        </w:tabs>
        <w:spacing w:lineRule="auto" w:line="240"/>
        <w:ind w:left="0" w:right="0" w:hanging="0"/>
        <w:jc w:val="both"/>
        <w:rPr>
          <w:rFonts w:ascii="Arial" w:hAnsi="Arial"/>
          <w:sz w:val="20"/>
          <w:szCs w:val="20"/>
        </w:rPr>
      </w:pPr>
      <w:r>
        <w:rPr>
          <w:sz w:val="20"/>
          <w:szCs w:val="20"/>
        </w:rPr>
      </w:r>
    </w:p>
    <w:p>
      <w:pPr>
        <w:pStyle w:val="Normal"/>
        <w:tabs>
          <w:tab w:val="clear" w:pos="706"/>
        </w:tabs>
        <w:spacing w:lineRule="auto" w:line="240"/>
        <w:ind w:left="0" w:right="0" w:hanging="0"/>
        <w:jc w:val="both"/>
        <w:rPr/>
      </w:pPr>
      <w:r>
        <w:rPr/>
      </w:r>
    </w:p>
    <w:p>
      <w:pPr>
        <w:pStyle w:val="Titre1"/>
        <w:numPr>
          <w:ilvl w:val="0"/>
          <w:numId w:val="2"/>
        </w:numPr>
        <w:ind w:left="1701" w:right="0" w:firstLine="283"/>
        <w:rPr/>
      </w:pPr>
      <w:bookmarkStart w:id="44" w:name="__RefHeading___Toc7399_1156739212"/>
      <w:bookmarkStart w:id="45" w:name="_Toc4007"/>
      <w:bookmarkEnd w:id="44"/>
      <w:r>
        <w:rPr/>
        <w:t>OPERATIONS DE VERIFICATION / ADMISSION</w:t>
      </w:r>
      <w:bookmarkEnd w:id="45"/>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Il est dérogé aux articles 28 et 29 du CCAG PI.</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opérations de vérifications ont pour objet de permettre à l’acheteur de contrôler :</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que le titulaire a mis en œuvre les moyens définis dans le marché conformément aux prescriptions qui y sont fixées,</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que le titulaire a réalisé les prestations définies dans le marché comme étant à sa charge, conformément aux stipulations contractuelles.</w:t>
      </w:r>
    </w:p>
    <w:p>
      <w:pPr>
        <w:pStyle w:val="Normal"/>
        <w:rPr>
          <w:highlight w:val="none"/>
          <w:shd w:fill="auto" w:val="clear"/>
        </w:rPr>
      </w:pPr>
      <w:r>
        <w:rPr>
          <w:rFonts w:eastAsia="arial" w:cs="arial" w:ascii="arial" w:hAnsi="arial"/>
          <w:b w:val="false"/>
          <w:i w:val="false"/>
          <w:color w:val="000000"/>
          <w:sz w:val="20"/>
          <w:u w:val="none"/>
          <w:shd w:fill="auto" w:val="clear"/>
        </w:rPr>
        <w:t xml:space="preserve">Pour le poste 1, pour les activités d’animation, les vérifications quantitatives et qualitatives sont effectuées à partir des attestations d'activité signées par le responsable du groupe. Les vérifications qualitatives peuvent également être réalisées par des visites inopinées de représentants du </w:t>
      </w:r>
      <w:r>
        <w:rPr>
          <w:rFonts w:eastAsia="arial" w:cs="Times New Roman"/>
          <w:b w:val="false"/>
          <w:i w:val="false"/>
          <w:color w:val="000000"/>
          <w:sz w:val="20"/>
          <w:szCs w:val="20"/>
          <w:u w:val="none"/>
          <w:shd w:fill="auto" w:val="clear"/>
        </w:rPr>
        <w:t>service gestionnaire du marché</w:t>
      </w:r>
      <w:r>
        <w:rPr>
          <w:rFonts w:eastAsia="arial" w:cs="arial" w:ascii="arial" w:hAnsi="arial"/>
          <w:b w:val="false"/>
          <w:i w:val="false"/>
          <w:color w:val="000000"/>
          <w:sz w:val="20"/>
          <w:u w:val="none"/>
          <w:shd w:fill="auto" w:val="clear"/>
        </w:rPr>
        <w:t xml:space="preserve"> lors d’activités programmées.</w:t>
      </w:r>
    </w:p>
    <w:p>
      <w:pPr>
        <w:pStyle w:val="Normal"/>
        <w:rPr>
          <w:highlight w:val="none"/>
          <w:shd w:fill="auto" w:val="clear"/>
        </w:rPr>
      </w:pPr>
      <w:r>
        <w:rPr>
          <w:rFonts w:eastAsia="arial" w:cs="arial" w:ascii="arial" w:hAnsi="arial"/>
          <w:b w:val="false"/>
          <w:i w:val="false"/>
          <w:strike w:val="false"/>
          <w:dstrike w:val="false"/>
          <w:color w:val="000000"/>
          <w:sz w:val="20"/>
          <w:u w:val="none"/>
          <w:shd w:fill="auto" w:val="clear"/>
        </w:rPr>
        <w:t>Pour le poste 2, les vérifications qualitatives sont effectuées par le service gestionnaire du marché, lors de visites sur site programmées ou de façon inopinée.</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décisions d'admission, de réfaction, d'ajournement ou de rejet sont effectuées dans les 15 jours de la réception de la facture.</w:t>
      </w:r>
    </w:p>
    <w:p>
      <w:pPr>
        <w:pStyle w:val="Titre1"/>
        <w:numPr>
          <w:ilvl w:val="0"/>
          <w:numId w:val="2"/>
        </w:numPr>
        <w:ind w:left="1701" w:right="0" w:firstLine="283"/>
        <w:rPr/>
      </w:pPr>
      <w:bookmarkStart w:id="46" w:name="__RefHeading___Toc7401_1156739212"/>
      <w:bookmarkStart w:id="47" w:name="_Toc4008"/>
      <w:bookmarkEnd w:id="46"/>
      <w:r>
        <w:rPr/>
        <w:t>GARANTIE CONTRACTUELLE</w:t>
      </w:r>
      <w:bookmarkEnd w:id="47"/>
    </w:p>
    <w:p>
      <w:pPr>
        <w:pStyle w:val="Titre2"/>
        <w:numPr>
          <w:ilvl w:val="1"/>
          <w:numId w:val="2"/>
        </w:numPr>
        <w:ind w:left="1701" w:right="0" w:firstLine="283"/>
        <w:rPr/>
      </w:pPr>
      <w:bookmarkStart w:id="48" w:name="__RefHeading___Toc7403_1156739212"/>
      <w:bookmarkStart w:id="49" w:name="_Toc4009"/>
      <w:bookmarkEnd w:id="48"/>
      <w:r>
        <w:rPr/>
        <w:t>Durée de garantie</w:t>
      </w:r>
      <w:bookmarkEnd w:id="49"/>
    </w:p>
    <w:p>
      <w:pPr>
        <w:pStyle w:val="Normal"/>
        <w:rPr/>
      </w:pPr>
      <w:r>
        <w:rPr>
          <w:rFonts w:eastAsia="arial" w:cs="arial" w:ascii="arial" w:hAnsi="arial"/>
          <w:b w:val="false"/>
          <w:i w:val="false"/>
          <w:color w:val="000000"/>
          <w:sz w:val="20"/>
          <w:u w:val="none"/>
          <w:shd w:fill="auto" w:val="clear"/>
        </w:rPr>
        <w:t xml:space="preserve">Par dérogation à l’article 30 du CCAG PI, les </w:t>
      </w:r>
      <w:r>
        <w:rPr>
          <w:rFonts w:eastAsia="arial" w:cs="arial" w:ascii="arial" w:hAnsi="arial"/>
          <w:b w:val="false"/>
          <w:bCs w:val="false"/>
          <w:i w:val="false"/>
          <w:color w:val="000000"/>
          <w:sz w:val="20"/>
          <w:u w:val="none"/>
          <w:shd w:fill="auto" w:val="clear"/>
        </w:rPr>
        <w:t xml:space="preserve">prestations ne </w:t>
      </w:r>
      <w:r>
        <w:rPr>
          <w:rFonts w:eastAsia="arial" w:cs="arial" w:ascii="arial" w:hAnsi="arial"/>
          <w:b w:val="false"/>
          <w:i w:val="false"/>
          <w:color w:val="000000"/>
          <w:sz w:val="20"/>
          <w:u w:val="none"/>
          <w:shd w:fill="auto" w:val="clear"/>
        </w:rPr>
        <w:t>font pas l'objet d'une garantie technique.</w:t>
      </w:r>
    </w:p>
    <w:p>
      <w:pPr>
        <w:pStyle w:val="Titre1"/>
        <w:numPr>
          <w:ilvl w:val="0"/>
          <w:numId w:val="2"/>
        </w:numPr>
        <w:ind w:left="1701" w:right="0" w:firstLine="283"/>
        <w:rPr/>
      </w:pPr>
      <w:bookmarkStart w:id="50" w:name="__RefHeading___Toc7405_1156739212"/>
      <w:bookmarkStart w:id="51" w:name="_Toc4011"/>
      <w:bookmarkEnd w:id="50"/>
      <w:r>
        <w:rPr/>
        <w:t>PROPRIETE INTELLECTUELLE ET UTILISATION DES RESULTATS</w:t>
      </w:r>
      <w:bookmarkEnd w:id="51"/>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L'utilisation des résultats, et notamment les droits respectifs du pouvoir adjudicateur et du titulaire en la matière, sont définis à l'article 35 du CCAG PI.</w:t>
      </w:r>
    </w:p>
    <w:p>
      <w:pPr>
        <w:pStyle w:val="Normal"/>
        <w:rPr/>
      </w:pPr>
      <w:r>
        <w:rPr>
          <w:rFonts w:eastAsia="arial" w:cs="arial" w:ascii="arial" w:hAnsi="arial"/>
          <w:b w:val="false"/>
          <w:i w:val="false"/>
          <w:color w:val="000000"/>
          <w:sz w:val="20"/>
          <w:u w:val="none"/>
          <w:shd w:fill="auto" w:val="clear"/>
        </w:rPr>
        <w:t>Le titulaire accorde à l’acheteur les droits nécessaires pour utiliser les activités, leurs supports et images, en l’état ou modifiés de façon permanente, par tout moyen et sous toutes formes pour des besoins de communication de la ville de Marseille.</w:t>
      </w:r>
    </w:p>
    <w:p>
      <w:pPr>
        <w:pStyle w:val="Normal"/>
        <w:tabs>
          <w:tab w:val="clear" w:pos="706"/>
          <w:tab w:val="left" w:pos="709" w:leader="none"/>
          <w:tab w:val="left" w:pos="1418" w:leader="none"/>
          <w:tab w:val="left" w:pos="2126" w:leader="none"/>
          <w:tab w:val="left" w:pos="2836" w:leader="none"/>
          <w:tab w:val="left" w:pos="3545" w:leader="none"/>
          <w:tab w:val="left" w:pos="4252" w:leader="none"/>
          <w:tab w:val="left" w:pos="4962" w:leader="none"/>
          <w:tab w:val="left" w:pos="5672" w:leader="none"/>
          <w:tab w:val="left" w:pos="6380" w:leader="none"/>
          <w:tab w:val="left" w:pos="7090" w:leader="none"/>
          <w:tab w:val="left" w:pos="7799" w:leader="none"/>
          <w:tab w:val="left" w:pos="8507" w:leader="none"/>
          <w:tab w:val="left" w:pos="9217" w:leader="none"/>
        </w:tabs>
        <w:spacing w:lineRule="atLeast" w:line="240" w:before="240" w:after="0"/>
        <w:jc w:val="both"/>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titulaire garantit la ville de Marseille contre toutes les revendications des tiers relatives à la propriété intellectuelle des prestations fournies au titre du marché.</w:t>
      </w:r>
    </w:p>
    <w:p>
      <w:pPr>
        <w:pStyle w:val="Titre1"/>
        <w:numPr>
          <w:ilvl w:val="0"/>
          <w:numId w:val="2"/>
        </w:numPr>
        <w:ind w:left="1701" w:right="0" w:firstLine="283"/>
        <w:rPr/>
      </w:pPr>
      <w:bookmarkStart w:id="52" w:name="__RefHeading___Toc7407_1156739212"/>
      <w:bookmarkStart w:id="53" w:name="_Toc4012"/>
      <w:bookmarkEnd w:id="52"/>
      <w:r>
        <w:rPr/>
        <w:t>CONFIDENTIALITE ET MESURES DE SECURITE</w:t>
      </w:r>
      <w:bookmarkEnd w:id="53"/>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La confidentialité et les mesures de sécurité sont soumises aux dispositions de l'article 5 du CCAG PI.</w:t>
      </w:r>
    </w:p>
    <w:p>
      <w:pPr>
        <w:pStyle w:val="Titre1"/>
        <w:numPr>
          <w:ilvl w:val="0"/>
          <w:numId w:val="2"/>
        </w:numPr>
        <w:ind w:left="1701" w:right="0" w:firstLine="283"/>
        <w:rPr/>
      </w:pPr>
      <w:bookmarkStart w:id="54" w:name="__RefHeading___Toc7409_1156739212"/>
      <w:bookmarkStart w:id="55" w:name="_Toc4013"/>
      <w:bookmarkEnd w:id="54"/>
      <w:r>
        <w:rPr/>
        <w:t>MODALITES DE DETERMINATION DES PRIX</w:t>
      </w:r>
      <w:bookmarkEnd w:id="55"/>
    </w:p>
    <w:p>
      <w:pPr>
        <w:pStyle w:val="Titre2"/>
        <w:numPr>
          <w:ilvl w:val="1"/>
          <w:numId w:val="2"/>
        </w:numPr>
        <w:ind w:left="1701" w:right="0" w:firstLine="283"/>
        <w:rPr/>
      </w:pPr>
      <w:bookmarkStart w:id="56" w:name="__RefHeading___Toc7411_1156739212"/>
      <w:bookmarkStart w:id="57" w:name="_Toc4014"/>
      <w:bookmarkEnd w:id="56"/>
      <w:r>
        <w:rPr/>
        <w:t>Nature du prix</w:t>
      </w:r>
      <w:bookmarkEnd w:id="57"/>
    </w:p>
    <w:p>
      <w:pPr>
        <w:pStyle w:val="Normal"/>
        <w:rPr>
          <w:u w:val="none"/>
        </w:rPr>
      </w:pPr>
      <w:r>
        <w:rPr>
          <w:rFonts w:eastAsia="arial" w:cs="arial" w:ascii="arial" w:hAnsi="arial"/>
          <w:b w:val="false"/>
          <w:i w:val="false"/>
          <w:color w:val="000000"/>
          <w:sz w:val="20"/>
          <w:u w:val="none"/>
          <w:shd w:fill="auto" w:val="clear"/>
        </w:rPr>
        <w:t>Le marché est à prix mixtes.</w:t>
      </w:r>
    </w:p>
    <w:p>
      <w:pPr>
        <w:pStyle w:val="Normal"/>
        <w:rPr>
          <w:rFonts w:ascii="arial" w:hAnsi="arial" w:eastAsia="arial" w:cs="arial"/>
          <w:b w:val="false"/>
          <w:b w:val="false"/>
          <w:i w:val="false"/>
          <w:i w:val="false"/>
          <w:color w:val="000000"/>
          <w:sz w:val="20"/>
          <w:u w:val="single"/>
          <w:shd w:fill="auto" w:val="clear"/>
        </w:rPr>
      </w:pPr>
      <w:r>
        <w:rPr>
          <w:rFonts w:eastAsia="arial" w:cs="arial" w:ascii="arial" w:hAnsi="arial"/>
          <w:b w:val="false"/>
          <w:i w:val="false"/>
          <w:color w:val="000000"/>
          <w:sz w:val="20"/>
          <w:u w:val="single"/>
          <w:shd w:fill="auto" w:val="clear"/>
        </w:rPr>
        <w:t>Pour le poste 1 « prestations d’animations » les prix sont unitaires</w:t>
      </w:r>
      <w:r>
        <w:rPr>
          <w:rFonts w:eastAsia="arial" w:cs="arial" w:ascii="arial" w:hAnsi="arial"/>
          <w:b w:val="false"/>
          <w:i w:val="false"/>
          <w:color w:val="000000"/>
          <w:sz w:val="20"/>
          <w:u w:val="none"/>
          <w:shd w:fill="auto" w:val="clear"/>
        </w:rPr>
        <w:t xml:space="preserve">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poste 1  est conclu aux prix unitaires figurant dans le Bordereau des Prix Unitaires (BPU).</w:t>
      </w:r>
    </w:p>
    <w:p>
      <w:pPr>
        <w:pStyle w:val="Normal"/>
        <w:spacing w:before="120" w:after="0"/>
        <w:rPr/>
      </w:pPr>
      <w:r>
        <w:rPr>
          <w:rFonts w:eastAsia="arial" w:cs="arial" w:ascii="arial" w:hAnsi="arial"/>
          <w:b w:val="false"/>
          <w:i w:val="false"/>
          <w:color w:val="000000"/>
          <w:sz w:val="20"/>
          <w:u w:val="none"/>
          <w:shd w:fill="auto" w:val="clear"/>
        </w:rPr>
        <w:t>En complément de l’article 10.1.3 du CCAG PI, les prix sont réputés comprendre tous les frais, fournitures, matériels, déplacements, nécessaires à la réalisation des prestations. Le titulaire devra fournir et mettre en œuvre les supports pédagogiques nécessaires (conception, impression diffusion) à la réalisation des activités.</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Le prix du marché résulte de l’application des quantités réellement exécutées aux prix des prestations du Bordereau des Prix Unitaires.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single"/>
          <w:shd w:fill="auto" w:val="clear"/>
        </w:rPr>
        <w:t>Pour le poste 2 « entretien du jardin » le prix global et forfaitaire sur l’année</w:t>
      </w:r>
      <w:r>
        <w:rPr>
          <w:rFonts w:eastAsia="arial" w:cs="arial" w:ascii="arial" w:hAnsi="arial"/>
          <w:b w:val="false"/>
          <w:i w:val="false"/>
          <w:color w:val="000000"/>
          <w:sz w:val="20"/>
          <w:u w:val="none"/>
          <w:shd w:fill="auto" w:val="clear"/>
        </w:rPr>
        <w:t xml:space="preserve"> est défini à l’article 4.2 de l’acte d’engagement.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taux de la TVA à prendre en considération est celui en vigueur à la date du fait générateur, conformément à l'article 269 du CGI.</w:t>
      </w:r>
    </w:p>
    <w:p>
      <w:pPr>
        <w:pStyle w:val="Titre2"/>
        <w:numPr>
          <w:ilvl w:val="1"/>
          <w:numId w:val="2"/>
        </w:numPr>
        <w:ind w:left="1701" w:right="0" w:firstLine="283"/>
        <w:rPr/>
      </w:pPr>
      <w:bookmarkStart w:id="58" w:name="__RefHeading___Toc7413_1156739212"/>
      <w:bookmarkStart w:id="59" w:name="_Toc4015"/>
      <w:bookmarkEnd w:id="58"/>
      <w:r>
        <w:rPr/>
        <w:t>Variations du prix</w:t>
      </w:r>
      <w:bookmarkEnd w:id="59"/>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prix sont révisables selon les modalités fixées ci-après.</w:t>
      </w:r>
    </w:p>
    <w:p>
      <w:pPr>
        <w:pStyle w:val="Normal"/>
        <w:rPr>
          <w:rFonts w:ascii="arial" w:hAnsi="arial" w:eastAsia="arial" w:cs="arial"/>
          <w:b w:val="false"/>
          <w:b w:val="false"/>
          <w:i w:val="false"/>
          <w:i w:val="false"/>
          <w:color w:val="000000"/>
          <w:sz w:val="20"/>
          <w:u w:val="single"/>
          <w:shd w:fill="auto" w:val="clear"/>
        </w:rPr>
      </w:pPr>
      <w:r>
        <w:rPr>
          <w:rFonts w:eastAsia="arial" w:cs="arial" w:ascii="arial" w:hAnsi="arial"/>
          <w:b w:val="false"/>
          <w:i w:val="false"/>
          <w:color w:val="000000"/>
          <w:sz w:val="20"/>
          <w:u w:val="single"/>
          <w:shd w:fill="auto" w:val="clear"/>
        </w:rPr>
        <w:t>Révision des prix selon formule paramétrique :</w:t>
      </w:r>
    </w:p>
    <w:p>
      <w:pPr>
        <w:pStyle w:val="Normal"/>
        <w:spacing w:before="120" w:after="0"/>
        <w:rPr/>
      </w:pPr>
      <w:r>
        <w:rPr>
          <w:rFonts w:eastAsia="arial" w:cs="arial" w:ascii="arial" w:hAnsi="arial"/>
          <w:b w:val="false"/>
          <w:i w:val="false"/>
          <w:color w:val="000000"/>
          <w:sz w:val="20"/>
          <w:u w:val="none"/>
          <w:shd w:fill="auto" w:val="clear"/>
        </w:rPr>
        <w:t>Par dérogation à l'article 10.2.4 du CCAG PI, les prix du présent marché sont réputés établis sur la base des conditions économiques du mois</w:t>
      </w:r>
      <w:r>
        <w:rPr>
          <w:rFonts w:eastAsia="arial" w:cs="arial" w:ascii="arial" w:hAnsi="arial"/>
          <w:b/>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de la date </w:t>
      </w:r>
      <w:r>
        <w:rPr>
          <w:rFonts w:eastAsia="arial" w:cs="arial" w:ascii="arial" w:hAnsi="arial"/>
          <w:b w:val="false"/>
          <w:i w:val="false"/>
          <w:color w:val="000000"/>
          <w:sz w:val="20"/>
          <w:u w:val="single"/>
          <w:shd w:fill="auto" w:val="clear"/>
        </w:rPr>
        <w:t>limite</w:t>
      </w:r>
      <w:r>
        <w:rPr>
          <w:rFonts w:eastAsia="arial" w:cs="arial" w:ascii="arial" w:hAnsi="arial"/>
          <w:b w:val="false"/>
          <w:i w:val="false"/>
          <w:color w:val="000000"/>
          <w:sz w:val="20"/>
          <w:u w:val="none"/>
          <w:shd w:fill="auto" w:val="clear"/>
        </w:rPr>
        <w:t xml:space="preserve"> de remise des offres ; ce mois est appelé "mois zéro".</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prix du marché évoluent de la manière suivante en fonction de l'évolution des conditions économiques.</w:t>
      </w:r>
    </w:p>
    <w:p>
      <w:pPr>
        <w:pStyle w:val="Normal"/>
        <w:spacing w:before="120" w:after="0"/>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Les prix sont révisables</w:t>
      </w:r>
      <w:r>
        <w:rPr>
          <w:rFonts w:eastAsia="arial" w:cs="arial" w:ascii="arial" w:hAnsi="arial"/>
          <w:b w:val="false"/>
          <w:i w:val="false"/>
          <w:color w:val="000000"/>
          <w:sz w:val="20"/>
          <w:u w:val="none"/>
          <w:shd w:fill="auto" w:val="clear"/>
        </w:rPr>
        <w:t>.</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Pour déterminer les prix de règlement, il sera fait application de la formule de révision figurant ci-après.</w:t>
      </w:r>
    </w:p>
    <w:p>
      <w:pPr>
        <w:pStyle w:val="Normal"/>
        <w:spacing w:before="120" w:after="0"/>
        <w:rPr/>
      </w:pPr>
      <w:r>
        <w:rPr>
          <w:rFonts w:eastAsia="arial" w:cs="arial" w:ascii="arial" w:hAnsi="arial"/>
          <w:b w:val="false"/>
          <w:i w:val="false"/>
          <w:color w:val="000000"/>
          <w:sz w:val="20"/>
          <w:u w:val="none"/>
          <w:shd w:fill="auto" w:val="clear"/>
        </w:rPr>
        <w:t xml:space="preserve">Les prix des postes 1 et 2 sont révisés </w:t>
      </w:r>
      <w:r>
        <w:rPr>
          <w:rFonts w:eastAsia="arial" w:cs="arial" w:ascii="arial" w:hAnsi="arial"/>
          <w:b/>
          <w:i w:val="false"/>
          <w:color w:val="000000"/>
          <w:sz w:val="20"/>
          <w:u w:val="none"/>
          <w:shd w:fill="auto" w:val="clear"/>
        </w:rPr>
        <w:t xml:space="preserve">annuellement </w:t>
      </w:r>
      <w:r>
        <w:rPr>
          <w:rFonts w:eastAsia="arial" w:cs="arial" w:ascii="arial" w:hAnsi="arial"/>
          <w:b w:val="false"/>
          <w:i w:val="false"/>
          <w:color w:val="000000"/>
          <w:sz w:val="20"/>
          <w:u w:val="none"/>
          <w:shd w:fill="auto" w:val="clear"/>
        </w:rPr>
        <w:t>à chaque date anniversaire de la notification du marché, en application de la formule suivante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P(n) = P(o)* (I(n)/I(0))</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paramètres figurant dans la formule ont la signification suivante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P (n) : Prix après révision</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P (0) : Prix à la date limite de remise des offres</w:t>
      </w:r>
    </w:p>
    <w:p>
      <w:pPr>
        <w:pStyle w:val="Normal"/>
        <w:spacing w:before="120" w:after="0"/>
        <w:rPr/>
      </w:pPr>
      <w:r>
        <w:rPr>
          <w:rFonts w:eastAsia="arial" w:cs="arial" w:ascii="arial" w:hAnsi="arial"/>
          <w:b w:val="false"/>
          <w:i w:val="false"/>
          <w:color w:val="000000"/>
          <w:sz w:val="20"/>
          <w:u w:val="none"/>
          <w:shd w:fill="auto" w:val="clear"/>
        </w:rPr>
        <w:t>I (n) : Valeur de l'indice</w:t>
      </w:r>
      <w:r>
        <w:rPr>
          <w:rFonts w:eastAsia="arial" w:cs="arial" w:ascii="arial" w:hAnsi="arial"/>
          <w:b/>
          <w:i w:val="false"/>
          <w:color w:val="000000"/>
          <w:sz w:val="20"/>
          <w:u w:val="none"/>
          <w:shd w:fill="auto" w:val="clear"/>
        </w:rPr>
        <w:t xml:space="preserve"> </w:t>
      </w:r>
      <w:r>
        <w:rPr>
          <w:rFonts w:ascii="Times New Roman" w:hAnsi="Times New Roman"/>
          <w:b w:val="false"/>
          <w:i w:val="false"/>
          <w:strike w:val="false"/>
          <w:dstrike w:val="false"/>
          <w:outline w:val="false"/>
          <w:shadow w:val="false"/>
          <w:color w:val="000000"/>
          <w:spacing w:val="0"/>
          <w:kern w:val="2"/>
          <w:sz w:val="20"/>
          <w:u w:val="none"/>
          <w:shd w:fill="auto" w:val="clear"/>
          <w:em w:val="none"/>
        </w:rPr>
        <w:t xml:space="preserve"> </w:t>
      </w:r>
      <w:r>
        <w:rPr>
          <w:b w:val="false"/>
          <w:i w:val="false"/>
          <w:strike w:val="false"/>
          <w:dstrike w:val="false"/>
          <w:outline w:val="false"/>
          <w:shadow w:val="false"/>
          <w:color w:val="000000"/>
          <w:spacing w:val="0"/>
          <w:kern w:val="2"/>
          <w:sz w:val="20"/>
          <w:u w:val="none"/>
          <w:shd w:fill="auto" w:val="clear"/>
          <w:em w:val="none"/>
        </w:rPr>
        <w:t>du coût du travail - Salaires et charges - Tertiaire  - Base 100 en 2016</w:t>
      </w:r>
      <w:r>
        <w:rPr>
          <w:rFonts w:eastAsia="arial" w:cs="arial"/>
          <w:b/>
          <w:i w:val="false"/>
          <w:color w:val="000000"/>
          <w:sz w:val="20"/>
          <w:u w:val="none"/>
          <w:shd w:fill="auto" w:val="clear"/>
        </w:rPr>
        <w:t xml:space="preserve">, </w:t>
      </w:r>
      <w:r>
        <w:rPr>
          <w:rFonts w:eastAsia="arial" w:cs="arial"/>
          <w:b w:val="false"/>
          <w:bCs w:val="false"/>
          <w:i w:val="false"/>
          <w:color w:val="000000"/>
          <w:sz w:val="20"/>
          <w:u w:val="none"/>
          <w:shd w:fill="auto" w:val="clear"/>
        </w:rPr>
        <w:t>identifiant n° 010599835 site Internet : INSEE, du trimestre précédent celui comprenant la date anniversaire de la notification</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I (0) : Même indice du trimestre précédent contenant la date limite de remise des offres.</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coefficient de révision Cn applicable est celui en vigueur à la date de la dernière prestation réalisée.</w:t>
      </w:r>
    </w:p>
    <w:p>
      <w:pPr>
        <w:pStyle w:val="Normal"/>
        <w:spacing w:before="120" w:after="0"/>
        <w:rPr/>
      </w:pPr>
      <w:r>
        <w:rPr/>
      </w:r>
    </w:p>
    <w:p>
      <w:pPr>
        <w:pStyle w:val="Normal"/>
        <w:rPr>
          <w:rFonts w:ascii="arial" w:hAnsi="arial" w:eastAsia="arial" w:cs="arial"/>
          <w:b w:val="false"/>
          <w:b w:val="false"/>
          <w:i w:val="false"/>
          <w:i w:val="false"/>
          <w:color w:val="000000"/>
          <w:sz w:val="20"/>
          <w:u w:val="single"/>
          <w:shd w:fill="auto" w:val="clear"/>
        </w:rPr>
      </w:pPr>
      <w:r>
        <w:rPr>
          <w:rFonts w:eastAsia="arial" w:cs="arial" w:ascii="arial" w:hAnsi="arial"/>
          <w:b w:val="false"/>
          <w:i w:val="false"/>
          <w:color w:val="000000"/>
          <w:sz w:val="20"/>
          <w:u w:val="single"/>
          <w:shd w:fill="auto" w:val="clear"/>
        </w:rPr>
        <w:t>Révision provisoire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Lorsqu'une révision a été effectuée provisoirement en utilisant un index antérieur à celui qui doit être appliqué, il n'est procédé à aucune autre révision avant la révision définitive, laquelle intervient sur le premier acompte suivant la parution de l'index correspondant.</w:t>
      </w:r>
    </w:p>
    <w:p>
      <w:pPr>
        <w:pStyle w:val="Titre2"/>
        <w:numPr>
          <w:ilvl w:val="1"/>
          <w:numId w:val="2"/>
        </w:numPr>
        <w:ind w:left="1701" w:right="0" w:firstLine="283"/>
        <w:rPr/>
      </w:pPr>
      <w:bookmarkStart w:id="60" w:name="__RefHeading___Toc7415_1156739212"/>
      <w:bookmarkStart w:id="61" w:name="_Toc4016"/>
      <w:bookmarkEnd w:id="60"/>
      <w:r>
        <w:rPr/>
        <w:t>Disparition d'indice</w:t>
      </w:r>
      <w:bookmarkEnd w:id="61"/>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Dans l'hypothèse où aucun indice de substitution ne serait préconisé, les parties conviennent que la substitution d'indice sera effectuée par avenant après accord de chacune d'elles.</w:t>
      </w:r>
    </w:p>
    <w:p>
      <w:pPr>
        <w:pStyle w:val="Titre1"/>
        <w:numPr>
          <w:ilvl w:val="0"/>
          <w:numId w:val="2"/>
        </w:numPr>
        <w:ind w:left="1701" w:right="0" w:firstLine="283"/>
        <w:rPr/>
      </w:pPr>
      <w:bookmarkStart w:id="62" w:name="__RefHeading___Toc7417_1156739212"/>
      <w:bookmarkStart w:id="63" w:name="_Toc4017"/>
      <w:bookmarkEnd w:id="62"/>
      <w:r>
        <w:rPr/>
        <w:t>AVANCE</w:t>
      </w:r>
      <w:bookmarkEnd w:id="63"/>
    </w:p>
    <w:p>
      <w:pPr>
        <w:pStyle w:val="Titre2"/>
        <w:numPr>
          <w:ilvl w:val="1"/>
          <w:numId w:val="2"/>
        </w:numPr>
        <w:ind w:left="1701" w:right="0" w:firstLine="283"/>
        <w:rPr/>
      </w:pPr>
      <w:bookmarkStart w:id="64" w:name="__RefHeading___Toc7419_1156739212"/>
      <w:bookmarkStart w:id="65" w:name="_Toc4018"/>
      <w:bookmarkEnd w:id="64"/>
      <w:r>
        <w:rPr/>
        <w:t>Régime de l'avance</w:t>
      </w:r>
      <w:bookmarkEnd w:id="65"/>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Elle est versée le cas échéant dans le délai de 30 jours à compter de la date de début du délai contractuel d'exécution du marché, du bon de commande ou de la tranche.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L'avance est remboursée dans les conditions prévues aux articles R2191-11, R2191-12 et R2191-29 du Code de la commande publique.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ind w:left="1701" w:right="0" w:firstLine="283"/>
        <w:rPr/>
      </w:pPr>
      <w:bookmarkStart w:id="66" w:name="__RefHeading___Toc7421_1156739212"/>
      <w:bookmarkStart w:id="67" w:name="_Toc4019"/>
      <w:bookmarkEnd w:id="66"/>
      <w:r>
        <w:rPr/>
        <w:t>Dispositions complémentaires</w:t>
      </w:r>
      <w:bookmarkEnd w:id="67"/>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Il n'est pas exigé la production d'une garantie à première demande ou d'une caution personnelle et solidaire pour le versement de l'avance.</w:t>
      </w:r>
    </w:p>
    <w:p>
      <w:pPr>
        <w:pStyle w:val="Titre1"/>
        <w:numPr>
          <w:ilvl w:val="0"/>
          <w:numId w:val="2"/>
        </w:numPr>
        <w:ind w:left="1701" w:right="0" w:firstLine="283"/>
        <w:rPr/>
      </w:pPr>
      <w:bookmarkStart w:id="68" w:name="__RefHeading___Toc7423_1156739212"/>
      <w:bookmarkStart w:id="69" w:name="_Toc4020"/>
      <w:bookmarkEnd w:id="68"/>
      <w:r>
        <w:rPr/>
        <w:t>MODALITÉS DE REGLEMENT</w:t>
      </w:r>
      <w:bookmarkEnd w:id="69"/>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Les dispositions des articles R2191-20 à 22 du Code de la commande publique relatives aux acomptes sont applicables. </w:t>
      </w:r>
    </w:p>
    <w:p>
      <w:pPr>
        <w:pStyle w:val="Corpsdetexte"/>
        <w:keepNext w:val="true"/>
        <w:keepLines/>
        <w:tabs>
          <w:tab w:val="clear" w:pos="706"/>
        </w:tabs>
        <w:spacing w:before="0" w:after="0"/>
        <w:ind w:left="0" w:right="0" w:hanging="0"/>
        <w:jc w:val="both"/>
        <w:textAlignment w:val="center"/>
        <w:rPr>
          <w:b/>
          <w:b/>
          <w:bCs/>
          <w:u w:val="single"/>
        </w:rPr>
      </w:pPr>
      <w:r>
        <w:rPr>
          <w:b/>
          <w:bCs/>
          <w:u w:val="single"/>
        </w:rPr>
      </w:r>
    </w:p>
    <w:p>
      <w:pPr>
        <w:pStyle w:val="Corpsdetexte"/>
        <w:tabs>
          <w:tab w:val="clear" w:pos="706"/>
        </w:tabs>
        <w:spacing w:before="0" w:after="0"/>
        <w:ind w:left="0" w:right="0" w:hanging="0"/>
        <w:jc w:val="both"/>
        <w:textAlignment w:val="center"/>
        <w:rPr>
          <w:b/>
          <w:b/>
          <w:bCs/>
          <w:u w:val="single"/>
        </w:rPr>
      </w:pPr>
      <w:r>
        <w:rPr>
          <w:rFonts w:eastAsia="arial" w:cs="arial" w:ascii="arial" w:hAnsi="arial"/>
          <w:b/>
          <w:bCs/>
          <w:i w:val="false"/>
          <w:strike w:val="false"/>
          <w:dstrike w:val="false"/>
          <w:color w:val="000000"/>
          <w:sz w:val="20"/>
          <w:szCs w:val="21"/>
          <w:u w:val="single"/>
          <w:shd w:fill="auto" w:val="clear"/>
          <w:lang w:val="zxx" w:eastAsia="zxx" w:bidi="zxx"/>
        </w:rPr>
        <w:t>Pour le poste 1</w:t>
      </w:r>
      <w:r>
        <w:rPr>
          <w:rFonts w:eastAsia="arial" w:cs="arial" w:ascii="arial" w:hAnsi="arial"/>
          <w:b/>
          <w:bCs/>
          <w:i w:val="false"/>
          <w:strike w:val="false"/>
          <w:dstrike w:val="false"/>
          <w:color w:val="000000"/>
          <w:sz w:val="20"/>
          <w:szCs w:val="21"/>
          <w:u w:val="none"/>
          <w:shd w:fill="auto" w:val="clear"/>
          <w:lang w:val="zxx" w:eastAsia="zxx" w:bidi="zxx"/>
        </w:rPr>
        <w:t xml:space="preserve"> :</w:t>
      </w:r>
    </w:p>
    <w:p>
      <w:pPr>
        <w:pStyle w:val="Corpsdetexte"/>
        <w:tabs>
          <w:tab w:val="clear" w:pos="706"/>
        </w:tabs>
        <w:spacing w:before="0" w:after="0"/>
        <w:ind w:left="0" w:right="0" w:hanging="0"/>
        <w:jc w:val="both"/>
        <w:textAlignment w:val="center"/>
        <w:rPr>
          <w:rFonts w:ascii="arial" w:hAnsi="arial" w:eastAsia="arial" w:cs="arial"/>
          <w:b w:val="false"/>
          <w:b w:val="false"/>
          <w:i w:val="false"/>
          <w:i w:val="false"/>
          <w:strike w:val="false"/>
          <w:dstrike w:val="false"/>
          <w:color w:val="000000"/>
          <w:sz w:val="20"/>
          <w:szCs w:val="21"/>
          <w:u w:val="none"/>
          <w:shd w:fill="auto" w:val="clear"/>
          <w:lang w:val="zxx" w:eastAsia="zxx" w:bidi="zxx"/>
        </w:rPr>
      </w:pPr>
      <w:r>
        <w:rPr>
          <w:rFonts w:eastAsia="arial" w:cs="arial" w:ascii="arial" w:hAnsi="arial"/>
          <w:b w:val="false"/>
          <w:i w:val="false"/>
          <w:strike w:val="false"/>
          <w:dstrike w:val="false"/>
          <w:color w:val="000000"/>
          <w:sz w:val="20"/>
          <w:szCs w:val="21"/>
          <w:u w:val="none"/>
          <w:shd w:fill="auto" w:val="clear"/>
          <w:lang w:val="zxx" w:eastAsia="zxx" w:bidi="zxx"/>
        </w:rPr>
        <w:t xml:space="preserve">Pour les bons de commande, d'une durée supérieure à un mois, le titulaire peut présenter des factures mensuelles correspondant aux prestations réalisées. </w:t>
      </w:r>
    </w:p>
    <w:p>
      <w:pPr>
        <w:pStyle w:val="Corpsdetexte"/>
        <w:tabs>
          <w:tab w:val="clear" w:pos="706"/>
        </w:tabs>
        <w:spacing w:before="0" w:after="0"/>
        <w:ind w:left="0" w:right="0" w:hanging="0"/>
        <w:jc w:val="both"/>
        <w:textAlignment w:val="center"/>
        <w:rPr>
          <w:highlight w:val="none"/>
          <w:shd w:fill="auto" w:val="clear"/>
        </w:rPr>
      </w:pPr>
      <w:r>
        <w:rPr>
          <w:rFonts w:eastAsia="arial" w:cs="arial" w:ascii="arial" w:hAnsi="arial"/>
          <w:b w:val="false"/>
          <w:i w:val="false"/>
          <w:strike w:val="false"/>
          <w:dstrike w:val="false"/>
          <w:color w:val="000000"/>
          <w:sz w:val="20"/>
          <w:szCs w:val="21"/>
          <w:u w:val="none"/>
          <w:shd w:fill="auto" w:val="clear"/>
          <w:lang w:val="zxx" w:eastAsia="zxx" w:bidi="zxx"/>
        </w:rPr>
        <w:t xml:space="preserve">Chaque demande de paiement relative à des prestations d'activités pédagogiques doit être accompagnée des attestations d'activité signées par les enseignants ou responsables de groupe. Seules les activités réalisées et attestées seront payées. </w:t>
      </w:r>
    </w:p>
    <w:p>
      <w:pPr>
        <w:pStyle w:val="Corpsdetexte"/>
        <w:tabs>
          <w:tab w:val="clear" w:pos="706"/>
        </w:tabs>
        <w:spacing w:before="0" w:after="0"/>
        <w:ind w:left="0" w:right="0" w:hanging="0"/>
        <w:jc w:val="both"/>
        <w:textAlignment w:val="center"/>
        <w:rPr>
          <w:highlight w:val="none"/>
          <w:shd w:fill="auto" w:val="clear"/>
        </w:rPr>
      </w:pPr>
      <w:r>
        <w:rPr>
          <w:rFonts w:eastAsia="arial" w:cs="arial" w:ascii="arial" w:hAnsi="arial"/>
          <w:b w:val="false"/>
          <w:i w:val="false"/>
          <w:strike w:val="false"/>
          <w:dstrike w:val="false"/>
          <w:color w:val="000000"/>
          <w:sz w:val="20"/>
          <w:szCs w:val="21"/>
          <w:u w:val="none"/>
          <w:shd w:fill="auto" w:val="clear"/>
          <w:lang w:val="zxx" w:eastAsia="zxx" w:bidi="zxx"/>
        </w:rPr>
        <w:t>Le prix n°3 relatif au forfait annuel "coordination des actvités – élaboration et gestion du planning sur l'année" sera réglé par acomptes dont la quotité mensuelle ne peut dépasser 1/12.</w:t>
      </w:r>
    </w:p>
    <w:p>
      <w:pPr>
        <w:pStyle w:val="Corpsdetexte"/>
        <w:tabs>
          <w:tab w:val="clear" w:pos="706"/>
        </w:tabs>
        <w:spacing w:before="0" w:after="0"/>
        <w:ind w:left="0" w:right="0" w:hanging="0"/>
        <w:jc w:val="both"/>
        <w:textAlignment w:val="center"/>
        <w:rPr>
          <w:rFonts w:ascii="arial" w:hAnsi="arial" w:eastAsia="arial" w:cs="arial"/>
          <w:b w:val="false"/>
          <w:b w:val="false"/>
          <w:i w:val="false"/>
          <w:i w:val="false"/>
          <w:strike w:val="false"/>
          <w:dstrike w:val="false"/>
          <w:color w:val="000000"/>
          <w:sz w:val="20"/>
          <w:szCs w:val="21"/>
          <w:u w:val="none"/>
          <w:shd w:fill="auto" w:val="clear"/>
          <w:lang w:val="zxx" w:eastAsia="zxx" w:bidi="zxx"/>
        </w:rPr>
      </w:pPr>
      <w:r>
        <w:rPr>
          <w:rFonts w:eastAsia="arial" w:cs="arial" w:ascii="arial" w:hAnsi="arial"/>
          <w:b w:val="false"/>
          <w:i w:val="false"/>
          <w:strike w:val="false"/>
          <w:dstrike w:val="false"/>
          <w:color w:val="000000"/>
          <w:sz w:val="20"/>
          <w:szCs w:val="21"/>
          <w:u w:val="none"/>
          <w:shd w:fill="auto" w:val="clear"/>
          <w:lang w:val="zxx" w:eastAsia="zxx" w:bidi="zxx"/>
        </w:rPr>
        <w:t>Les bons de commande d'une durée inférieure ou égale à 1 mois seront réglés en une seule fois après réalisation de la prestation.</w:t>
      </w:r>
    </w:p>
    <w:p>
      <w:pPr>
        <w:pStyle w:val="Normal"/>
        <w:tabs>
          <w:tab w:val="clear" w:pos="706"/>
        </w:tabs>
        <w:spacing w:before="120" w:after="0"/>
        <w:ind w:left="0" w:right="0" w:hanging="0"/>
        <w:jc w:val="both"/>
        <w:textAlignment w:val="center"/>
        <w:rPr>
          <w:highlight w:val="none"/>
          <w:shd w:fill="auto" w:val="clear"/>
        </w:rPr>
      </w:pPr>
      <w:r>
        <w:rPr>
          <w:b w:val="false"/>
          <w:i w:val="false"/>
          <w:strike w:val="false"/>
          <w:dstrike w:val="false"/>
          <w:outline w:val="false"/>
          <w:shadow w:val="false"/>
          <w:color w:val="000000"/>
          <w:spacing w:val="0"/>
          <w:kern w:val="0"/>
          <w:sz w:val="20"/>
          <w:szCs w:val="20"/>
          <w:u w:val="none"/>
          <w:shd w:fill="auto" w:val="clear"/>
          <w:em w:val="none"/>
        </w:rPr>
        <w:t>Si des animations doivent être effectuées après la fin du marché (sans excéder 3 mois), le service gestionnaire du marché pourra commander la prestation de coordination des activités élaboration et gestion du planning qui sera payée au prorata de la durée d’exécution.</w:t>
      </w:r>
    </w:p>
    <w:p>
      <w:pPr>
        <w:pStyle w:val="Normal"/>
        <w:tabs>
          <w:tab w:val="clear" w:pos="706"/>
        </w:tabs>
        <w:spacing w:before="120" w:after="0"/>
        <w:ind w:left="0" w:right="0" w:hanging="0"/>
        <w:jc w:val="both"/>
        <w:textAlignment w:val="center"/>
        <w:rPr>
          <w:highlight w:val="none"/>
          <w:shd w:fill="auto" w:val="clear"/>
        </w:rPr>
      </w:pPr>
      <w:r>
        <w:rPr>
          <w:rFonts w:eastAsia="arial" w:cs="arial" w:ascii="arial" w:hAnsi="arial"/>
          <w:b w:val="false"/>
          <w:bCs/>
          <w:i w:val="false"/>
          <w:strike w:val="false"/>
          <w:dstrike w:val="false"/>
          <w:color w:val="000000"/>
          <w:sz w:val="20"/>
          <w:szCs w:val="21"/>
          <w:u w:val="none"/>
          <w:shd w:fill="auto" w:val="clear"/>
          <w:lang w:val="zxx" w:eastAsia="zxx" w:bidi="zxx"/>
        </w:rPr>
        <w:t xml:space="preserve">En cas de double accueil autorisé par le service gestionnaire du marché, il pourra être commandé jusqu’à 4 demi-journées d’activité pédagogiques (prix n°1)  sur la même journée. </w:t>
      </w:r>
    </w:p>
    <w:p>
      <w:pPr>
        <w:pStyle w:val="Corpsdetexte"/>
        <w:tabs>
          <w:tab w:val="clear" w:pos="706"/>
        </w:tabs>
        <w:spacing w:before="0" w:after="0"/>
        <w:ind w:left="0" w:right="0" w:hanging="0"/>
        <w:jc w:val="both"/>
        <w:textAlignment w:val="center"/>
        <w:rPr>
          <w:b/>
          <w:b/>
          <w:bCs/>
        </w:rPr>
      </w:pPr>
      <w:r>
        <w:rPr>
          <w:b/>
          <w:bCs/>
        </w:rPr>
      </w:r>
    </w:p>
    <w:p>
      <w:pPr>
        <w:pStyle w:val="Corpsdetexte"/>
        <w:tabs>
          <w:tab w:val="clear" w:pos="706"/>
        </w:tabs>
        <w:spacing w:before="0" w:after="0"/>
        <w:ind w:left="0" w:right="0" w:hanging="0"/>
        <w:jc w:val="both"/>
        <w:textAlignment w:val="center"/>
        <w:rPr>
          <w:b/>
          <w:b/>
          <w:bCs/>
        </w:rPr>
      </w:pPr>
      <w:r>
        <w:rPr>
          <w:rFonts w:eastAsia="arial" w:cs="arial" w:ascii="arial" w:hAnsi="arial"/>
          <w:b/>
          <w:bCs/>
          <w:i w:val="false"/>
          <w:strike w:val="false"/>
          <w:dstrike w:val="false"/>
          <w:color w:val="000000"/>
          <w:sz w:val="20"/>
          <w:szCs w:val="21"/>
          <w:u w:val="single"/>
          <w:shd w:fill="auto" w:val="clear"/>
          <w:lang w:val="zxx" w:eastAsia="zxx" w:bidi="zxx"/>
        </w:rPr>
        <w:t>Pour le poste 2</w:t>
      </w:r>
      <w:r>
        <w:rPr>
          <w:rFonts w:eastAsia="arial" w:cs="arial" w:ascii="arial" w:hAnsi="arial"/>
          <w:b/>
          <w:bCs/>
          <w:i w:val="false"/>
          <w:strike w:val="false"/>
          <w:dstrike w:val="false"/>
          <w:color w:val="000000"/>
          <w:sz w:val="20"/>
          <w:szCs w:val="21"/>
          <w:u w:val="none"/>
          <w:shd w:fill="auto" w:val="clear"/>
          <w:lang w:val="zxx" w:eastAsia="zxx" w:bidi="zxx"/>
        </w:rPr>
        <w:t xml:space="preserve"> :</w:t>
      </w:r>
    </w:p>
    <w:p>
      <w:pPr>
        <w:pStyle w:val="Corpsdetexte"/>
        <w:tabs>
          <w:tab w:val="clear" w:pos="706"/>
        </w:tabs>
        <w:spacing w:before="0" w:after="0"/>
        <w:ind w:left="0" w:right="0" w:hanging="0"/>
        <w:jc w:val="both"/>
        <w:textAlignment w:val="center"/>
        <w:rPr>
          <w:rFonts w:ascii="arial" w:hAnsi="arial" w:eastAsia="arial" w:cs="arial"/>
          <w:b w:val="false"/>
          <w:b w:val="false"/>
          <w:i w:val="false"/>
          <w:i w:val="false"/>
          <w:strike w:val="false"/>
          <w:dstrike w:val="false"/>
          <w:color w:val="000000"/>
          <w:sz w:val="20"/>
          <w:szCs w:val="21"/>
          <w:u w:val="none"/>
          <w:shd w:fill="auto" w:val="clear"/>
          <w:lang w:val="zxx" w:eastAsia="zxx" w:bidi="zxx"/>
        </w:rPr>
      </w:pPr>
      <w:r>
        <w:rPr>
          <w:rFonts w:eastAsia="arial" w:cs="arial" w:ascii="arial" w:hAnsi="arial"/>
          <w:b w:val="false"/>
          <w:i w:val="false"/>
          <w:strike w:val="false"/>
          <w:dstrike w:val="false"/>
          <w:color w:val="000000"/>
          <w:sz w:val="20"/>
          <w:szCs w:val="21"/>
          <w:u w:val="none"/>
          <w:shd w:fill="auto" w:val="clear"/>
          <w:lang w:val="zxx" w:eastAsia="zxx" w:bidi="zxx"/>
        </w:rPr>
        <w:t xml:space="preserve">Pour chaque année du marché (reconduction), la prestation d'entretien du jardin annuelle est réglée par acomptes mensuels (1/12). </w:t>
      </w:r>
    </w:p>
    <w:p>
      <w:pPr>
        <w:pStyle w:val="Corpsdetexte"/>
        <w:tabs>
          <w:tab w:val="clear" w:pos="706"/>
        </w:tabs>
        <w:spacing w:before="0" w:after="0"/>
        <w:ind w:left="0" w:right="0" w:hanging="0"/>
        <w:jc w:val="both"/>
        <w:textAlignment w:val="center"/>
        <w:rPr>
          <w:rFonts w:ascii="arial" w:hAnsi="arial" w:eastAsia="arial" w:cs="arial"/>
          <w:b w:val="false"/>
          <w:b w:val="false"/>
          <w:i w:val="false"/>
          <w:i w:val="false"/>
          <w:strike w:val="false"/>
          <w:dstrike w:val="false"/>
          <w:color w:val="000000"/>
          <w:sz w:val="20"/>
          <w:szCs w:val="21"/>
          <w:u w:val="none"/>
          <w:shd w:fill="auto" w:val="clear"/>
          <w:lang w:val="zxx" w:eastAsia="zxx" w:bidi="zxx"/>
        </w:rPr>
      </w:pPr>
      <w:r>
        <w:rPr>
          <w:rFonts w:eastAsia="arial" w:cs="arial" w:ascii="arial" w:hAnsi="arial"/>
          <w:b w:val="false"/>
          <w:i w:val="false"/>
          <w:strike w:val="false"/>
          <w:dstrike w:val="false"/>
          <w:color w:val="000000"/>
          <w:sz w:val="20"/>
          <w:szCs w:val="21"/>
          <w:u w:val="none"/>
          <w:shd w:fill="auto" w:val="clear"/>
          <w:lang w:val="zxx" w:eastAsia="zxx" w:bidi="zxx"/>
        </w:rPr>
        <w:t>Chaque demande d'acompte fera l'objet d'une demande de paiement.</w:t>
      </w:r>
    </w:p>
    <w:p>
      <w:pPr>
        <w:pStyle w:val="Titre1"/>
        <w:numPr>
          <w:ilvl w:val="0"/>
          <w:numId w:val="2"/>
        </w:numPr>
        <w:ind w:left="1701" w:right="0" w:firstLine="283"/>
        <w:rPr/>
      </w:pPr>
      <w:bookmarkStart w:id="70" w:name="__RefHeading___Toc7425_1156739212"/>
      <w:bookmarkStart w:id="71" w:name="_Toc4021"/>
      <w:bookmarkEnd w:id="70"/>
      <w:r>
        <w:rPr/>
        <w:t>PAIEMENT ET ETABLISSEMENT DE LA FACTURE</w:t>
      </w:r>
      <w:bookmarkEnd w:id="71"/>
    </w:p>
    <w:p>
      <w:pPr>
        <w:pStyle w:val="Titre2"/>
        <w:numPr>
          <w:ilvl w:val="1"/>
          <w:numId w:val="2"/>
        </w:numPr>
        <w:ind w:left="1701" w:right="0" w:firstLine="283"/>
        <w:rPr/>
      </w:pPr>
      <w:bookmarkStart w:id="72" w:name="__RefHeading___Toc7427_1156739212"/>
      <w:bookmarkStart w:id="73" w:name="_Toc4022"/>
      <w:bookmarkEnd w:id="72"/>
      <w:r>
        <w:rPr/>
        <w:t>Délais de paiements</w:t>
      </w:r>
      <w:bookmarkEnd w:id="73"/>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délai global de paiement pourra être suspendu dans les conditions prévues par la réglementation en vigueur.</w:t>
      </w:r>
    </w:p>
    <w:p>
      <w:pPr>
        <w:pStyle w:val="Titre2"/>
        <w:numPr>
          <w:ilvl w:val="1"/>
          <w:numId w:val="2"/>
        </w:numPr>
        <w:ind w:left="1701" w:right="0" w:firstLine="283"/>
        <w:rPr/>
      </w:pPr>
      <w:bookmarkStart w:id="74" w:name="__RefHeading___Toc7429_1156739212"/>
      <w:bookmarkStart w:id="75" w:name="_Toc4023"/>
      <w:bookmarkEnd w:id="74"/>
      <w:r>
        <w:rPr/>
        <w:t>Intérêts moratoires</w:t>
      </w:r>
      <w:bookmarkEnd w:id="75"/>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montant de l'indemnité forfaitaire pour frais de recouvrement est fixé à 40 Euros conformément à l'article D2192-35 du Code de la commande publique.</w:t>
      </w:r>
    </w:p>
    <w:p>
      <w:pPr>
        <w:pStyle w:val="Titre2"/>
        <w:numPr>
          <w:ilvl w:val="1"/>
          <w:numId w:val="2"/>
        </w:numPr>
        <w:ind w:left="1701" w:right="0" w:firstLine="283"/>
        <w:rPr/>
      </w:pPr>
      <w:bookmarkStart w:id="76" w:name="__RefHeading___Toc7431_1156739212"/>
      <w:bookmarkStart w:id="77" w:name="_Toc4024"/>
      <w:bookmarkEnd w:id="76"/>
      <w:r>
        <w:rPr/>
        <w:t>Modalités de paiement direct des sous-traitants</w:t>
      </w:r>
      <w:bookmarkEnd w:id="77"/>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paiement direct des sous-traitants régulièrement acceptés est mis en oeuvre selon les modalités prévues par le Code de la commande publique, et notamment, par ses articles R2193-11 à 16.</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sous-traitants adressent leur demande de paiement, libellée au nom du pouvoir adjudicateur, au titulaire ainsi qu'à la personne désignée ci-après :</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Ville de Marseille</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DTENV – SAUSE</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Grand Pavois</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320-330 avenue du Prado</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13233 MARSEILLE CEDEX 20</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délai global de paiement du sous-traitant est de 30 jours. Ce délai est computé dans les conditions prévues aux articles R2192-22 et R2192-23 du Code de la commande publique.</w:t>
      </w:r>
    </w:p>
    <w:p>
      <w:pPr>
        <w:pStyle w:val="Titre2"/>
        <w:numPr>
          <w:ilvl w:val="1"/>
          <w:numId w:val="2"/>
        </w:numPr>
        <w:ind w:left="1701" w:right="0" w:firstLine="283"/>
        <w:rPr/>
      </w:pPr>
      <w:bookmarkStart w:id="78" w:name="__RefHeading___Toc7433_1156739212"/>
      <w:bookmarkStart w:id="79" w:name="_Toc4025"/>
      <w:bookmarkEnd w:id="78"/>
      <w:r>
        <w:rPr/>
        <w:t>Présentation des demandes de paiement</w:t>
      </w:r>
      <w:bookmarkEnd w:id="79"/>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factures afférentes au marché sont établies en portant, outre les mentions légales, les indications suivantes</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nom / la raison sociale et l'adresses du créancier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numéro de SIRET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numéro de son compte bancaire ou postal tel qu'il est précisé à l'acte d'engagement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numéro et la date du marché et de chaque avenant </w:t>
      </w:r>
    </w:p>
    <w:p>
      <w:pPr>
        <w:pStyle w:val="Normal"/>
        <w:spacing w:before="120" w:after="0"/>
        <w:rPr>
          <w:rFonts w:ascii="arial" w:hAnsi="arial" w:eastAsia="arial" w:cs="arial"/>
          <w:b w:val="false"/>
          <w:b w:val="false"/>
          <w:bCs w:val="false"/>
          <w:i w:val="false"/>
          <w:i w:val="false"/>
          <w:color w:val="000000"/>
          <w:sz w:val="20"/>
          <w:u w:val="none"/>
          <w:shd w:fill="auto" w:val="clear"/>
        </w:rPr>
      </w:pPr>
      <w:r>
        <w:rPr>
          <w:rFonts w:eastAsia="arial" w:cs="arial" w:ascii="arial" w:hAnsi="arial"/>
          <w:b w:val="false"/>
          <w:bCs w:val="false"/>
          <w:i w:val="false"/>
          <w:color w:val="000000"/>
          <w:sz w:val="20"/>
          <w:u w:val="none"/>
          <w:shd w:fill="auto" w:val="clear"/>
        </w:rPr>
        <w:t>- La date et le numéro du bon de commande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La nature des prestations</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La quantité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prix de base hors révision et hors taxes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xml:space="preserve">- Le taux et le montant de la T.V.A.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Le montant total de la facture en euro HT et TTC</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 La date et le numéro de facture.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factures dématérialisées indiquent l'adresse suivante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DTENV – SAUSE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Grand Pavois</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320-330 avenue du Prado</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13 233 MARSEILLE CEDEX 20</w:t>
      </w:r>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paiement s'effectue suivant les règles de la comptabilité publique dans les conditions prévues aux articles 11 et 12 du CCAG PI.</w:t>
      </w:r>
    </w:p>
    <w:p>
      <w:pPr>
        <w:pStyle w:val="Normal"/>
        <w:spacing w:before="120" w:after="0"/>
        <w:rPr/>
      </w:pPr>
      <w:r>
        <w:rPr>
          <w:rFonts w:eastAsia="arial" w:cs="arial" w:ascii="arial" w:hAnsi="arial"/>
          <w:b w:val="false"/>
          <w:i w:val="false"/>
          <w:color w:val="000000"/>
          <w:sz w:val="20"/>
          <w:u w:val="single"/>
          <w:shd w:fill="auto" w:val="clear"/>
        </w:rPr>
        <w:t>Pour les candidats européens sans établissement en France</w:t>
      </w:r>
      <w:r>
        <w:rPr>
          <w:rFonts w:eastAsia="arial" w:cs="arial" w:ascii="arial" w:hAnsi="arial"/>
          <w:b w:val="false"/>
          <w:i w:val="false"/>
          <w:color w:val="000000"/>
          <w:sz w:val="20"/>
          <w:u w:val="none"/>
          <w:shd w:fill="auto"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N° de TVA intracommunautaire de la Ville de Marseille : FR75211300553</w:t>
      </w:r>
    </w:p>
    <w:p>
      <w:pPr>
        <w:pStyle w:val="Titre2"/>
        <w:numPr>
          <w:ilvl w:val="1"/>
          <w:numId w:val="2"/>
        </w:numPr>
        <w:ind w:left="1701" w:right="0" w:firstLine="283"/>
        <w:rPr/>
      </w:pPr>
      <w:bookmarkStart w:id="80" w:name="__RefHeading___Toc7435_1156739212"/>
      <w:bookmarkStart w:id="81" w:name="_Toc4026"/>
      <w:bookmarkEnd w:id="80"/>
      <w:r>
        <w:rPr/>
        <w:t>Dématérialisation des factures</w:t>
      </w:r>
      <w:bookmarkEnd w:id="81"/>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factures doivent être envoyées de façon dématérialisée et gratuite en utilisant le "portail public de facturation" sécurisé Chorus Pro à l'adresse suivante : https://chorus-pro.gouv.fr</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Fonts w:eastAsia="arial" w:cs="arial" w:ascii="arial" w:hAnsi="arial"/>
          <w:b w:val="false"/>
          <w:i w:val="false"/>
          <w:color w:val="000000"/>
          <w:sz w:val="20"/>
          <w:u w:val="none"/>
        </w:rPr>
        <w:t xml:space="preserve">Toutes les informations utiles aux modalités d'utilisation du portail et de transmission des factures sont </w:t>
      </w:r>
      <w:r>
        <w:rPr>
          <w:rFonts w:eastAsia="arial" w:cs="arial" w:ascii="arial" w:hAnsi="arial"/>
          <w:b/>
          <w:i w:val="false"/>
          <w:color w:val="000000"/>
          <w:sz w:val="20"/>
          <w:u w:val="single"/>
        </w:rPr>
        <w:t>disponibles directement sur le site</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 xml:space="preserve">Pour accéder à la « structure »(au sens CHORUS PRO) Ville de Marseille adéquate, le titulaire sera informé du </w:t>
      </w:r>
      <w:r>
        <w:rPr>
          <w:rFonts w:eastAsia="arial" w:cs="arial" w:ascii="arial" w:hAnsi="arial"/>
          <w:b/>
          <w:i w:val="false"/>
          <w:color w:val="000000"/>
          <w:sz w:val="20"/>
          <w:u w:val="single"/>
        </w:rPr>
        <w:t>numéro SIRET</w:t>
      </w:r>
      <w:r>
        <w:rPr>
          <w:rFonts w:eastAsia="arial" w:cs="arial" w:ascii="arial" w:hAnsi="arial"/>
          <w:b w:val="false"/>
          <w:i w:val="false"/>
          <w:color w:val="000000"/>
          <w:sz w:val="20"/>
          <w:u w:val="none"/>
        </w:rPr>
        <w:t xml:space="preserve"> devant être utilisé.</w:t>
      </w:r>
    </w:p>
    <w:p>
      <w:pPr>
        <w:pStyle w:val="Normal"/>
        <w:spacing w:before="120" w:after="0"/>
        <w:rPr/>
      </w:pPr>
      <w:r>
        <w:rPr>
          <w:rFonts w:eastAsia="arial" w:cs="arial" w:ascii="arial" w:hAnsi="arial"/>
          <w:b w:val="false"/>
          <w:i w:val="false"/>
          <w:color w:val="000000"/>
          <w:sz w:val="20"/>
          <w:u w:val="none"/>
        </w:rPr>
        <w:t xml:space="preserve">De même, la Ville de Marseille a choisi de rendre obligatoire la </w:t>
      </w:r>
      <w:r>
        <w:rPr>
          <w:rFonts w:eastAsia="arial" w:cs="arial" w:ascii="arial" w:hAnsi="arial"/>
          <w:b/>
          <w:i w:val="false"/>
          <w:color w:val="000000"/>
          <w:sz w:val="20"/>
          <w:u w:val="single"/>
        </w:rPr>
        <w:t>référence à l'engagement</w:t>
      </w:r>
      <w:r>
        <w:rPr>
          <w:rFonts w:eastAsia="arial" w:cs="arial" w:ascii="arial" w:hAnsi="arial"/>
          <w:b w:val="false"/>
          <w:i w:val="false"/>
          <w:color w:val="000000"/>
          <w:sz w:val="20"/>
          <w:u w:val="none"/>
        </w:rPr>
        <w:t>. Le ou les numéros d'engagement seront communiqués au titulaire par le service gestionnaire du marché ou par le service acheteur.</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t>Sous peine d'irrecevabilité, les factures seront déposées dans CHORUS PRO en respectant l'obligation de renseignement exact des 2 numéros précités.</w:t>
      </w:r>
    </w:p>
    <w:p>
      <w:pPr>
        <w:pStyle w:val="Titre1"/>
        <w:numPr>
          <w:ilvl w:val="0"/>
          <w:numId w:val="2"/>
        </w:numPr>
        <w:ind w:left="1701" w:right="0" w:firstLine="283"/>
        <w:rPr/>
      </w:pPr>
      <w:bookmarkStart w:id="82" w:name="__RefHeading___Toc7437_1156739212"/>
      <w:bookmarkStart w:id="83" w:name="_Toc4027"/>
      <w:bookmarkEnd w:id="82"/>
      <w:r>
        <w:rPr/>
        <w:t>PENALITES</w:t>
      </w:r>
      <w:bookmarkEnd w:id="83"/>
    </w:p>
    <w:p>
      <w:pPr>
        <w:pStyle w:val="Titre2"/>
        <w:numPr>
          <w:ilvl w:val="1"/>
          <w:numId w:val="2"/>
        </w:numPr>
        <w:ind w:left="1701" w:right="0" w:firstLine="283"/>
        <w:rPr/>
      </w:pPr>
      <w:bookmarkStart w:id="84" w:name="__RefHeading___Toc7439_1156739212"/>
      <w:bookmarkStart w:id="85" w:name="_Toc4028"/>
      <w:bookmarkEnd w:id="84"/>
      <w:r>
        <w:rPr/>
        <w:t>Pénalités de retard</w:t>
      </w:r>
      <w:bookmarkEnd w:id="85"/>
    </w:p>
    <w:p>
      <w:pPr>
        <w:pStyle w:val="Normal"/>
        <w:rPr/>
      </w:pPr>
      <w:r>
        <w:rPr>
          <w:rFonts w:eastAsia="arial" w:cs="arial" w:ascii="arial" w:hAnsi="arial"/>
          <w:b w:val="false"/>
          <w:i w:val="false"/>
          <w:color w:val="000000"/>
          <w:sz w:val="20"/>
          <w:u w:val="none"/>
          <w:shd w:fill="auto" w:val="clear"/>
        </w:rPr>
        <w:t>Il n’est pas prévu de pénalités de retard.</w:t>
      </w:r>
    </w:p>
    <w:p>
      <w:pPr>
        <w:pStyle w:val="Titre2"/>
        <w:numPr>
          <w:ilvl w:val="1"/>
          <w:numId w:val="2"/>
        </w:numPr>
        <w:ind w:left="1701" w:right="0" w:firstLine="283"/>
        <w:rPr/>
      </w:pPr>
      <w:bookmarkStart w:id="86" w:name="__RefHeading___Toc7441_1156739212"/>
      <w:bookmarkStart w:id="87" w:name="_Toc4548"/>
      <w:bookmarkEnd w:id="86"/>
      <w:r>
        <w:rPr/>
        <w:t>Obligations environnementales à la charge du titulaire et pénalités en cas de manquement</w:t>
      </w:r>
      <w:bookmarkEnd w:id="87"/>
    </w:p>
    <w:p>
      <w:pPr>
        <w:pStyle w:val="Normal"/>
        <w:rPr/>
      </w:pPr>
      <w:r>
        <w:rPr>
          <w:rFonts w:eastAsia="arial" w:cs="arial" w:ascii="arial" w:hAnsi="arial"/>
          <w:b w:val="false"/>
          <w:i w:val="false"/>
          <w:color w:val="000000"/>
          <w:sz w:val="20"/>
          <w:u w:val="none"/>
          <w:shd w:fill="auto" w:val="clear"/>
        </w:rPr>
        <w:t>En application de l'article 16.2 du CCAG PI,</w:t>
      </w:r>
      <w:r>
        <w:rPr>
          <w:rFonts w:eastAsia="arial" w:cs="arial" w:ascii="arial" w:hAnsi="arial"/>
          <w:b/>
          <w:i w:val="false"/>
          <w:color w:val="000000"/>
          <w:sz w:val="20"/>
          <w:u w:val="none"/>
          <w:shd w:fill="auto" w:val="clear"/>
        </w:rPr>
        <w:t xml:space="preserve"> </w:t>
      </w:r>
      <w:r>
        <w:rPr>
          <w:rFonts w:eastAsia="arial" w:cs="arial" w:ascii="arial" w:hAnsi="arial"/>
          <w:b w:val="false"/>
          <w:bCs w:val="false"/>
          <w:i w:val="false"/>
          <w:color w:val="000000"/>
          <w:sz w:val="20"/>
          <w:u w:val="none"/>
          <w:shd w:fill="auto" w:val="clear"/>
        </w:rPr>
        <w:t xml:space="preserve">le CCTP notamment dans son alinéa 3 et le CCAP, </w:t>
      </w:r>
      <w:r>
        <w:rPr>
          <w:rFonts w:eastAsia="arial" w:cs="arial" w:ascii="arial" w:hAnsi="arial"/>
          <w:b w:val="false"/>
          <w:i w:val="false"/>
          <w:color w:val="000000"/>
          <w:sz w:val="20"/>
          <w:u w:val="none"/>
          <w:shd w:fill="auto" w:val="clear"/>
        </w:rPr>
        <w:t>précisent les obligations environnementales du titulaire dans l'exécution du marché.</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pouvoir adjudicateur procédera à des contrôles afin de s'assurer de la mise en œuvre des engagements du titulaire, et se réserve la possibilité d'opérer par contrôle inopiné.</w:t>
      </w:r>
    </w:p>
    <w:p>
      <w:pPr>
        <w:pStyle w:val="Normal"/>
        <w:spacing w:before="120" w:after="0"/>
        <w:rPr/>
      </w:pPr>
      <w:r>
        <w:rPr>
          <w:rFonts w:eastAsia="arial" w:cs="arial" w:ascii="arial" w:hAnsi="arial"/>
          <w:b w:val="false"/>
          <w:i w:val="false"/>
          <w:color w:val="000000"/>
          <w:sz w:val="20"/>
          <w:u w:val="none"/>
          <w:shd w:fill="auto" w:val="clear"/>
        </w:rPr>
        <w:t>Il est dérogé à l'article 16.2.3 du CCAG PI, en cas de non-respect des obligations prévues en la matière, le titulaire se voit appliquer pour chaque manquement, sans mise en demeure préalable, une pénalité dont le montant est fixé à</w:t>
      </w:r>
      <w:r>
        <w:rPr>
          <w:rFonts w:eastAsia="arial" w:cs="arial" w:ascii="arial" w:hAnsi="arial"/>
          <w:b/>
          <w:i w:val="false"/>
          <w:color w:val="000000"/>
          <w:sz w:val="20"/>
          <w:u w:val="none"/>
          <w:shd w:fill="auto" w:val="clear"/>
        </w:rPr>
        <w:t xml:space="preserve"> 100 euros.</w:t>
      </w:r>
    </w:p>
    <w:p>
      <w:pPr>
        <w:pStyle w:val="Normal"/>
        <w:spacing w:before="120" w:after="0"/>
        <w:rPr>
          <w:shd w:fill="auto" w:val="clear"/>
        </w:rPr>
      </w:pPr>
      <w:r>
        <w:rPr>
          <w:shd w:fill="auto" w:val="clear"/>
        </w:rPr>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En outre, conformément à l'article 20.4 du CCAG PI, la valorisation ou l'élimination des déchets créés, lors de l'exécution des prestations des postes 1 et 2, est de la responsabilité du titulaire pendant la durée du marché.</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Normal"/>
        <w:spacing w:before="120" w:after="0"/>
        <w:rPr/>
      </w:pPr>
      <w:r>
        <w:rPr>
          <w:rFonts w:eastAsia="arial" w:cs="arial" w:ascii="arial" w:hAnsi="arial"/>
          <w:b w:val="false"/>
          <w:i w:val="false"/>
          <w:color w:val="000000"/>
          <w:sz w:val="20"/>
          <w:u w:val="none"/>
          <w:shd w:fill="auto" w:val="clear"/>
        </w:rPr>
        <w:t xml:space="preserve">En cas d'absence de production des éléments attestant la traçabilité des déchets, et en application de l'article 20.4 du CCAG PI, le titulaire se voit appliquer, après mise en demeure restée infructueuse, une pénalité dont le montant est fixé à </w:t>
      </w:r>
      <w:r>
        <w:rPr>
          <w:rFonts w:eastAsia="arial" w:cs="arial" w:ascii="arial" w:hAnsi="arial"/>
          <w:b/>
          <w:bCs/>
          <w:i w:val="false"/>
          <w:color w:val="000000"/>
          <w:sz w:val="20"/>
          <w:u w:val="none"/>
          <w:shd w:fill="auto" w:val="clear"/>
        </w:rPr>
        <w:t>100 e</w:t>
      </w:r>
      <w:r>
        <w:rPr>
          <w:rFonts w:eastAsia="arial" w:cs="arial" w:ascii="arial" w:hAnsi="arial"/>
          <w:b/>
          <w:i w:val="false"/>
          <w:color w:val="000000"/>
          <w:sz w:val="20"/>
          <w:u w:val="none"/>
          <w:shd w:fill="auto" w:val="clear"/>
        </w:rPr>
        <w:t>uros</w:t>
      </w:r>
      <w:r>
        <w:rPr>
          <w:rFonts w:eastAsia="arial" w:cs="arial" w:ascii="arial" w:hAnsi="arial"/>
          <w:b w:val="false"/>
          <w:i w:val="false"/>
          <w:color w:val="000000"/>
          <w:sz w:val="20"/>
          <w:u w:val="none"/>
          <w:shd w:fill="auto" w:val="clear"/>
        </w:rPr>
        <w:t>.</w:t>
      </w:r>
    </w:p>
    <w:p>
      <w:pPr>
        <w:pStyle w:val="Normal"/>
        <w:spacing w:before="120" w:after="0"/>
        <w:rPr/>
      </w:pPr>
      <w:r>
        <w:rPr/>
      </w:r>
    </w:p>
    <w:p>
      <w:pPr>
        <w:pStyle w:val="Titre2"/>
        <w:numPr>
          <w:ilvl w:val="1"/>
          <w:numId w:val="2"/>
        </w:numPr>
        <w:ind w:left="1701" w:right="0" w:firstLine="283"/>
        <w:rPr/>
      </w:pPr>
      <w:bookmarkStart w:id="88" w:name="__RefHeading___Toc7443_1156739212"/>
      <w:bookmarkStart w:id="89" w:name="_Toc4029"/>
      <w:bookmarkEnd w:id="88"/>
      <w:r>
        <w:rPr/>
        <w:t>Pénalités pour non respect des dispositions du Code du Travail</w:t>
      </w:r>
      <w:bookmarkEnd w:id="89"/>
    </w:p>
    <w:p>
      <w:pPr>
        <w:pStyle w:val="Normal"/>
        <w:rPr/>
      </w:pPr>
      <w:r>
        <w:rPr>
          <w:rFonts w:eastAsia="arial" w:cs="arial" w:ascii="arial" w:hAnsi="arial"/>
          <w:b w:val="false"/>
          <w:i w:val="false"/>
          <w:color w:val="000000"/>
          <w:sz w:val="20"/>
          <w:u w:val="none"/>
          <w:shd w:fill="auto"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val="false"/>
          <w:bCs w:val="false"/>
          <w:i w:val="false"/>
          <w:color w:val="000000"/>
          <w:sz w:val="20"/>
          <w:u w:val="none"/>
          <w:shd w:fill="auto" w:val="clear"/>
        </w:rPr>
        <w:t xml:space="preserve">de </w:t>
      </w:r>
      <w:r>
        <w:rPr>
          <w:rFonts w:eastAsia="arial" w:cs="arial" w:ascii="arial" w:hAnsi="arial"/>
          <w:b/>
          <w:bCs/>
          <w:i w:val="false"/>
          <w:color w:val="000000"/>
          <w:sz w:val="20"/>
          <w:u w:val="none"/>
          <w:shd w:fill="auto" w:val="clear"/>
        </w:rPr>
        <w:t>50 euros</w:t>
      </w:r>
      <w:r>
        <w:rPr>
          <w:rFonts w:eastAsia="arial" w:cs="arial" w:ascii="arial" w:hAnsi="arial"/>
          <w:b w:val="false"/>
          <w:bCs w:val="false"/>
          <w:i w:val="false"/>
          <w:color w:val="000000"/>
          <w:sz w:val="20"/>
          <w:u w:val="none"/>
          <w:shd w:fill="auto" w:val="clear"/>
        </w:rPr>
        <w:t xml:space="preserve"> par jour de retard.</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ind w:left="1701" w:right="0" w:firstLine="283"/>
        <w:rPr/>
      </w:pPr>
      <w:bookmarkStart w:id="90" w:name="__RefHeading___Toc7445_1156739212"/>
      <w:bookmarkStart w:id="91" w:name="_Toc4030"/>
      <w:bookmarkEnd w:id="90"/>
      <w:r>
        <w:rPr/>
        <w:t>Autres pénalités</w:t>
      </w:r>
      <w:bookmarkEnd w:id="91"/>
    </w:p>
    <w:p>
      <w:pPr>
        <w:pStyle w:val="Normal"/>
        <w:spacing w:before="0" w:after="0"/>
        <w:ind w:left="0" w:right="0" w:hanging="0"/>
        <w:jc w:val="both"/>
        <w:textAlignment w:val="center"/>
        <w:rPr/>
      </w:pPr>
      <w:r>
        <w:rPr>
          <w:b/>
          <w:bCs/>
          <w:strike w:val="false"/>
          <w:dstrike w:val="false"/>
          <w:sz w:val="21"/>
          <w:szCs w:val="21"/>
          <w:u w:val="none"/>
          <w:shd w:fill="auto" w:val="clear"/>
          <w:lang w:val="zxx" w:eastAsia="zxx" w:bidi="zxx"/>
        </w:rPr>
        <w:t>Pénalité pour absence à une réunion</w:t>
      </w:r>
      <w:r>
        <w:rPr>
          <w:strike w:val="false"/>
          <w:dstrike w:val="false"/>
          <w:sz w:val="21"/>
          <w:szCs w:val="21"/>
          <w:u w:val="none"/>
          <w:shd w:fill="auto" w:val="clear"/>
          <w:lang w:val="zxx" w:eastAsia="zxx" w:bidi="zxx"/>
        </w:rPr>
        <w:t xml:space="preserve">  </w:t>
      </w:r>
    </w:p>
    <w:p>
      <w:pPr>
        <w:pStyle w:val="Normal"/>
        <w:rPr/>
      </w:pPr>
      <w:r>
        <w:rPr>
          <w:b w:val="false"/>
          <w:i w:val="false"/>
          <w:u w:val="none"/>
          <w:shd w:fill="auto" w:val="clear"/>
        </w:rPr>
        <w:t xml:space="preserve">Une pénalité forfaitaire de </w:t>
      </w:r>
      <w:r>
        <w:rPr>
          <w:b/>
          <w:bCs/>
          <w:i w:val="false"/>
          <w:u w:val="none"/>
          <w:shd w:fill="auto" w:val="clear"/>
        </w:rPr>
        <w:t>200 €</w:t>
      </w:r>
      <w:r>
        <w:rPr>
          <w:b w:val="false"/>
          <w:i w:val="false"/>
          <w:u w:val="none"/>
          <w:shd w:fill="auto" w:val="clear"/>
        </w:rPr>
        <w:t xml:space="preserve"> sera appliquée au titulaire pour toute absence à une réunion, sans mise en demeure préalable.</w:t>
      </w:r>
    </w:p>
    <w:p>
      <w:pPr>
        <w:pStyle w:val="Corpsdetexte"/>
        <w:widowControl w:val="false"/>
        <w:tabs>
          <w:tab w:val="clear" w:pos="706"/>
        </w:tabs>
        <w:bidi w:val="0"/>
        <w:spacing w:lineRule="auto" w:line="240" w:before="0" w:after="0"/>
        <w:ind w:left="0" w:right="0" w:hanging="0"/>
        <w:jc w:val="both"/>
        <w:textAlignment w:val="center"/>
        <w:rPr>
          <w:rFonts w:ascii="Arial" w:hAnsi="Arial" w:cs="Times New Roman"/>
          <w:b w:val="false"/>
          <w:b w:val="false"/>
          <w:bCs w:val="false"/>
          <w:i w:val="false"/>
          <w:i w:val="false"/>
          <w:color w:val="auto"/>
          <w:position w:val="0"/>
          <w:sz w:val="20"/>
          <w:sz w:val="20"/>
          <w:u w:val="none"/>
          <w:shd w:fill="FE7F00" w:val="clear"/>
          <w:vertAlign w:val="baseline"/>
          <w:lang w:val="zxx" w:eastAsia="zxx" w:bidi="zxx"/>
        </w:rPr>
      </w:pPr>
      <w:r>
        <w:rPr>
          <w:rFonts w:cs="Times New Roman"/>
          <w:b w:val="false"/>
          <w:bCs w:val="false"/>
          <w:i w:val="false"/>
          <w:color w:val="000000"/>
          <w:position w:val="0"/>
          <w:sz w:val="20"/>
          <w:sz w:val="20"/>
          <w:u w:val="none"/>
          <w:shd w:fill="FE7F00" w:val="clear"/>
          <w:vertAlign w:val="baseline"/>
          <w:lang w:val="zxx" w:eastAsia="zxx" w:bidi="zxx"/>
        </w:rPr>
      </w:r>
    </w:p>
    <w:p>
      <w:pPr>
        <w:pStyle w:val="Corpsdetexte"/>
        <w:keepNext w:val="true"/>
        <w:keepLines/>
        <w:widowControl w:val="false"/>
        <w:tabs>
          <w:tab w:val="clear" w:pos="706"/>
        </w:tabs>
        <w:bidi w:val="0"/>
        <w:spacing w:lineRule="auto" w:line="240" w:before="0" w:after="0"/>
        <w:ind w:left="0" w:right="0" w:hanging="0"/>
        <w:jc w:val="both"/>
        <w:textAlignment w:val="center"/>
        <w:rPr>
          <w:rFonts w:cs="Times New Roman"/>
          <w:b/>
          <w:b/>
          <w:bCs/>
          <w:i w:val="false"/>
          <w:i w:val="false"/>
          <w:strike w:val="false"/>
          <w:dstrike w:val="false"/>
          <w:color w:val="000000"/>
          <w:position w:val="0"/>
          <w:sz w:val="21"/>
          <w:sz w:val="21"/>
          <w:szCs w:val="21"/>
          <w:u w:val="none"/>
          <w:shd w:fill="auto" w:val="clear"/>
          <w:vertAlign w:val="baseline"/>
          <w:lang w:val="zxx" w:eastAsia="zxx" w:bidi="zxx"/>
        </w:rPr>
      </w:pPr>
      <w:r>
        <w:rPr>
          <w:rFonts w:cs="Times New Roman"/>
          <w:b/>
          <w:bCs/>
          <w:i w:val="false"/>
          <w:strike w:val="false"/>
          <w:dstrike w:val="false"/>
          <w:color w:val="000000"/>
          <w:position w:val="0"/>
          <w:sz w:val="21"/>
          <w:sz w:val="21"/>
          <w:szCs w:val="21"/>
          <w:u w:val="none"/>
          <w:shd w:fill="auto" w:val="clear"/>
          <w:vertAlign w:val="baseline"/>
          <w:lang w:val="zxx" w:eastAsia="zxx" w:bidi="zxx"/>
        </w:rPr>
        <w:t>Pénalités pour retard de transmission du rapport d'activité de fin de marché</w:t>
      </w:r>
    </w:p>
    <w:p>
      <w:pPr>
        <w:pStyle w:val="Corpsdetexte"/>
        <w:widowControl w:val="false"/>
        <w:tabs>
          <w:tab w:val="clear" w:pos="706"/>
        </w:tabs>
        <w:bidi w:val="0"/>
        <w:spacing w:lineRule="auto" w:line="240" w:before="0" w:after="0"/>
        <w:ind w:left="0" w:right="0" w:hanging="0"/>
        <w:jc w:val="both"/>
        <w:textAlignment w:val="center"/>
        <w:rPr>
          <w:rFonts w:ascii="Arial" w:hAnsi="Arial" w:cs="Times New Roman"/>
          <w:i w:val="false"/>
          <w:i w:val="false"/>
          <w:strike w:val="false"/>
          <w:dstrike w:val="false"/>
          <w:color w:val="auto"/>
          <w:position w:val="0"/>
          <w:sz w:val="21"/>
          <w:sz w:val="21"/>
          <w:szCs w:val="21"/>
          <w:u w:val="none"/>
          <w:shd w:fill="auto" w:val="clear"/>
          <w:vertAlign w:val="baseline"/>
          <w:lang w:val="zxx" w:eastAsia="zxx" w:bidi="zxx"/>
        </w:rPr>
      </w:pPr>
      <w:r>
        <w:rPr>
          <w:rFonts w:cs="Times New Roman"/>
          <w:i w:val="false"/>
          <w:strike w:val="false"/>
          <w:dstrike w:val="false"/>
          <w:color w:val="000000"/>
          <w:position w:val="0"/>
          <w:sz w:val="21"/>
          <w:sz w:val="21"/>
          <w:szCs w:val="21"/>
          <w:u w:val="none"/>
          <w:shd w:fill="auto" w:val="clear"/>
          <w:vertAlign w:val="baseline"/>
          <w:lang w:val="zxx" w:eastAsia="zxx" w:bidi="zxx"/>
        </w:rPr>
      </w:r>
    </w:p>
    <w:p>
      <w:pPr>
        <w:pStyle w:val="Corpsdetexte"/>
        <w:widowControl w:val="false"/>
        <w:tabs>
          <w:tab w:val="clear" w:pos="706"/>
        </w:tabs>
        <w:bidi w:val="0"/>
        <w:spacing w:lineRule="auto" w:line="240" w:before="0" w:after="0"/>
        <w:ind w:left="0" w:right="0" w:hanging="0"/>
        <w:jc w:val="both"/>
        <w:textAlignment w:val="center"/>
        <w:rPr/>
      </w:pPr>
      <w:r>
        <w:rPr>
          <w:rFonts w:cs="Times New Roman"/>
          <w:b w:val="false"/>
          <w:bCs w:val="false"/>
          <w:i w:val="false"/>
          <w:color w:val="000000"/>
          <w:position w:val="0"/>
          <w:sz w:val="20"/>
          <w:sz w:val="20"/>
          <w:u w:val="none"/>
          <w:shd w:fill="auto" w:val="clear"/>
          <w:vertAlign w:val="baseline"/>
          <w:lang w:val="zxx" w:eastAsia="zxx" w:bidi="zxx"/>
        </w:rPr>
        <w:t>Le titulaire subira, sans mise en demeure préalable, une pénalité forfaitaire de</w:t>
      </w:r>
      <w:r>
        <w:rPr>
          <w:rFonts w:cs="Times New Roman"/>
          <w:b/>
          <w:bCs/>
          <w:i w:val="false"/>
          <w:color w:val="000000"/>
          <w:position w:val="0"/>
          <w:sz w:val="20"/>
          <w:sz w:val="20"/>
          <w:u w:val="none"/>
          <w:shd w:fill="auto" w:val="clear"/>
          <w:vertAlign w:val="baseline"/>
          <w:lang w:val="zxx" w:eastAsia="zxx" w:bidi="zxx"/>
        </w:rPr>
        <w:t xml:space="preserve"> 50 €</w:t>
      </w:r>
      <w:r>
        <w:rPr>
          <w:rFonts w:cs="Times New Roman"/>
          <w:b w:val="false"/>
          <w:bCs w:val="false"/>
          <w:i w:val="false"/>
          <w:color w:val="000000"/>
          <w:position w:val="0"/>
          <w:sz w:val="20"/>
          <w:sz w:val="20"/>
          <w:u w:val="none"/>
          <w:shd w:fill="auto" w:val="clear"/>
          <w:vertAlign w:val="baseline"/>
          <w:lang w:val="zxx" w:eastAsia="zxx" w:bidi="zxx"/>
        </w:rPr>
        <w:t xml:space="preserve"> par jour calendaire de retard. La pénalité est plafonnée au montant de la prestation commandée.  </w:t>
      </w:r>
    </w:p>
    <w:p>
      <w:pPr>
        <w:pStyle w:val="Corpsdetexte"/>
        <w:widowControl w:val="false"/>
        <w:tabs>
          <w:tab w:val="clear" w:pos="706"/>
        </w:tabs>
        <w:bidi w:val="0"/>
        <w:spacing w:lineRule="auto" w:line="240" w:before="0" w:after="0"/>
        <w:ind w:left="0" w:right="0" w:hanging="0"/>
        <w:jc w:val="both"/>
        <w:textAlignment w:val="center"/>
        <w:rPr>
          <w:rFonts w:ascii="arial" w:hAnsi="arial" w:eastAsia="arial" w:cs="arial"/>
          <w:i w:val="false"/>
          <w:i w:val="false"/>
          <w:color w:val="000000"/>
          <w:sz w:val="20"/>
          <w:u w:val="none"/>
          <w:shd w:fill="D4EDDA" w:val="clear"/>
        </w:rPr>
      </w:pPr>
      <w:r>
        <w:rPr>
          <w:rFonts w:eastAsia="arial" w:cs="arial" w:ascii="arial" w:hAnsi="arial"/>
          <w:i w:val="false"/>
          <w:color w:val="000000"/>
          <w:sz w:val="20"/>
          <w:u w:val="none"/>
          <w:shd w:fill="D4EDDA" w:val="clear"/>
        </w:rPr>
      </w:r>
    </w:p>
    <w:p>
      <w:pPr>
        <w:pStyle w:val="Corpsdetexte"/>
        <w:widowControl w:val="false"/>
        <w:tabs>
          <w:tab w:val="clear" w:pos="706"/>
        </w:tabs>
        <w:bidi w:val="0"/>
        <w:spacing w:lineRule="auto" w:line="240" w:before="0" w:after="0"/>
        <w:ind w:left="0" w:right="0" w:hanging="0"/>
        <w:jc w:val="both"/>
        <w:textAlignment w:val="center"/>
        <w:rPr/>
      </w:pPr>
      <w:r>
        <w:rPr>
          <w:rFonts w:eastAsia="arial" w:cs="arial" w:ascii="arial" w:hAnsi="arial"/>
          <w:b/>
          <w:bCs/>
          <w:i w:val="false"/>
          <w:color w:val="000000"/>
          <w:sz w:val="20"/>
          <w:u w:val="none"/>
          <w:shd w:fill="auto" w:val="clear"/>
        </w:rPr>
        <w:t>Pénalités pour défaut d’entretien du jardin</w:t>
      </w:r>
      <w:r>
        <w:rPr>
          <w:rFonts w:eastAsia="arial" w:cs="arial" w:ascii="arial" w:hAnsi="arial"/>
          <w:b w:val="false"/>
          <w:bCs w:val="false"/>
          <w:i w:val="false"/>
          <w:color w:val="000000"/>
          <w:sz w:val="20"/>
          <w:u w:val="none"/>
          <w:shd w:fill="auto" w:val="clear"/>
        </w:rPr>
        <w:t xml:space="preserve"> </w:t>
      </w:r>
    </w:p>
    <w:p>
      <w:pPr>
        <w:pStyle w:val="Corpsdetexte"/>
        <w:widowControl w:val="false"/>
        <w:tabs>
          <w:tab w:val="clear" w:pos="706"/>
        </w:tabs>
        <w:bidi w:val="0"/>
        <w:spacing w:lineRule="auto" w:line="240" w:before="0" w:after="0"/>
        <w:ind w:left="0" w:right="0" w:hanging="0"/>
        <w:jc w:val="both"/>
        <w:textAlignment w:val="center"/>
        <w:rPr>
          <w:rFonts w:ascii="arial" w:hAnsi="arial" w:eastAsia="arial" w:cs="arial"/>
          <w:i w:val="false"/>
          <w:i w:val="false"/>
          <w:color w:val="000000"/>
          <w:sz w:val="20"/>
        </w:rPr>
      </w:pPr>
      <w:r>
        <w:rPr>
          <w:rFonts w:eastAsia="arial" w:cs="arial" w:ascii="arial" w:hAnsi="arial"/>
          <w:i w:val="false"/>
          <w:color w:val="000000"/>
          <w:sz w:val="20"/>
        </w:rPr>
      </w:r>
    </w:p>
    <w:p>
      <w:pPr>
        <w:pStyle w:val="Corpsdetexte"/>
        <w:widowControl w:val="false"/>
        <w:tabs>
          <w:tab w:val="clear" w:pos="706"/>
        </w:tabs>
        <w:bidi w:val="0"/>
        <w:spacing w:lineRule="auto" w:line="240" w:before="0" w:after="0"/>
        <w:ind w:left="0" w:right="0" w:hanging="0"/>
        <w:jc w:val="both"/>
        <w:textAlignment w:val="center"/>
        <w:rPr>
          <w:highlight w:val="none"/>
          <w:shd w:fill="auto" w:val="clear"/>
        </w:rPr>
      </w:pPr>
      <w:r>
        <w:rPr>
          <w:rFonts w:eastAsia="arial" w:cs="arial" w:ascii="arial" w:hAnsi="arial"/>
          <w:b/>
          <w:bCs/>
          <w:i w:val="false"/>
          <w:color w:val="000000"/>
          <w:sz w:val="20"/>
          <w:u w:val="none"/>
          <w:shd w:fill="auto" w:val="clear"/>
        </w:rPr>
        <w:t xml:space="preserve">Pour chaque constat </w:t>
      </w:r>
      <w:r>
        <w:rPr>
          <w:rFonts w:eastAsia="arial" w:cs="arial" w:ascii="arial" w:hAnsi="arial"/>
          <w:b w:val="false"/>
          <w:bCs w:val="false"/>
          <w:i w:val="false"/>
          <w:color w:val="000000"/>
          <w:sz w:val="20"/>
          <w:u w:val="none"/>
          <w:shd w:fill="auto" w:val="clear"/>
        </w:rPr>
        <w:t>du service gestionnaire relatif à un défaut d’entretien du jardin (par prestation non réalisée ou mal réalisée) donnera lieu, après mise en demeure, à l’application d’une pénalité d’un montant de</w:t>
      </w:r>
      <w:r>
        <w:rPr>
          <w:rFonts w:eastAsia="arial" w:cs="arial" w:ascii="arial" w:hAnsi="arial"/>
          <w:b/>
          <w:bCs/>
          <w:i w:val="false"/>
          <w:color w:val="000000"/>
          <w:sz w:val="20"/>
          <w:u w:val="none"/>
          <w:shd w:fill="auto" w:val="clear"/>
        </w:rPr>
        <w:t xml:space="preserve"> 200 euros</w:t>
      </w:r>
      <w:r>
        <w:rPr>
          <w:rFonts w:eastAsia="arial" w:cs="arial" w:ascii="arial" w:hAnsi="arial"/>
          <w:b w:val="false"/>
          <w:bCs w:val="false"/>
          <w:i w:val="false"/>
          <w:color w:val="000000"/>
          <w:sz w:val="20"/>
          <w:u w:val="none"/>
          <w:shd w:fill="auto" w:val="clear"/>
        </w:rPr>
        <w:t xml:space="preserve">. </w:t>
      </w:r>
    </w:p>
    <w:p>
      <w:pPr>
        <w:pStyle w:val="Corpsdetexte"/>
        <w:widowControl w:val="false"/>
        <w:tabs>
          <w:tab w:val="clear" w:pos="706"/>
        </w:tabs>
        <w:bidi w:val="0"/>
        <w:spacing w:lineRule="auto" w:line="240" w:before="0" w:after="0"/>
        <w:ind w:left="0" w:right="0" w:hanging="0"/>
        <w:jc w:val="both"/>
        <w:textAlignment w:val="center"/>
        <w:rPr>
          <w:highlight w:val="none"/>
          <w:shd w:fill="FFFF00" w:val="clear"/>
        </w:rPr>
      </w:pPr>
      <w:r>
        <w:rPr>
          <w:rFonts w:eastAsia="arial" w:cs="arial" w:ascii="arial" w:hAnsi="arial"/>
          <w:b w:val="false"/>
          <w:bCs w:val="false"/>
          <w:i w:val="false"/>
          <w:color w:val="000000"/>
          <w:sz w:val="20"/>
          <w:u w:val="none"/>
          <w:shd w:fill="auto" w:val="clear"/>
        </w:rPr>
        <w:t xml:space="preserve">Le titulaire dispose d’un délai de 7 jours calendaires à compter de la réception du mail l’informant du constat de défaut d’entretien du jardin (mise en demeure) pour réaliser la prestation et/ou apporter toutes les justifications nécessaires au service gestionnaire conformément aux indications qui lui seront fournies dans la mise en demeure. </w:t>
      </w:r>
    </w:p>
    <w:p>
      <w:pPr>
        <w:pStyle w:val="Corpsdetexte"/>
        <w:widowControl w:val="false"/>
        <w:tabs>
          <w:tab w:val="clear" w:pos="706"/>
        </w:tabs>
        <w:bidi w:val="0"/>
        <w:spacing w:lineRule="auto" w:line="240" w:before="0" w:after="0"/>
        <w:ind w:left="0" w:right="0" w:hanging="0"/>
        <w:jc w:val="both"/>
        <w:textAlignment w:val="center"/>
        <w:rPr>
          <w:rFonts w:ascii="arial" w:hAnsi="arial" w:eastAsia="arial" w:cs="arial"/>
          <w:b w:val="false"/>
          <w:b w:val="false"/>
          <w:bCs w:val="false"/>
          <w:i w:val="false"/>
          <w:i w:val="false"/>
          <w:color w:val="000000"/>
          <w:sz w:val="20"/>
          <w:u w:val="none"/>
          <w:shd w:fill="auto" w:val="clear"/>
        </w:rPr>
      </w:pPr>
      <w:r>
        <w:rPr>
          <w:rFonts w:eastAsia="arial" w:cs="arial" w:ascii="arial" w:hAnsi="arial"/>
          <w:b w:val="false"/>
          <w:bCs w:val="false"/>
          <w:i w:val="false"/>
          <w:color w:val="000000"/>
          <w:sz w:val="20"/>
          <w:u w:val="none"/>
          <w:shd w:fill="auto" w:val="clear"/>
        </w:rPr>
      </w:r>
    </w:p>
    <w:p>
      <w:pPr>
        <w:pStyle w:val="Corpsdetexte"/>
        <w:widowControl w:val="false"/>
        <w:tabs>
          <w:tab w:val="clear" w:pos="706"/>
        </w:tabs>
        <w:bidi w:val="0"/>
        <w:spacing w:lineRule="auto" w:line="240" w:before="0" w:after="0"/>
        <w:ind w:left="0" w:right="0" w:hanging="0"/>
        <w:jc w:val="both"/>
        <w:textAlignment w:val="center"/>
        <w:rPr>
          <w:b/>
          <w:b/>
          <w:bCs/>
          <w:highlight w:val="none"/>
          <w:shd w:fill="00FFFF" w:val="clear"/>
        </w:rPr>
      </w:pPr>
      <w:r>
        <w:rPr>
          <w:b/>
          <w:bCs/>
          <w:shd w:fill="00FFFF" w:val="clear"/>
        </w:rPr>
      </w:r>
    </w:p>
    <w:p>
      <w:pPr>
        <w:pStyle w:val="Corpsdetexte"/>
        <w:widowControl w:val="false"/>
        <w:tabs>
          <w:tab w:val="clear" w:pos="706"/>
        </w:tabs>
        <w:bidi w:val="0"/>
        <w:spacing w:lineRule="auto" w:line="240" w:before="0" w:after="0"/>
        <w:ind w:left="0" w:right="0" w:hanging="0"/>
        <w:jc w:val="both"/>
        <w:textAlignment w:val="center"/>
        <w:rPr>
          <w:highlight w:val="none"/>
          <w:shd w:fill="auto" w:val="clear"/>
        </w:rPr>
      </w:pPr>
      <w:r>
        <w:rPr>
          <w:rFonts w:eastAsia="arial" w:cs="arial" w:ascii="arial" w:hAnsi="arial"/>
          <w:b/>
          <w:bCs/>
          <w:i w:val="false"/>
          <w:color w:val="000000"/>
          <w:sz w:val="20"/>
          <w:u w:val="none"/>
          <w:shd w:fill="auto" w:val="clear"/>
        </w:rPr>
        <w:t>Pénalités pour non respect des délais de remise des plannings</w:t>
      </w:r>
    </w:p>
    <w:p>
      <w:pPr>
        <w:pStyle w:val="Corpsdetexte"/>
        <w:widowControl w:val="false"/>
        <w:tabs>
          <w:tab w:val="clear" w:pos="706"/>
        </w:tabs>
        <w:bidi w:val="0"/>
        <w:spacing w:lineRule="auto" w:line="240" w:before="0" w:after="0"/>
        <w:ind w:left="0" w:right="0" w:hanging="0"/>
        <w:jc w:val="both"/>
        <w:textAlignment w:val="center"/>
        <w:rPr>
          <w:rFonts w:ascii="arial" w:hAnsi="arial" w:eastAsia="arial" w:cs="arial"/>
          <w:b w:val="false"/>
          <w:b w:val="false"/>
          <w:bCs w:val="false"/>
          <w:i w:val="false"/>
          <w:i w:val="false"/>
          <w:color w:val="000000"/>
          <w:sz w:val="20"/>
          <w:highlight w:val="none"/>
          <w:u w:val="none"/>
          <w:shd w:fill="auto" w:val="clear"/>
        </w:rPr>
      </w:pPr>
      <w:r>
        <w:rPr>
          <w:rFonts w:eastAsia="arial" w:cs="arial" w:ascii="arial" w:hAnsi="arial"/>
          <w:b w:val="false"/>
          <w:bCs w:val="false"/>
          <w:i w:val="false"/>
          <w:color w:val="000000"/>
          <w:sz w:val="20"/>
          <w:u w:val="none"/>
          <w:shd w:fill="auto" w:val="clear"/>
        </w:rPr>
      </w:r>
    </w:p>
    <w:p>
      <w:pPr>
        <w:pStyle w:val="Corpsdetexte"/>
        <w:widowControl w:val="false"/>
        <w:tabs>
          <w:tab w:val="clear" w:pos="706"/>
        </w:tabs>
        <w:bidi w:val="0"/>
        <w:spacing w:lineRule="auto" w:line="240" w:before="0" w:after="0"/>
        <w:ind w:left="0" w:right="0" w:hanging="0"/>
        <w:jc w:val="both"/>
        <w:textAlignment w:val="center"/>
        <w:rPr>
          <w:highlight w:val="none"/>
          <w:shd w:fill="auto" w:val="clear"/>
        </w:rPr>
      </w:pPr>
      <w:r>
        <w:rPr>
          <w:rFonts w:eastAsia="arial" w:cs="arial" w:ascii="arial" w:hAnsi="arial"/>
          <w:b w:val="false"/>
          <w:bCs w:val="false"/>
          <w:i w:val="false"/>
          <w:color w:val="000000"/>
          <w:sz w:val="20"/>
          <w:u w:val="none"/>
          <w:shd w:fill="auto" w:val="clear"/>
        </w:rPr>
        <w:t xml:space="preserve">Le titulaire se verra appliquer une pénalité de </w:t>
      </w:r>
      <w:r>
        <w:rPr>
          <w:rFonts w:eastAsia="arial" w:cs="arial" w:ascii="arial" w:hAnsi="arial"/>
          <w:b/>
          <w:bCs/>
          <w:i w:val="false"/>
          <w:color w:val="000000"/>
          <w:sz w:val="20"/>
          <w:u w:val="none"/>
          <w:shd w:fill="auto" w:val="clear"/>
        </w:rPr>
        <w:t>50 euros par jour calendaire, limitée à 20 jours,</w:t>
      </w:r>
      <w:r>
        <w:rPr>
          <w:rFonts w:eastAsia="arial" w:cs="arial" w:ascii="arial" w:hAnsi="arial"/>
          <w:b w:val="false"/>
          <w:bCs w:val="false"/>
          <w:i w:val="false"/>
          <w:color w:val="000000"/>
          <w:sz w:val="20"/>
          <w:u w:val="none"/>
          <w:shd w:fill="auto" w:val="clear"/>
        </w:rPr>
        <w:t xml:space="preserve"> en cas de non respect des délais de transmission du planning.</w:t>
      </w:r>
    </w:p>
    <w:p>
      <w:pPr>
        <w:pStyle w:val="Corpsdetexte"/>
        <w:widowControl w:val="false"/>
        <w:tabs>
          <w:tab w:val="clear" w:pos="706"/>
        </w:tabs>
        <w:bidi w:val="0"/>
        <w:spacing w:lineRule="auto" w:line="240" w:before="0" w:after="0"/>
        <w:ind w:left="0" w:right="0" w:hanging="0"/>
        <w:jc w:val="both"/>
        <w:textAlignment w:val="center"/>
        <w:rPr>
          <w:rFonts w:ascii="arial" w:hAnsi="arial" w:eastAsia="arial" w:cs="arial"/>
          <w:b w:val="false"/>
          <w:b w:val="false"/>
          <w:bCs w:val="false"/>
          <w:i w:val="false"/>
          <w:i w:val="false"/>
          <w:color w:val="000000"/>
          <w:sz w:val="20"/>
          <w:u w:val="none"/>
        </w:rPr>
      </w:pPr>
      <w:r>
        <w:rPr>
          <w:rFonts w:eastAsia="arial" w:cs="arial" w:ascii="arial" w:hAnsi="arial"/>
          <w:b w:val="false"/>
          <w:bCs w:val="false"/>
          <w:i w:val="false"/>
          <w:color w:val="000000"/>
          <w:sz w:val="20"/>
          <w:u w:val="none"/>
        </w:rPr>
      </w:r>
    </w:p>
    <w:p>
      <w:pPr>
        <w:pStyle w:val="Titre1"/>
        <w:numPr>
          <w:ilvl w:val="0"/>
          <w:numId w:val="2"/>
        </w:numPr>
        <w:ind w:left="1701" w:right="0" w:firstLine="283"/>
        <w:rPr/>
      </w:pPr>
      <w:bookmarkStart w:id="92" w:name="__RefHeading___Toc7447_1156739212"/>
      <w:bookmarkStart w:id="93" w:name="_Toc4031"/>
      <w:bookmarkEnd w:id="92"/>
      <w:r>
        <w:rPr/>
        <w:t>RESILIATION ET EXECUTION DES PRESTATIONS AUX FRAIS ET RISQUES DU TITULAIRE</w:t>
      </w:r>
      <w:bookmarkEnd w:id="93"/>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L'ensemble des dispositions du CCAG PI (chapitre 7) est applicable.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27 du CCAG PI).</w:t>
      </w:r>
    </w:p>
    <w:p>
      <w:pPr>
        <w:pStyle w:val="Normal"/>
        <w:rPr/>
      </w:pPr>
      <w:r>
        <w:rPr>
          <w:rFonts w:eastAsia="arial" w:cs="arial" w:ascii="arial" w:hAnsi="arial"/>
          <w:b w:val="false"/>
          <w:i w:val="false"/>
          <w:color w:val="000000"/>
          <w:sz w:val="20"/>
          <w:u w:val="none"/>
          <w:shd w:fill="auto" w:val="clear"/>
        </w:rPr>
        <w:t>La décision du Maître d'ouvrage d'arrêter l'exécution des prestations à l'issue d'une phase entraînera, sans indemnités, la résiliation du marché, en application des articles 22 et 38.3 du CCAG PI</w:t>
      </w:r>
      <w:r>
        <w:rPr>
          <w:rFonts w:eastAsia="arial" w:cs="arial" w:ascii="arial" w:hAnsi="arial"/>
          <w:b w:val="false"/>
          <w:i w:val="false"/>
          <w:color w:val="000000"/>
          <w:sz w:val="20"/>
          <w:u w:val="none"/>
          <w:shd w:fill="D4EDDA" w:val="clear"/>
        </w:rPr>
        <w: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ind w:left="1701" w:right="0" w:firstLine="283"/>
        <w:rPr/>
      </w:pPr>
      <w:bookmarkStart w:id="94" w:name="__RefHeading___Toc7449_1156739212"/>
      <w:bookmarkStart w:id="95" w:name="_Toc4032"/>
      <w:bookmarkEnd w:id="94"/>
      <w:r>
        <w:rPr/>
        <w:t>CLAUSES DE GESTION DES DONNEES</w:t>
      </w:r>
      <w:bookmarkEnd w:id="95"/>
    </w:p>
    <w:p>
      <w:pPr>
        <w:pStyle w:val="Titre2"/>
        <w:numPr>
          <w:ilvl w:val="1"/>
          <w:numId w:val="2"/>
        </w:numPr>
        <w:ind w:left="1701" w:right="0" w:firstLine="283"/>
        <w:rPr/>
      </w:pPr>
      <w:bookmarkStart w:id="96" w:name="__RefHeading___Toc7451_1156739212"/>
      <w:bookmarkStart w:id="97" w:name="_Toc4033"/>
      <w:bookmarkEnd w:id="96"/>
      <w:r>
        <w:rPr/>
        <w:t>Les contraintes réglementaires</w:t>
      </w:r>
      <w:bookmarkEnd w:id="97"/>
    </w:p>
    <w:p>
      <w:pPr>
        <w:pStyle w:val="Titre3"/>
        <w:numPr>
          <w:ilvl w:val="2"/>
          <w:numId w:val="2"/>
        </w:numPr>
        <w:ind w:left="1701" w:right="0" w:firstLine="283"/>
        <w:rPr/>
      </w:pPr>
      <w:bookmarkStart w:id="98" w:name="__RefHeading___Toc7453_1156739212"/>
      <w:bookmarkStart w:id="99" w:name="_Toc4034"/>
      <w:bookmarkEnd w:id="98"/>
      <w:r>
        <w:rPr/>
        <w:t>Le RGS</w:t>
      </w:r>
      <w:bookmarkEnd w:id="99"/>
    </w:p>
    <w:p>
      <w:pPr>
        <w:pStyle w:val="Normal"/>
        <w:rPr/>
      </w:pPr>
      <w:r>
        <w:rPr>
          <w:rFonts w:eastAsia="arial" w:cs="arial" w:ascii="arial" w:hAnsi="arial"/>
          <w:b w:val="false"/>
          <w:i w:val="false"/>
          <w:color w:val="000000"/>
          <w:sz w:val="20"/>
          <w:u w:val="none"/>
        </w:rPr>
        <w:t xml:space="preserve">Le décret </w:t>
      </w:r>
      <w:r>
        <w:rPr>
          <w:rFonts w:eastAsia="arial" w:cs="arial" w:ascii="arial" w:hAnsi="arial"/>
          <w:b/>
          <w:i w:val="false"/>
          <w:color w:val="000000"/>
          <w:sz w:val="20"/>
          <w:u w:val="none"/>
        </w:rPr>
        <w:t>RGS</w:t>
      </w:r>
      <w:r>
        <w:rPr>
          <w:rFonts w:eastAsia="arial" w:cs="arial" w:ascii="arial" w:hAnsi="arial"/>
          <w:b w:val="false"/>
          <w:i/>
          <w:color w:val="000000"/>
          <w:sz w:val="20"/>
          <w:u w:val="none"/>
        </w:rPr>
        <w:t>(Référentiel Général de Sécurité)</w:t>
      </w:r>
      <w:r>
        <w:rPr>
          <w:rFonts w:eastAsia="arial" w:cs="arial" w:ascii="arial" w:hAnsi="arial"/>
          <w:b w:val="false"/>
          <w:i w:val="false"/>
          <w:color w:val="000000"/>
          <w:sz w:val="20"/>
          <w:u w:val="none"/>
        </w:rPr>
        <w:t>, pris en application de</w:t>
      </w:r>
      <w:r>
        <w:rPr>
          <w:rFonts w:eastAsia="arial" w:cs="arial" w:ascii="arial" w:hAnsi="arial"/>
          <w:b/>
          <w:i w:val="false"/>
          <w:color w:val="000000"/>
          <w:sz w:val="20"/>
          <w:u w:val="none"/>
        </w:rPr>
        <w:t xml:space="preserve"> l'ordonnance n° 2005-1516 du 8 Décembre 2005</w:t>
      </w:r>
      <w:r>
        <w:rPr>
          <w:rFonts w:eastAsia="arial" w:cs="arial" w:ascii="arial" w:hAnsi="arial"/>
          <w:b w:val="false"/>
          <w:i w:val="false"/>
          <w:color w:val="000000"/>
          <w:sz w:val="20"/>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rPr>
        <w:t xml:space="preserve"> télé-services</w:t>
      </w:r>
      <w:r>
        <w:rPr>
          <w:rFonts w:eastAsia="arial" w:cs="arial" w:ascii="arial" w:hAnsi="arial"/>
          <w:b w:val="false"/>
          <w:i w:val="false"/>
          <w:color w:val="000000"/>
          <w:sz w:val="20"/>
          <w:u w:val="none"/>
        </w:rPr>
        <w:t>.</w:t>
      </w:r>
    </w:p>
    <w:p>
      <w:pPr>
        <w:pStyle w:val="Titre3"/>
        <w:numPr>
          <w:ilvl w:val="2"/>
          <w:numId w:val="2"/>
        </w:numPr>
        <w:ind w:left="1701" w:right="0" w:firstLine="283"/>
        <w:rPr/>
      </w:pPr>
      <w:bookmarkStart w:id="100" w:name="__RefHeading___Toc7455_1156739212"/>
      <w:bookmarkStart w:id="101" w:name="_Toc4035"/>
      <w:bookmarkEnd w:id="100"/>
      <w:r>
        <w:rPr/>
        <w:t>Le Règlement Général sur la Protection des Données (RGPD)</w:t>
      </w:r>
      <w:bookmarkEnd w:id="101"/>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L'ensemble des conditions sont définies dans l'annexe « Protection des données et Politique de sécurité » de l'acte d'engagement, le cas échéant.</w:t>
      </w:r>
    </w:p>
    <w:p>
      <w:pPr>
        <w:pStyle w:val="Titre3"/>
        <w:numPr>
          <w:ilvl w:val="2"/>
          <w:numId w:val="2"/>
        </w:numPr>
        <w:ind w:left="1701" w:right="0" w:firstLine="283"/>
        <w:rPr/>
      </w:pPr>
      <w:bookmarkStart w:id="102" w:name="__RefHeading___Toc7457_1156739212"/>
      <w:bookmarkStart w:id="103" w:name="_Toc4036"/>
      <w:bookmarkEnd w:id="102"/>
      <w:r>
        <w:rPr/>
        <w:t>Le Code du Patrimoine</w:t>
      </w:r>
      <w:bookmarkEnd w:id="103"/>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rPr>
        <w:t xml:space="preserve">Or, la </w:t>
      </w:r>
      <w:r>
        <w:rPr>
          <w:rFonts w:eastAsia="arial" w:cs="arial" w:ascii="arial" w:hAnsi="arial"/>
          <w:b/>
          <w:i w:val="false"/>
          <w:color w:val="000000"/>
          <w:sz w:val="20"/>
          <w:u w:val="none"/>
        </w:rPr>
        <w:t>loi n°2015-195</w:t>
      </w:r>
      <w:r>
        <w:rPr>
          <w:rFonts w:eastAsia="arial" w:cs="arial" w:ascii="arial" w:hAnsi="arial"/>
          <w:b w:val="false"/>
          <w:i w:val="false"/>
          <w:color w:val="000000"/>
          <w:sz w:val="20"/>
          <w:u w:val="none"/>
        </w:rPr>
        <w:t xml:space="preserve"> promulguée le 20 février 2015 et modifiant</w:t>
      </w:r>
      <w:r>
        <w:rPr>
          <w:rFonts w:eastAsia="arial" w:cs="arial" w:ascii="arial" w:hAnsi="arial"/>
          <w:b/>
          <w:i w:val="false"/>
          <w:color w:val="000000"/>
          <w:sz w:val="20"/>
          <w:u w:val="none"/>
        </w:rPr>
        <w:t xml:space="preserve"> l'article L.111-1 du Code du Patrimoine</w:t>
      </w:r>
      <w:r>
        <w:rPr>
          <w:rFonts w:eastAsia="arial" w:cs="arial" w:ascii="arial" w:hAnsi="arial"/>
          <w:b w:val="false"/>
          <w:i w:val="false"/>
          <w:color w:val="000000"/>
          <w:sz w:val="20"/>
          <w:u w:val="none"/>
        </w:rPr>
        <w:t>, qualifie les archives publiques de "</w:t>
      </w:r>
      <w:r>
        <w:rPr>
          <w:rFonts w:eastAsia="arial" w:cs="arial" w:ascii="arial" w:hAnsi="arial"/>
          <w:b w:val="false"/>
          <w:i w:val="false"/>
          <w:color w:val="000000"/>
          <w:sz w:val="20"/>
          <w:u w:val="single"/>
        </w:rPr>
        <w:t>Trésors nationaux</w:t>
      </w:r>
      <w:r>
        <w:rPr>
          <w:rFonts w:eastAsia="arial" w:cs="arial" w:ascii="arial" w:hAnsi="arial"/>
          <w:b w:val="false"/>
          <w:i w:val="false"/>
          <w:color w:val="000000"/>
          <w:sz w:val="20"/>
          <w:u w:val="none"/>
        </w:rPr>
        <w:t>" et ne peuvent donc sortir du territoire douanier qu'après autorisation du Service inter-ministériel des Archives de France (SIAF) et seulement dans certains cas précis.</w:t>
      </w:r>
    </w:p>
    <w:p>
      <w:pPr>
        <w:pStyle w:val="Titre2"/>
        <w:numPr>
          <w:ilvl w:val="1"/>
          <w:numId w:val="2"/>
        </w:numPr>
        <w:ind w:left="1701" w:right="0" w:firstLine="283"/>
        <w:rPr/>
      </w:pPr>
      <w:bookmarkStart w:id="104" w:name="__RefHeading___Toc7459_1156739212"/>
      <w:bookmarkStart w:id="105" w:name="_Toc4037"/>
      <w:bookmarkEnd w:id="104"/>
      <w:r>
        <w:rPr/>
        <w:t>Les clauses générales de confidentialité</w:t>
      </w:r>
      <w:bookmarkEnd w:id="105"/>
    </w:p>
    <w:p>
      <w:pPr>
        <w:pStyle w:val="Normal"/>
        <w:rPr/>
      </w:pPr>
      <w:r>
        <w:rPr>
          <w:rFonts w:eastAsia="arial" w:cs="arial" w:ascii="arial" w:hAnsi="arial"/>
          <w:b w:val="false"/>
          <w:i w:val="false"/>
          <w:color w:val="000000"/>
          <w:sz w:val="20"/>
          <w:u w:val="none"/>
        </w:rPr>
        <w:t xml:space="preserve">Les supports informatiques physiques et documents fournis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à la société prestataire restent la propriété de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i w:val="false"/>
          <w:color w:val="000000"/>
          <w:sz w:val="20"/>
          <w:u w:val="none"/>
        </w:rPr>
        <w:t>Les données</w:t>
      </w:r>
      <w:r>
        <w:rPr>
          <w:rFonts w:eastAsia="arial" w:cs="arial" w:ascii="arial" w:hAnsi="arial"/>
          <w:b w:val="false"/>
          <w:i w:val="false"/>
          <w:color w:val="000000"/>
          <w:sz w:val="20"/>
          <w:u w:val="none"/>
        </w:rPr>
        <w:t xml:space="preserve"> contenues dans ces supports et documents sont </w:t>
      </w:r>
      <w:r>
        <w:rPr>
          <w:rFonts w:eastAsia="arial" w:cs="arial" w:ascii="arial" w:hAnsi="arial"/>
          <w:b/>
          <w:i w:val="false"/>
          <w:color w:val="000000"/>
          <w:sz w:val="20"/>
          <w:u w:val="none"/>
        </w:rPr>
        <w:t>strictement couvertes par le secret professionnel</w:t>
      </w:r>
      <w:r>
        <w:rPr>
          <w:rFonts w:eastAsia="arial" w:cs="arial" w:ascii="arial" w:hAnsi="arial"/>
          <w:b w:val="false"/>
          <w:i w:val="false"/>
          <w:color w:val="000000"/>
          <w:sz w:val="20"/>
          <w:u w:val="none"/>
        </w:rPr>
        <w:t xml:space="preserve"> (article 226-13 du Code pénal), il en va de même pour toutes les données dont la société prestataire prendra connaissance à l'occasion de l'exécution de ce marché.</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Fonts w:eastAsia="arial" w:cs="arial" w:ascii="arial" w:hAnsi="arial"/>
          <w:b/>
          <w:i w:val="false"/>
          <w:color w:val="000000"/>
          <w:sz w:val="20"/>
          <w:u w:val="none"/>
        </w:rPr>
        <w:t>La société</w:t>
      </w:r>
      <w:r>
        <w:rPr>
          <w:rFonts w:eastAsia="arial" w:cs="arial" w:ascii="arial" w:hAnsi="arial"/>
          <w:b w:val="false"/>
          <w:i w:val="false"/>
          <w:color w:val="000000"/>
          <w:sz w:val="20"/>
          <w:u w:val="none"/>
        </w:rPr>
        <w:t xml:space="preserve"> prestataire s'engage donc à respecter les obligations suivantes et à les faire respecter par son personnel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ne pas utiliser les documents et informations traités à des fins autres que celles spécifiées dans ce marché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ne pas divulguer ces documents ou informations à d'autres personnes, qu'il s'agisse de personnes privées ou publiques, physiques ou morales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prendre toutes mesures permettant d'éviter toute utilisation détournée ou frauduleuse des fichiers informatiques en cours d'exécution du marché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prendre toutes mesures de sécurité, notamment matérielle, pour assurer la conservation et l'intégrité des documents et informations traités pendant la durée du marché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échanger des informations personnelles, sensibles ou des authentifications/identifications uniquement de manière chiffrée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 fin de marché à procéder à la mise à disposition de toutes les données appartenant à la Ville de Marseille ;</w:t>
      </w:r>
    </w:p>
    <w:p>
      <w:pPr>
        <w:pStyle w:val="Normal"/>
        <w:numPr>
          <w:ilvl w:val="0"/>
          <w:numId w:val="3"/>
        </w:numPr>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et en fin de marché à procéder à la destruction de tous fichiers manuels ou informatisés stockant les informations saisies.</w:t>
      </w:r>
    </w:p>
    <w:p>
      <w:pPr>
        <w:pStyle w:val="Titre2"/>
        <w:numPr>
          <w:ilvl w:val="1"/>
          <w:numId w:val="2"/>
        </w:numPr>
        <w:ind w:left="1701" w:right="0" w:firstLine="283"/>
        <w:rPr/>
      </w:pPr>
      <w:bookmarkStart w:id="106" w:name="__RefHeading___Toc7461_1156739212"/>
      <w:bookmarkStart w:id="107" w:name="_Toc4038"/>
      <w:bookmarkEnd w:id="106"/>
      <w:r>
        <w:rPr/>
        <w:t>Les contrôles</w:t>
      </w:r>
      <w:bookmarkEnd w:id="107"/>
    </w:p>
    <w:p>
      <w:pPr>
        <w:pStyle w:val="Normal"/>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pourra prononcer la résiliation du marché, sans indemnisation du titulaire, en cas de violation du secret professionnel ou de non-respect des dispositions précitées.</w:t>
      </w:r>
    </w:p>
    <w:p>
      <w:pPr>
        <w:pStyle w:val="Titre2"/>
        <w:numPr>
          <w:ilvl w:val="1"/>
          <w:numId w:val="2"/>
        </w:numPr>
        <w:ind w:left="1701" w:right="0" w:firstLine="283"/>
        <w:rPr/>
      </w:pPr>
      <w:bookmarkStart w:id="108" w:name="__RefHeading___Toc7463_1156739212"/>
      <w:bookmarkStart w:id="109" w:name="_Toc4039"/>
      <w:bookmarkEnd w:id="108"/>
      <w:r>
        <w:rPr/>
        <w:t>Phase de réversibilité</w:t>
      </w:r>
      <w:bookmarkEnd w:id="109"/>
    </w:p>
    <w:p>
      <w:pPr>
        <w:pStyle w:val="Normal"/>
        <w:rPr/>
      </w:pPr>
      <w:r>
        <w:rPr>
          <w:rFonts w:eastAsia="arial" w:cs="arial" w:ascii="arial" w:hAnsi="arial"/>
          <w:b w:val="false"/>
          <w:i w:val="false"/>
          <w:color w:val="000000"/>
          <w:sz w:val="20"/>
          <w:u w:val="none"/>
        </w:rPr>
        <w:t xml:space="preserve">Au terme du marché, le prestataire s'engage à faciliter la réversibilité selon les modalités choisies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et à fournir toutes les informations et prestations utiles à sa mise en oeuvre.</w:t>
      </w:r>
    </w:p>
    <w:p>
      <w:pPr>
        <w:pStyle w:val="Normal"/>
        <w:spacing w:before="120" w:after="0"/>
        <w:rPr/>
      </w:pPr>
      <w:r>
        <w:rPr>
          <w:rFonts w:eastAsia="arial" w:cs="arial" w:ascii="arial" w:hAnsi="arial"/>
          <w:b w:val="false"/>
          <w:i w:val="false"/>
          <w:color w:val="000000"/>
          <w:sz w:val="20"/>
          <w:u w:val="none"/>
        </w:rPr>
        <w:t>La fourniture de toutes les</w:t>
      </w:r>
      <w:r>
        <w:rPr>
          <w:rFonts w:eastAsia="arial" w:cs="arial" w:ascii="arial" w:hAnsi="arial"/>
          <w:b/>
          <w:i w:val="false"/>
          <w:color w:val="000000"/>
          <w:sz w:val="20"/>
          <w:u w:val="none"/>
        </w:rPr>
        <w:t xml:space="preserve"> informations relatives à l'exécution du marché</w:t>
      </w:r>
      <w:r>
        <w:rPr>
          <w:rFonts w:eastAsia="arial" w:cs="arial" w:ascii="arial" w:hAnsi="arial"/>
          <w:b w:val="false"/>
          <w:i w:val="false"/>
          <w:color w:val="000000"/>
          <w:sz w:val="20"/>
          <w:u w:val="none"/>
        </w:rPr>
        <w:t xml:space="preserve">, la </w:t>
      </w:r>
      <w:r>
        <w:rPr>
          <w:rFonts w:eastAsia="arial" w:cs="arial" w:ascii="arial" w:hAnsi="arial"/>
          <w:b/>
          <w:i w:val="false"/>
          <w:color w:val="000000"/>
          <w:sz w:val="20"/>
          <w:u w:val="none"/>
        </w:rPr>
        <w:t>documentation</w:t>
      </w:r>
      <w:r>
        <w:rPr>
          <w:rFonts w:eastAsia="arial" w:cs="arial" w:ascii="arial" w:hAnsi="arial"/>
          <w:b w:val="false"/>
          <w:i w:val="false"/>
          <w:color w:val="000000"/>
          <w:sz w:val="20"/>
          <w:u w:val="none"/>
        </w:rPr>
        <w:t xml:space="preserve"> constituée durant la prestation, sous forme électronique mise à jour, ainsi que le</w:t>
      </w:r>
      <w:r>
        <w:rPr>
          <w:rFonts w:eastAsia="arial" w:cs="arial" w:ascii="arial" w:hAnsi="arial"/>
          <w:b/>
          <w:i w:val="false"/>
          <w:color w:val="000000"/>
          <w:sz w:val="20"/>
          <w:u w:val="none"/>
        </w:rPr>
        <w:t xml:space="preserve"> transfert de connaissance</w:t>
      </w:r>
      <w:r>
        <w:rPr>
          <w:rFonts w:eastAsia="arial" w:cs="arial" w:ascii="arial" w:hAnsi="arial"/>
          <w:b w:val="false"/>
          <w:i w:val="false"/>
          <w:color w:val="000000"/>
          <w:sz w:val="20"/>
          <w:u w:val="none"/>
        </w:rPr>
        <w:t xml:space="preserve"> sont inclus dans le présent marché.</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Ce transfert se fera directement aux équipes de la Ville de Marseille.</w:t>
      </w:r>
    </w:p>
    <w:p>
      <w:pPr>
        <w:pStyle w:val="Titre1"/>
        <w:numPr>
          <w:ilvl w:val="0"/>
          <w:numId w:val="2"/>
        </w:numPr>
        <w:ind w:left="1701" w:right="0" w:firstLine="283"/>
        <w:rPr/>
      </w:pPr>
      <w:bookmarkStart w:id="110" w:name="__RefHeading___Toc7465_1156739212"/>
      <w:bookmarkStart w:id="111" w:name="_Toc4040"/>
      <w:bookmarkEnd w:id="110"/>
      <w:r>
        <w:rPr/>
        <w:t>LOGICIEL E-ATTESTATIONS</w:t>
      </w:r>
      <w:bookmarkEnd w:id="111"/>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les attestations fiscales et sociales,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l'inscription au RCS (K ou K Bis),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la garantie décennale pour les marchés de travaux,</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la liste nominative des travailleurs étrangers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l'attestation sur l'honneur relative à l'égalité réelle entre les femmes et les hommes</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rPr>
        <w:t xml:space="preserve">L'interface e-attestations est une solution </w:t>
      </w:r>
      <w:r>
        <w:rPr>
          <w:rFonts w:eastAsia="arial" w:cs="arial" w:ascii="arial" w:hAnsi="arial"/>
          <w:b/>
          <w:i w:val="false"/>
          <w:color w:val="000000"/>
          <w:sz w:val="20"/>
          <w:u w:val="none"/>
        </w:rPr>
        <w:t>gratuite</w:t>
      </w:r>
      <w:r>
        <w:rPr>
          <w:rFonts w:eastAsia="arial" w:cs="arial" w:ascii="arial" w:hAnsi="arial"/>
          <w:b w:val="false"/>
          <w:i w:val="false"/>
          <w:color w:val="000000"/>
          <w:sz w:val="20"/>
          <w:u w:val="none"/>
        </w:rPr>
        <w:t xml:space="preserve"> de dépôt et de mise à jour, l'adresse du site est la suivante : http://www.e-attestations.com/</w:t>
      </w:r>
    </w:p>
    <w:p>
      <w:pPr>
        <w:pStyle w:val="Titre1"/>
        <w:numPr>
          <w:ilvl w:val="0"/>
          <w:numId w:val="2"/>
        </w:numPr>
        <w:ind w:left="1701" w:right="0" w:firstLine="283"/>
        <w:rPr/>
      </w:pPr>
      <w:bookmarkStart w:id="112" w:name="__RefHeading___Toc7467_1156739212"/>
      <w:bookmarkStart w:id="113" w:name="_Toc4041"/>
      <w:bookmarkEnd w:id="112"/>
      <w:r>
        <w:rPr/>
        <w:t>LOI APPLICABLE</w:t>
      </w:r>
      <w:bookmarkEnd w:id="113"/>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ind w:left="1701" w:right="0" w:firstLine="283"/>
        <w:rPr/>
      </w:pPr>
      <w:bookmarkStart w:id="114" w:name="__RefHeading___Toc7469_1156739212"/>
      <w:bookmarkStart w:id="115" w:name="_Toc4042"/>
      <w:bookmarkEnd w:id="114"/>
      <w:r>
        <w:rPr/>
        <w:t>CONFORMITE AUX NORMES</w:t>
      </w:r>
      <w:bookmarkEnd w:id="115"/>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Les fournitures utilisées par le titulaires seront conformes aux normes en vigueur, normes homologuées ou autres normes reconnues équivalentes, en vertu de l'article R2111-11 du Code de la commande publique.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ind w:left="1701" w:right="0" w:firstLine="283"/>
        <w:rPr/>
      </w:pPr>
      <w:bookmarkStart w:id="116" w:name="__RefHeading___Toc7471_1156739212"/>
      <w:bookmarkStart w:id="117" w:name="_Toc4043"/>
      <w:bookmarkEnd w:id="116"/>
      <w:r>
        <w:rPr/>
        <w:t>ASSURANCES</w:t>
      </w:r>
      <w:bookmarkEnd w:id="117"/>
    </w:p>
    <w:p>
      <w:pPr>
        <w:pStyle w:val="Normal"/>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Conformément à l'article 9 du CCAG PI, le titulaire doit contracter les assurances permettant de garantir sa responsabilité à l'égard du pouvoir adjudicateur et des tiers, victimes d'accidents ou de dommages causés par l'exécution des prestations.</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ind w:left="1701" w:right="0" w:firstLine="283"/>
        <w:rPr/>
      </w:pPr>
      <w:bookmarkStart w:id="118" w:name="__RefHeading___Toc7473_1156739212"/>
      <w:bookmarkStart w:id="119" w:name="_Toc4044"/>
      <w:bookmarkEnd w:id="118"/>
      <w:r>
        <w:rPr/>
        <w:t>DEROGATIONS AUX DOCUMENTS GENERAUX</w:t>
      </w:r>
      <w:bookmarkEnd w:id="119"/>
    </w:p>
    <w:p>
      <w:pPr>
        <w:pStyle w:val="Normal"/>
        <w:rPr/>
      </w:pPr>
      <w:r>
        <w:rPr>
          <w:rFonts w:eastAsia="arial" w:cs="arial" w:ascii="arial" w:hAnsi="arial"/>
          <w:b w:val="false"/>
          <w:i w:val="false"/>
          <w:color w:val="000000"/>
          <w:sz w:val="20"/>
          <w:u w:val="none"/>
          <w:shd w:fill="auto" w:val="clear"/>
        </w:rPr>
        <w:t>Les dérogations explicitées dans les articles désignés ci-après du C.C.A.P. sont apportées aux articles suivants du CCAG PI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2 déroge à l'article 4.1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3.1 déroge à l'article 13.3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4 déroge aux articles 3.7.2 et 3.8.2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6.3 déroge aux articles 20.1.2 et 8.1 du CCAG</w:t>
      </w:r>
    </w:p>
    <w:p>
      <w:pPr>
        <w:pStyle w:val="Normal"/>
        <w:spacing w:before="120" w:after="0"/>
        <w:rPr/>
      </w:pPr>
      <w:r>
        <w:rPr>
          <w:rFonts w:eastAsia="arial" w:cs="arial" w:ascii="arial" w:hAnsi="arial"/>
          <w:b w:val="false"/>
          <w:i w:val="false"/>
          <w:color w:val="000000"/>
          <w:sz w:val="20"/>
          <w:u w:val="none"/>
          <w:shd w:fill="auto" w:val="clear"/>
        </w:rPr>
        <w:t>- l'article déroge 7 à l'article 3.4.3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8 déroge à l'article 28 et 29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9.1 déroge à l'article 30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12.2 déroge à l'article 10.2.4  du CCAG</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l'article 16.2 déroge à l'article 16.2.3 du CCAG</w:t>
      </w:r>
    </w:p>
    <w:p>
      <w:pPr>
        <w:pStyle w:val="Normal"/>
        <w:spacing w:before="120" w:after="0"/>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rPr>
      <w:t>CCAP_RELAIS NATURE DE LA MOLINE.docx</w:t>
    </w:r>
    <w:r>
      <w:rPr/>
      <w:tab/>
      <w:tab/>
    </w:r>
    <w:r>
      <w:rPr/>
      <w:fldChar w:fldCharType="begin"/>
    </w:r>
    <w:r>
      <w:rPr/>
      <w:instrText> PAGE </w:instrText>
    </w:r>
    <w:r>
      <w:rPr/>
      <w:fldChar w:fldCharType="separate"/>
    </w:r>
    <w:r>
      <w:rPr/>
      <w:t>19</w:t>
    </w:r>
    <w:r>
      <w:rPr/>
      <w:fldChar w:fldCharType="end"/>
    </w:r>
    <w:r>
      <w:rPr/>
      <w:t>/</w:t>
    </w:r>
    <w:r>
      <w:rPr/>
      <w:fldChar w:fldCharType="begin"/>
    </w:r>
    <w:r>
      <w:rPr/>
      <w:instrText> NUMPAGES </w:instrText>
    </w:r>
    <w:r>
      <w:rPr/>
      <w:fldChar w:fldCharType="separate"/>
    </w:r>
    <w:r>
      <w:rPr/>
      <w:t>19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sz w:val="18"/>
        <w:szCs w:val="18"/>
        <w:shd w:fill="FFFFFF" w:val="clear"/>
        <w:lang w:val="fr-FR"/>
      </w:rPr>
      <w:t>Cahier des clauses administratives particulières</w:t>
    </w:r>
    <w:r>
      <w:rPr>
        <w:rStyle w:val="Policepardfaut"/>
        <w:rFonts w:cs="Arial"/>
        <w:b w:val="false"/>
        <w:bCs w:val="false"/>
        <w:i/>
        <w:color w:val="000000"/>
        <w:sz w:val="18"/>
        <w:szCs w:val="18"/>
        <w:shd w:fill="FFFFFF" w:val="clear"/>
        <w:lang w:val="fr-FR"/>
      </w:rPr>
      <w:t xml:space="preserve">  consultation : </w:t>
    </w:r>
    <w:r>
      <w:rPr>
        <w:rStyle w:val="Policepardfaut"/>
        <w:rFonts w:cs="Arial"/>
        <w:b w:val="false"/>
        <w:bCs w:val="false"/>
        <w:i/>
        <w:color w:val="4472C4"/>
        <w:sz w:val="18"/>
        <w:szCs w:val="18"/>
        <w:shd w:fill="FFFFFF" w:val="clear"/>
        <w:lang w:val="fr-FR"/>
      </w:rPr>
      <w:t>23_1577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style w:type="paragraph" w:styleId="Normal">
    <w:name w:val="Normal"/>
    <w:qFormat/>
    <w:pPr>
      <w:widowControl/>
      <w:suppressAutoHyphens w:val="true"/>
      <w:overflowPunct w:val="fals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qFormat/>
    <w:pPr>
      <w:keepNext w:val="true"/>
      <w:widowControl w:val="false"/>
      <w:numPr>
        <w:ilvl w:val="0"/>
        <w:numId w:val="1"/>
      </w:numPr>
      <w:spacing w:before="360" w:after="0"/>
      <w:ind w:left="1701" w:right="0"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qFormat/>
    <w:pPr>
      <w:keepNext w:val="true"/>
      <w:widowControl w:val="false"/>
      <w:numPr>
        <w:ilvl w:val="1"/>
        <w:numId w:val="1"/>
      </w:numPr>
      <w:spacing w:before="240" w:after="240"/>
      <w:ind w:left="1701" w:right="0"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qFormat/>
    <w:pPr>
      <w:keepNext w:val="true"/>
      <w:widowControl w:val="false"/>
      <w:numPr>
        <w:ilvl w:val="2"/>
        <w:numId w:val="1"/>
      </w:numPr>
      <w:spacing w:before="240" w:after="0"/>
      <w:ind w:left="1701" w:right="0"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qFormat/>
    <w:pPr>
      <w:keepNext w:val="true"/>
      <w:keepLines/>
      <w:widowControl w:val="false"/>
      <w:numPr>
        <w:ilvl w:val="3"/>
        <w:numId w:val="1"/>
      </w:numPr>
      <w:spacing w:before="240" w:after="0"/>
      <w:ind w:left="1701" w:right="0"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qFormat/>
    <w:pPr>
      <w:numPr>
        <w:ilvl w:val="5"/>
        <w:numId w:val="1"/>
      </w:numPr>
      <w:spacing w:before="283" w:after="283"/>
      <w:jc w:val="both"/>
      <w:outlineLvl w:val="5"/>
    </w:pPr>
    <w:rPr>
      <w:bCs/>
      <w:sz w:val="22"/>
    </w:rPr>
  </w:style>
  <w:style w:type="paragraph" w:styleId="Titre7">
    <w:name w:val="Heading 7"/>
    <w:basedOn w:val="Titre"/>
    <w:qFormat/>
    <w:pPr>
      <w:numPr>
        <w:ilvl w:val="6"/>
        <w:numId w:val="1"/>
      </w:numPr>
      <w:spacing w:before="283" w:after="57"/>
      <w:jc w:val="both"/>
      <w:outlineLvl w:val="6"/>
    </w:pPr>
    <w:rPr>
      <w:bCs/>
      <w:sz w:val="22"/>
    </w:rPr>
  </w:style>
  <w:style w:type="paragraph" w:styleId="Titre8">
    <w:name w:val="Heading 8"/>
    <w:basedOn w:val="Titre"/>
    <w:qFormat/>
    <w:pPr>
      <w:numPr>
        <w:ilvl w:val="7"/>
        <w:numId w:val="1"/>
      </w:numPr>
      <w:spacing w:before="283" w:after="57"/>
      <w:jc w:val="both"/>
      <w:outlineLvl w:val="7"/>
    </w:pPr>
    <w:rPr>
      <w:bCs/>
      <w:sz w:val="21"/>
    </w:rPr>
  </w:style>
  <w:style w:type="paragraph" w:styleId="Titre9">
    <w:name w:val="Heading 9"/>
    <w:basedOn w:val="Titre"/>
    <w:qFormat/>
    <w:pPr>
      <w:numPr>
        <w:ilvl w:val="8"/>
        <w:numId w:val="1"/>
      </w:numPr>
      <w:spacing w:before="283" w:after="57"/>
      <w:jc w:val="both"/>
      <w:outlineLvl w:val="8"/>
    </w:pPr>
    <w:rPr>
      <w:bCs/>
      <w:sz w:val="21"/>
    </w:rPr>
  </w:style>
  <w:style w:type="character" w:styleId="Heading1Char">
    <w:name w:val="Heading 1 Char"/>
    <w:basedOn w:val="DefaultParagraphFont"/>
    <w:qFormat/>
    <w:rPr>
      <w:rFonts w:ascii="Arial" w:hAnsi="Arial" w:eastAsia="Arial" w:cs="Arial"/>
      <w:sz w:val="40"/>
      <w:szCs w:val="40"/>
    </w:rPr>
  </w:style>
  <w:style w:type="character" w:styleId="Heading2Char">
    <w:name w:val="Heading 2 Char"/>
    <w:basedOn w:val="DefaultParagraphFont"/>
    <w:qFormat/>
    <w:rPr>
      <w:rFonts w:ascii="Arial" w:hAnsi="Arial" w:eastAsia="Arial" w:cs="Arial"/>
      <w:sz w:val="34"/>
    </w:rPr>
  </w:style>
  <w:style w:type="character" w:styleId="Heading3Char">
    <w:name w:val="Heading 3 Char"/>
    <w:basedOn w:val="DefaultParagraphFont"/>
    <w:qFormat/>
    <w:rPr>
      <w:rFonts w:ascii="Arial" w:hAnsi="Arial" w:eastAsia="Arial" w:cs="Arial"/>
      <w:sz w:val="30"/>
      <w:szCs w:val="30"/>
    </w:rPr>
  </w:style>
  <w:style w:type="character" w:styleId="Heading4Char">
    <w:name w:val="Heading 4 Char"/>
    <w:basedOn w:val="DefaultParagraphFont"/>
    <w:qFormat/>
    <w:rPr>
      <w:rFonts w:ascii="Arial" w:hAnsi="Arial" w:eastAsia="Arial" w:cs="Arial"/>
      <w:b/>
      <w:bCs/>
      <w:sz w:val="26"/>
      <w:szCs w:val="26"/>
    </w:rPr>
  </w:style>
  <w:style w:type="character" w:styleId="Heading5Char">
    <w:name w:val="Heading 5 Char"/>
    <w:basedOn w:val="DefaultParagraphFont"/>
    <w:qFormat/>
    <w:rPr>
      <w:rFonts w:ascii="Arial" w:hAnsi="Arial" w:eastAsia="Arial" w:cs="Arial"/>
      <w:b/>
      <w:bCs/>
      <w:sz w:val="24"/>
      <w:szCs w:val="24"/>
    </w:rPr>
  </w:style>
  <w:style w:type="character" w:styleId="Heading6Char">
    <w:name w:val="Heading 6 Char"/>
    <w:basedOn w:val="DefaultParagraphFont"/>
    <w:qFormat/>
    <w:rPr>
      <w:rFonts w:ascii="Arial" w:hAnsi="Arial" w:eastAsia="Arial" w:cs="Arial"/>
      <w:b/>
      <w:bCs/>
      <w:sz w:val="22"/>
      <w:szCs w:val="22"/>
    </w:rPr>
  </w:style>
  <w:style w:type="character" w:styleId="Heading7Char">
    <w:name w:val="Heading 7 Char"/>
    <w:basedOn w:val="DefaultParagraphFont"/>
    <w:qFormat/>
    <w:rPr>
      <w:rFonts w:ascii="Arial" w:hAnsi="Arial" w:eastAsia="Arial" w:cs="Arial"/>
      <w:b/>
      <w:bCs/>
      <w:i/>
      <w:iCs/>
      <w:sz w:val="22"/>
      <w:szCs w:val="22"/>
    </w:rPr>
  </w:style>
  <w:style w:type="character" w:styleId="Heading8Char">
    <w:name w:val="Heading 8 Char"/>
    <w:basedOn w:val="DefaultParagraphFont"/>
    <w:qFormat/>
    <w:rPr>
      <w:rFonts w:ascii="Arial" w:hAnsi="Arial" w:eastAsia="Arial" w:cs="Arial"/>
      <w:i/>
      <w:iCs/>
      <w:sz w:val="22"/>
      <w:szCs w:val="22"/>
    </w:rPr>
  </w:style>
  <w:style w:type="character" w:styleId="Heading9Char">
    <w:name w:val="Heading 9 Char"/>
    <w:basedOn w:val="DefaultParagraphFont"/>
    <w:qFormat/>
    <w:rPr>
      <w:rFonts w:ascii="Arial" w:hAnsi="Arial" w:eastAsia="Arial" w:cs="Arial"/>
      <w:i/>
      <w:iCs/>
      <w:sz w:val="21"/>
      <w:szCs w:val="21"/>
    </w:rPr>
  </w:style>
  <w:style w:type="character" w:styleId="TitleChar">
    <w:name w:val="Title Char"/>
    <w:basedOn w:val="DefaultParagraphFont"/>
    <w:qFormat/>
    <w:rPr>
      <w:sz w:val="48"/>
      <w:szCs w:val="48"/>
    </w:rPr>
  </w:style>
  <w:style w:type="character" w:styleId="SubtitleChar">
    <w:name w:val="Subtitle Char"/>
    <w:basedOn w:val="DefaultParagraphFont"/>
    <w:qFormat/>
    <w:rPr>
      <w:sz w:val="24"/>
      <w:szCs w:val="24"/>
    </w:rPr>
  </w:style>
  <w:style w:type="character" w:styleId="QuoteChar">
    <w:name w:val="Quote Char"/>
    <w:qFormat/>
    <w:rPr>
      <w:i/>
    </w:rPr>
  </w:style>
  <w:style w:type="character" w:styleId="IntenseQuoteChar">
    <w:name w:val="Intense Quote Char"/>
    <w:qFormat/>
    <w:rPr>
      <w:i/>
    </w:rPr>
  </w:style>
  <w:style w:type="character" w:styleId="HeaderChar">
    <w:name w:val="Header Char"/>
    <w:basedOn w:val="DefaultParagraphFont"/>
    <w:qFormat/>
    <w:rPr/>
  </w:style>
  <w:style w:type="character" w:styleId="CaptionChar">
    <w:name w:val="Caption Char"/>
    <w:qFormat/>
    <w:rPr/>
  </w:style>
  <w:style w:type="character" w:styleId="LienInternet">
    <w:name w:val="Lien Internet"/>
    <w:basedOn w:val="DefaultParagraphFont"/>
    <w:rPr>
      <w:color w:val="0563C1"/>
      <w:u w:val="single"/>
    </w:rPr>
  </w:style>
  <w:style w:type="character" w:styleId="FootnoteTextChar">
    <w:name w:val="Footnote Text Char"/>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qFormat/>
    <w:rPr>
      <w:vertAlign w:val="superscript"/>
    </w:rPr>
  </w:style>
  <w:style w:type="character" w:styleId="EndnoteTextChar">
    <w:name w:val="Endnote Text Char"/>
    <w:qFormat/>
    <w:rPr>
      <w:sz w:val="20"/>
    </w:rPr>
  </w:style>
  <w:style w:type="character" w:styleId="Ancredenotedefin">
    <w:name w:val="Ancre de note de fin"/>
    <w:rPr>
      <w:vertAlign w:val="superscript"/>
    </w:rPr>
  </w:style>
  <w:style w:type="character" w:styleId="EndnoteCharacters">
    <w:name w:val="Endnote Characters"/>
    <w:basedOn w:val="DefaultParagraphFont"/>
    <w:qFormat/>
    <w:rPr>
      <w:vertAlign w:val="superscript"/>
    </w:rPr>
  </w:style>
  <w:style w:type="character" w:styleId="DefaultParagraphFont">
    <w:name w:val="Default Paragraph Font"/>
    <w:qFormat/>
    <w:rPr/>
  </w:style>
  <w:style w:type="character" w:styleId="Titre1Car">
    <w:name w:val="Titre 1 Car"/>
    <w:basedOn w:val="DefaultParagraphFont"/>
    <w:qFormat/>
    <w:rPr>
      <w:rFonts w:ascii="Arial" w:hAnsi="Arial" w:eastAsia="Arial" w:cs="Arial"/>
      <w:sz w:val="40"/>
      <w:szCs w:val="40"/>
    </w:rPr>
  </w:style>
  <w:style w:type="character" w:styleId="Titre2Car">
    <w:name w:val="Titre 2 Car"/>
    <w:basedOn w:val="DefaultParagraphFont"/>
    <w:qFormat/>
    <w:rPr>
      <w:rFonts w:ascii="Arial" w:hAnsi="Arial"/>
      <w:b/>
      <w:bCs/>
      <w:iCs/>
      <w:color w:val="666699"/>
      <w:sz w:val="22"/>
      <w:szCs w:val="28"/>
      <w:u w:val="single"/>
    </w:rPr>
  </w:style>
  <w:style w:type="character" w:styleId="Titre3Car">
    <w:name w:val="Titre 3 Car"/>
    <w:basedOn w:val="DefaultParagraphFont"/>
    <w:qFormat/>
    <w:rPr>
      <w:rFonts w:ascii="Arial" w:hAnsi="Arial" w:eastAsia="Arial" w:cs="Arial"/>
      <w:sz w:val="30"/>
      <w:szCs w:val="30"/>
    </w:rPr>
  </w:style>
  <w:style w:type="character" w:styleId="Titre4Car">
    <w:name w:val="Titre 4 Car"/>
    <w:basedOn w:val="DefaultParagraphFont"/>
    <w:qFormat/>
    <w:rPr>
      <w:rFonts w:ascii="Arial" w:hAnsi="Arial" w:eastAsia="Arial" w:cs="Arial"/>
      <w:b/>
      <w:bCs/>
      <w:sz w:val="26"/>
      <w:szCs w:val="26"/>
    </w:rPr>
  </w:style>
  <w:style w:type="character" w:styleId="Titre5Car">
    <w:name w:val="Titre 5 Car"/>
    <w:basedOn w:val="DefaultParagraphFont"/>
    <w:qFormat/>
    <w:rPr>
      <w:rFonts w:ascii="Arial" w:hAnsi="Arial" w:eastAsia="Arial" w:cs="Arial"/>
      <w:b/>
      <w:bCs/>
      <w:sz w:val="24"/>
      <w:szCs w:val="24"/>
    </w:rPr>
  </w:style>
  <w:style w:type="character" w:styleId="Titre6Car">
    <w:name w:val="Titre 6 Car"/>
    <w:basedOn w:val="DefaultParagraphFont"/>
    <w:qFormat/>
    <w:rPr>
      <w:rFonts w:ascii="Arial" w:hAnsi="Arial" w:eastAsia="Arial" w:cs="Arial"/>
      <w:b/>
      <w:bCs/>
      <w:sz w:val="22"/>
      <w:szCs w:val="22"/>
    </w:rPr>
  </w:style>
  <w:style w:type="character" w:styleId="Titre7Car">
    <w:name w:val="Titre 7 Car"/>
    <w:basedOn w:val="DefaultParagraphFont"/>
    <w:qFormat/>
    <w:rPr>
      <w:rFonts w:ascii="Arial" w:hAnsi="Arial" w:eastAsia="Arial" w:cs="Arial"/>
      <w:b/>
      <w:bCs/>
      <w:i/>
      <w:iCs/>
      <w:sz w:val="22"/>
      <w:szCs w:val="22"/>
    </w:rPr>
  </w:style>
  <w:style w:type="character" w:styleId="Titre8Car">
    <w:name w:val="Titre 8 Car"/>
    <w:basedOn w:val="DefaultParagraphFont"/>
    <w:qFormat/>
    <w:rPr>
      <w:rFonts w:ascii="Arial" w:hAnsi="Arial" w:eastAsia="Arial" w:cs="Arial"/>
      <w:i/>
      <w:iCs/>
      <w:sz w:val="22"/>
      <w:szCs w:val="22"/>
    </w:rPr>
  </w:style>
  <w:style w:type="character" w:styleId="Titre9Car">
    <w:name w:val="Titre 9 Car"/>
    <w:basedOn w:val="DefaultParagraphFont"/>
    <w:qFormat/>
    <w:rPr>
      <w:rFonts w:ascii="Arial" w:hAnsi="Arial" w:eastAsia="Arial" w:cs="Arial"/>
      <w:i/>
      <w:iCs/>
      <w:sz w:val="21"/>
      <w:szCs w:val="21"/>
    </w:rPr>
  </w:style>
  <w:style w:type="character" w:styleId="TitreCar">
    <w:name w:val="Titre Car"/>
    <w:basedOn w:val="DefaultParagraphFont"/>
    <w:qFormat/>
    <w:rPr>
      <w:sz w:val="48"/>
      <w:szCs w:val="48"/>
    </w:rPr>
  </w:style>
  <w:style w:type="character" w:styleId="SoustitreCar">
    <w:name w:val="Sous-titre Car"/>
    <w:basedOn w:val="DefaultParagraphFont"/>
    <w:qFormat/>
    <w:rPr>
      <w:sz w:val="24"/>
      <w:szCs w:val="24"/>
    </w:rPr>
  </w:style>
  <w:style w:type="character" w:styleId="CitationCar">
    <w:name w:val="Citation Car"/>
    <w:qFormat/>
    <w:rPr>
      <w:i/>
    </w:rPr>
  </w:style>
  <w:style w:type="character" w:styleId="CitationintenseCar">
    <w:name w:val="Citation intense Car"/>
    <w:qFormat/>
    <w:rPr>
      <w:i/>
    </w:rPr>
  </w:style>
  <w:style w:type="character" w:styleId="EntteCar">
    <w:name w:val="En-tête Car"/>
    <w:basedOn w:val="DefaultParagraphFont"/>
    <w:qFormat/>
    <w:rPr/>
  </w:style>
  <w:style w:type="character" w:styleId="FooterChar">
    <w:name w:val="Footer Char"/>
    <w:basedOn w:val="DefaultParagraphFont"/>
    <w:qFormat/>
    <w:rPr/>
  </w:style>
  <w:style w:type="character" w:styleId="PieddepageCar">
    <w:name w:val="Pied de page Car"/>
    <w:qFormat/>
    <w:rPr/>
  </w:style>
  <w:style w:type="character" w:styleId="NotedebasdepageCar">
    <w:name w:val="Note de bas de page Car"/>
    <w:qFormat/>
    <w:rPr>
      <w:sz w:val="18"/>
    </w:rPr>
  </w:style>
  <w:style w:type="character" w:styleId="NotedefinCar">
    <w:name w:val="Note de fin Car"/>
    <w:qFormat/>
    <w:rPr>
      <w:sz w:val="20"/>
    </w:rPr>
  </w:style>
  <w:style w:type="character" w:styleId="Caractresdenumrotation">
    <w:name w:val="Caractères de numérotation"/>
    <w:qFormat/>
    <w:rPr/>
  </w:style>
  <w:style w:type="character" w:styleId="StandardCar">
    <w:name w:val="Standard Car"/>
    <w:basedOn w:val="DefaultParagraphFont"/>
    <w:qFormat/>
    <w:rPr>
      <w:rFonts w:ascii="Arial" w:hAnsi="Arial"/>
      <w:sz w:val="20"/>
    </w:rPr>
  </w:style>
  <w:style w:type="character" w:styleId="Policepardfaut">
    <w:name w:val="Police par défaut"/>
    <w:qFormat/>
    <w:rPr/>
  </w:style>
  <w:style w:type="character" w:styleId="Sautdindex">
    <w:name w:val="Saut d'index"/>
    <w:qFormat/>
    <w:rPr/>
  </w:style>
  <w:style w:type="paragraph" w:styleId="Titre">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qFormat/>
    <w:pPr>
      <w:spacing w:before="0" w:after="0"/>
    </w:pPr>
    <w:rPr/>
  </w:style>
  <w:style w:type="paragraph" w:styleId="ListParagraph">
    <w:name w:val="List Paragraph"/>
    <w:basedOn w:val="Normal"/>
    <w:qFormat/>
    <w:pPr>
      <w:spacing w:before="120" w:after="0"/>
      <w:ind w:left="720" w:right="0" w:hanging="0"/>
      <w:contextualSpacing/>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qFormat/>
    <w:pPr>
      <w:spacing w:before="300" w:after="200"/>
      <w:contextualSpacing/>
    </w:pPr>
    <w:rPr>
      <w:sz w:val="48"/>
      <w:szCs w:val="48"/>
    </w:rPr>
  </w:style>
  <w:style w:type="paragraph" w:styleId="Soustitre">
    <w:name w:val="Subtitle"/>
    <w:basedOn w:val="Normal"/>
    <w:qFormat/>
    <w:pPr>
      <w:spacing w:before="200" w:after="200"/>
    </w:pPr>
    <w:rPr>
      <w:sz w:val="24"/>
    </w:rPr>
  </w:style>
  <w:style w:type="paragraph" w:styleId="Quote">
    <w:name w:val="Quote"/>
    <w:basedOn w:val="Normal"/>
    <w:qFormat/>
    <w:pPr>
      <w:ind w:left="720" w:right="720" w:hanging="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fill="F2F2F2"/>
      <w:ind w:left="720" w:right="720" w:hanging="0"/>
    </w:pPr>
    <w:rPr>
      <w:i/>
    </w:rPr>
  </w:style>
  <w:style w:type="paragraph" w:styleId="Notedebasdepage">
    <w:name w:val="Footnote Text"/>
    <w:basedOn w:val="Normal"/>
    <w:pPr>
      <w:spacing w:before="120" w:after="40"/>
    </w:pPr>
    <w:rPr>
      <w:sz w:val="18"/>
    </w:rPr>
  </w:style>
  <w:style w:type="paragraph" w:styleId="Notedefin">
    <w:name w:val="Endnote Text"/>
    <w:basedOn w:val="Normal"/>
    <w:pPr/>
    <w:rPr/>
  </w:style>
  <w:style w:type="paragraph" w:styleId="Tabledesmatiresniveau4">
    <w:name w:val="TOC 4"/>
    <w:basedOn w:val="Normal"/>
    <w:pPr>
      <w:widowControl/>
      <w:tabs>
        <w:tab w:val="clear" w:pos="706"/>
        <w:tab w:val="right" w:pos="9128" w:leader="dot"/>
      </w:tabs>
      <w:ind w:left="709" w:right="0" w:hanging="0"/>
      <w:jc w:val="left"/>
    </w:pPr>
    <w:rPr>
      <w:sz w:val="16"/>
    </w:rPr>
  </w:style>
  <w:style w:type="paragraph" w:styleId="Tabledesmatiresniveau5">
    <w:name w:val="TOC 5"/>
    <w:basedOn w:val="Normal"/>
    <w:pPr>
      <w:widowControl/>
      <w:tabs>
        <w:tab w:val="clear" w:pos="706"/>
        <w:tab w:val="right" w:pos="9015" w:leader="dot"/>
      </w:tabs>
      <w:ind w:left="851" w:right="0" w:hanging="0"/>
      <w:jc w:val="left"/>
    </w:pPr>
    <w:rPr>
      <w:sz w:val="16"/>
    </w:rPr>
  </w:style>
  <w:style w:type="paragraph" w:styleId="Tabledesmatiresniveau6">
    <w:name w:val="TOC 6"/>
    <w:basedOn w:val="Normal"/>
    <w:pPr>
      <w:widowControl/>
      <w:tabs>
        <w:tab w:val="clear" w:pos="706"/>
        <w:tab w:val="right" w:pos="9015" w:leader="dot"/>
      </w:tabs>
      <w:ind w:left="880" w:right="0" w:hanging="0"/>
      <w:jc w:val="left"/>
    </w:pPr>
    <w:rPr>
      <w:sz w:val="14"/>
    </w:rPr>
  </w:style>
  <w:style w:type="paragraph" w:styleId="Tabledesmatiresniveau7">
    <w:name w:val="TOC 7"/>
    <w:basedOn w:val="Normal"/>
    <w:pPr>
      <w:widowControl/>
      <w:tabs>
        <w:tab w:val="clear" w:pos="706"/>
        <w:tab w:val="right" w:pos="9015" w:leader="dot"/>
      </w:tabs>
      <w:ind w:left="900" w:right="0" w:hanging="0"/>
      <w:jc w:val="left"/>
    </w:pPr>
    <w:rPr>
      <w:sz w:val="14"/>
    </w:rPr>
  </w:style>
  <w:style w:type="paragraph" w:styleId="Tabledesmatiresniveau8">
    <w:name w:val="TOC 8"/>
    <w:basedOn w:val="Normal"/>
    <w:pPr>
      <w:widowControl/>
      <w:tabs>
        <w:tab w:val="clear" w:pos="706"/>
        <w:tab w:val="right" w:pos="9015" w:leader="dot"/>
      </w:tabs>
      <w:ind w:left="910" w:right="0" w:hanging="0"/>
      <w:jc w:val="left"/>
    </w:pPr>
    <w:rPr>
      <w:sz w:val="14"/>
    </w:rPr>
  </w:style>
  <w:style w:type="paragraph" w:styleId="Tabledesmatiresniveau9">
    <w:name w:val="TOC 9"/>
    <w:basedOn w:val="Normal"/>
    <w:pPr>
      <w:widowControl/>
      <w:tabs>
        <w:tab w:val="clear" w:pos="706"/>
        <w:tab w:val="right" w:pos="9015" w:leader="dot"/>
      </w:tabs>
      <w:ind w:left="920" w:right="0" w:hanging="0"/>
      <w:jc w:val="left"/>
    </w:pPr>
    <w:rPr>
      <w:sz w:val="14"/>
    </w:rPr>
  </w:style>
  <w:style w:type="paragraph" w:styleId="Standard">
    <w:name w:val="Standard"/>
    <w:qFormat/>
    <w:pPr>
      <w:widowControl/>
      <w:suppressAutoHyphens w:val="true"/>
      <w:overflowPunct w:val="fals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name w:val="TOC 1"/>
    <w:basedOn w:val="Index"/>
    <w:pPr>
      <w:tabs>
        <w:tab w:val="clear" w:pos="706"/>
        <w:tab w:val="right" w:pos="9637" w:leader="dot"/>
      </w:tabs>
      <w:spacing w:before="120" w:after="120"/>
    </w:pPr>
    <w:rPr>
      <w:rFonts w:ascii="Arial Gras" w:hAnsi="Arial Gras"/>
      <w:b/>
      <w:smallCaps/>
      <w:sz w:val="18"/>
    </w:rPr>
  </w:style>
  <w:style w:type="paragraph" w:styleId="Contenudetableau">
    <w:name w:val="Contenu de tableau"/>
    <w:basedOn w:val="Standard"/>
    <w:qFormat/>
    <w:pPr/>
    <w:rPr>
      <w:sz w:val="17"/>
    </w:rPr>
  </w:style>
  <w:style w:type="paragraph" w:styleId="Titredetableau">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pPr>
      <w:tabs>
        <w:tab w:val="clear" w:pos="706"/>
        <w:tab w:val="center" w:pos="4818" w:leader="none"/>
        <w:tab w:val="right" w:pos="9637" w:leader="none"/>
      </w:tabs>
    </w:pPr>
    <w:rPr/>
  </w:style>
  <w:style w:type="paragraph" w:styleId="Tabledesmatiresniveau2">
    <w:name w:val="TOC 2"/>
    <w:basedOn w:val="Index"/>
    <w:pPr>
      <w:spacing w:before="0" w:after="0"/>
      <w:ind w:left="238" w:right="0" w:hanging="0"/>
    </w:pPr>
    <w:rPr>
      <w:rFonts w:ascii="Arial" w:hAnsi="Arial"/>
      <w:sz w:val="18"/>
    </w:rPr>
  </w:style>
  <w:style w:type="paragraph" w:styleId="ContentsHeading">
    <w:name w:val="Contents Heading"/>
    <w:basedOn w:val="Titre"/>
    <w:qFormat/>
    <w:pPr>
      <w:pageBreakBefore/>
      <w:spacing w:before="0" w:after="283"/>
    </w:pPr>
    <w:rPr>
      <w:bCs/>
      <w:szCs w:val="32"/>
    </w:rPr>
  </w:style>
  <w:style w:type="paragraph" w:styleId="Contents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name w:val="Contents 2"/>
    <w:basedOn w:val="Index"/>
    <w:qFormat/>
    <w:pPr>
      <w:spacing w:before="0" w:after="0"/>
      <w:ind w:left="238" w:right="0" w:hanging="0"/>
    </w:pPr>
    <w:rPr>
      <w:sz w:val="18"/>
    </w:rPr>
  </w:style>
  <w:style w:type="paragraph" w:styleId="Contents3">
    <w:name w:val="Contents 3"/>
    <w:basedOn w:val="Index"/>
    <w:qFormat/>
    <w:pPr>
      <w:tabs>
        <w:tab w:val="clear" w:pos="706"/>
        <w:tab w:val="right" w:pos="9241" w:leader="dot"/>
      </w:tabs>
      <w:spacing w:before="0" w:after="0"/>
      <w:ind w:left="482" w:right="0" w:hanging="0"/>
    </w:pPr>
    <w:rPr>
      <w:sz w:val="16"/>
    </w:rPr>
  </w:style>
  <w:style w:type="paragraph" w:styleId="Contents4">
    <w:name w:val="Contents 4"/>
    <w:basedOn w:val="Index"/>
    <w:qFormat/>
    <w:pPr>
      <w:tabs>
        <w:tab w:val="clear" w:pos="706"/>
        <w:tab w:val="right" w:pos="9128" w:leader="dot"/>
      </w:tabs>
      <w:spacing w:before="0" w:after="0"/>
      <w:ind w:left="709" w:right="0" w:hanging="0"/>
    </w:pPr>
    <w:rPr>
      <w:sz w:val="16"/>
    </w:rPr>
  </w:style>
  <w:style w:type="paragraph" w:styleId="Contents5">
    <w:name w:val="Contents 5"/>
    <w:basedOn w:val="Index"/>
    <w:qFormat/>
    <w:pPr>
      <w:tabs>
        <w:tab w:val="clear" w:pos="706"/>
        <w:tab w:val="right" w:pos="9015" w:leader="dot"/>
      </w:tabs>
      <w:spacing w:before="0" w:after="0"/>
      <w:ind w:left="851" w:right="0"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name w:val="Titre 10"/>
    <w:basedOn w:val="Titre"/>
    <w:qFormat/>
    <w:pPr/>
    <w:rPr>
      <w:bCs/>
    </w:rPr>
  </w:style>
  <w:style w:type="paragraph" w:styleId="Tableau">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pPr>
      <w:keepLines/>
      <w:numPr>
        <w:ilvl w:val="0"/>
        <w:numId w:val="0"/>
      </w:numPr>
      <w:spacing w:lineRule="auto" w:line="259" w:before="240" w:after="0"/>
      <w:ind w:left="1701" w:right="0" w:hanging="1701"/>
      <w:jc w:val="left"/>
      <w:outlineLvl w:val="9"/>
    </w:pPr>
    <w:rPr>
      <w:rFonts w:ascii="Calibri Light" w:hAnsi="Calibri Light" w:eastAsia="Calibri Light" w:cs="Calibri Light"/>
      <w:b w:val="false"/>
      <w:color w:val="2F5496"/>
      <w:sz w:val="32"/>
      <w:szCs w:val="32"/>
      <w:lang w:eastAsia="fr-FR" w:bidi="ar-SA"/>
    </w:rPr>
  </w:style>
  <w:style w:type="paragraph" w:styleId="Tabledesmatiresniveau3">
    <w:name w:val="TOC 3"/>
    <w:basedOn w:val="Index"/>
    <w:pPr>
      <w:tabs>
        <w:tab w:val="clear" w:pos="706"/>
        <w:tab w:val="right" w:pos="9241" w:leader="dot"/>
      </w:tabs>
      <w:spacing w:before="0" w:after="0"/>
      <w:ind w:left="482" w:right="0" w:hanging="0"/>
    </w:pPr>
    <w:rPr>
      <w:rFonts w:ascii="Arial" w:hAnsi="Arial"/>
      <w:sz w:val="16"/>
    </w:rPr>
  </w:style>
  <w:style w:type="paragraph" w:styleId="Titre11">
    <w:name w:val="Titre1"/>
    <w:qFormat/>
    <w:pPr>
      <w:widowControl/>
      <w:shd w:val="clear" w:fill="FFFFFF"/>
      <w:suppressAutoHyphens w:val="true"/>
      <w:overflowPunct w:val="false"/>
      <w:bidi w:val="0"/>
      <w:spacing w:before="0" w:after="0"/>
      <w:jc w:val="center"/>
    </w:pPr>
    <w:rPr>
      <w:rFonts w:ascii="Arial" w:hAnsi="Arial" w:eastAsia="simsun, 宋体" w:cs="Times New Roman"/>
      <w:b/>
      <w:color w:val="00000A"/>
      <w:kern w:val="0"/>
      <w:sz w:val="40"/>
      <w:szCs w:val="24"/>
      <w:lang w:val="fr-FR" w:eastAsia="zh-CN" w:bidi="ar-SA"/>
    </w:rPr>
  </w:style>
  <w:style w:type="paragraph" w:styleId="BodyText3">
    <w:name w:val="Body Text 3"/>
    <w:basedOn w:val="Normal"/>
    <w:qFormat/>
    <w:pPr>
      <w:tabs>
        <w:tab w:val="clear" w:pos="706"/>
        <w:tab w:val="left" w:pos="960" w:leader="none"/>
      </w:tabs>
      <w:jc w:val="both"/>
    </w:pPr>
    <w:rPr>
      <w:rFonts w:ascii="Times New Roman" w:hAnsi="Times New Roman" w:cs="Times New Roman"/>
    </w:rPr>
  </w:style>
  <w:style w:type="numbering" w:styleId="Numbering11">
    <w:name w:val="Numbering 1_1"/>
    <w:qFormat/>
  </w:style>
  <w:style w:type="numbering" w:styleId="Numrotation2">
    <w:name w:val="Numérotation 2"/>
    <w:qFormat/>
  </w:style>
  <w:style w:type="numbering" w:styleId="Numrotation3">
    <w:name w:val="Numérotation 3"/>
    <w:qFormat/>
  </w:style>
  <w:style w:type="numbering" w:styleId="Numrotation4">
    <w:name w:val="Numérotation 4"/>
    <w:qFormat/>
  </w:style>
  <w:style w:type="numbering" w:styleId="Numrotation5">
    <w:name w:val="Numérotation 5"/>
    <w:qFormat/>
  </w:style>
  <w:style w:type="numbering" w:styleId="Puce1">
    <w:name w:val="Puce 1"/>
    <w:qFormat/>
  </w:style>
  <w:style w:type="numbering" w:styleId="Liste21">
    <w:name w:val="Liste 21"/>
    <w:qFormat/>
  </w:style>
  <w:style w:type="numbering" w:styleId="Liste31">
    <w:name w:val="Liste 31"/>
    <w:qFormat/>
  </w:style>
  <w:style w:type="numbering" w:styleId="Liste41">
    <w:name w:val="Liste 41"/>
    <w:qFormat/>
  </w:style>
  <w:style w:type="numbering" w:styleId="Liste51">
    <w:name w:val="Liste 51"/>
    <w:qFormat/>
  </w:style>
  <w:style w:type="numbering" w:styleId="RTFNum2">
    <w:name w:val="RTF_Num 2"/>
    <w:qFormat/>
  </w:style>
  <w:style w:type="numbering" w:styleId="RTFNum3">
    <w:name w:val="RTF_Num 3"/>
    <w:qFormat/>
  </w:style>
  <w:style w:type="numbering" w:styleId="RTFNum4">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1546</TotalTime>
  <Application>LibreOffice/7.2.7.2$Windows_X86_64 LibreOffice_project/8d71d29d553c0f7dcbfa38fbfda25ee34cce99a2</Application>
  <AppVersion>15.0000</AppVersion>
  <Pages>20</Pages>
  <Words>6984</Words>
  <Characters>36805</Characters>
  <CharactersWithSpaces>43516</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LH</cp:lastModifiedBy>
  <cp:lastPrinted>2023-06-30T14:53:34Z</cp:lastPrinted>
  <dcterms:modified xsi:type="dcterms:W3CDTF">2023-07-12T10:42:19Z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