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de la Transition Ecologique et des Environnements de Vie</w:t>
      </w:r>
    </w:p>
    <w:p>
      <w:pPr>
        <w:pStyle w:val="Standard"/>
        <w:jc w:val="center"/>
        <w:rPr>
          <w:sz w:val="36"/>
          <w:szCs w:val="36"/>
        </w:rPr>
      </w:pPr>
      <w:r>
        <w:rPr>
          <w:rFonts w:cs="Arial"/>
          <w:color w:val="4472C4" w:themeColor="accent1"/>
          <w:sz w:val="36"/>
          <w:szCs w:val="36"/>
        </w:rPr>
        <w:t>Service Agriculture Urbaine et Sensibilisation à l’Environnement</w:t>
      </w:r>
    </w:p>
    <w:p>
      <w:pPr>
        <w:pStyle w:val="Standard"/>
        <w:rPr>
          <w:rFonts w:cs="Arial"/>
          <w:szCs w:val="20"/>
        </w:rPr>
      </w:pPr>
      <w:r>
        <w:rPr>
          <w:rFonts w:cs="Arial"/>
          <w:szCs w:val="20"/>
        </w:rPr>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Acte d'engagement</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sz w:val="36"/>
          <w:szCs w:val="36"/>
        </w:rPr>
      </w:pPr>
      <w:r>
        <w:rPr>
          <w:rFonts w:cs="Arial"/>
          <w:color w:val="5B9BD5" w:themeColor="accent5"/>
          <w:sz w:val="36"/>
          <w:szCs w:val="36"/>
          <w:highlight w:val="white"/>
          <w:shd w:fill="FFFFFF" w:val="clear"/>
        </w:rPr>
        <w:t>ACTIVITES PEDAGOGIQUES DE SENSIBILISATION A L'ENVIRONNEMENT - RELAIS NATURE DE LA MOLINE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23_1577</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3</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13</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p>
    <w:p>
      <w:pPr>
        <w:pStyle w:val="Normal"/>
        <w:rPr>
          <w:highlight w:val="none"/>
          <w:shd w:fill="auto" w:val="clear"/>
        </w:rPr>
      </w:pP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Normal"/>
        <w:rPr/>
      </w:pPr>
      <w:r>
        <w:rPr>
          <w:rFonts w:eastAsia="arial" w:cs="arial" w:ascii="arial" w:hAnsi="arial"/>
          <w:b w:val="false"/>
          <w:i w:val="false"/>
          <w:color w:val="000000"/>
          <w:sz w:val="20"/>
          <w:u w:val="none"/>
        </w:rPr>
        <w:t>Le marché est à prix mixte. Le poste 1 « prestations d’animations » est un accord-cadre à bons de commande (articles R2162-1 à 6 et R2162-13 et 14 du Code de la commande publique), le poste 2 « Entretien du jardin » est à prix global et forfaitaire annuel.</w:t>
      </w:r>
    </w:p>
    <w:p>
      <w:pPr>
        <w:pStyle w:val="Normal"/>
        <w:rPr/>
      </w:pPr>
      <w:r>
        <w:rPr>
          <w:rFonts w:eastAsia="arial" w:cs="arial" w:ascii="arial" w:hAnsi="arial"/>
          <w:b w:val="false"/>
          <w:i w:val="false"/>
          <w:color w:val="000000"/>
          <w:sz w:val="20"/>
          <w:u w:val="none"/>
        </w:rPr>
        <w:t>Nature des prestations : Services</w:t>
      </w:r>
    </w:p>
    <w:p>
      <w:pPr>
        <w:pStyle w:val="Titre2"/>
        <w:numPr>
          <w:ilvl w:val="1"/>
          <w:numId w:val="2"/>
        </w:numPr>
        <w:rPr/>
      </w:pPr>
      <w:bookmarkStart w:id="3" w:name="_Toc3966"/>
      <w:r>
        <w:rPr/>
        <w:t>Pouvoir adjudicateur</w:t>
      </w:r>
      <w:bookmarkEnd w:id="3"/>
    </w:p>
    <w:p>
      <w:pPr>
        <w:pStyle w:val="Normal"/>
        <w:rPr/>
      </w:pPr>
      <w: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Représentant du pouvoir adjudicateur : M. LE MAIRE ou sa représentante Aïcha SIF - Adjointe au Maire en charge de l’alimentation durable, de l’agriculture urbaine, de la préservation des sols et des terres agricoles, des relais-nature et des fermes pédagogiques, habilitée à signer en vertu de l'arrêté de délégation de signature du Maire de Marseille en date du 12 mai 2023.</w:t>
      </w:r>
    </w:p>
    <w:p>
      <w:pPr>
        <w:pStyle w:val="Normal"/>
        <w:rPr>
          <w:highlight w:val="none"/>
          <w:shd w:fill="auto" w:val="clear"/>
        </w:rPr>
      </w:pPr>
      <w:r>
        <w:rPr>
          <w:rFonts w:eastAsia="arial" w:cs="arial" w:ascii="arial" w:hAnsi="arial"/>
          <w:b w:val="false"/>
          <w:i w:val="false"/>
          <w:color w:val="000000"/>
          <w:sz w:val="20"/>
          <w:u w:val="none"/>
          <w:shd w:fill="auto" w:val="clear"/>
        </w:rPr>
        <w:t>Personne habilitée à donner des renseignements prévus à l'article R2191-60 du Code de la commande publique :</w:t>
      </w:r>
      <w:r>
        <w:rPr>
          <w:rFonts w:eastAsia="arial" w:cs="arial" w:ascii="arial" w:hAnsi="arial"/>
          <w:b/>
          <w:i w:val="false"/>
          <w:color w:val="000000"/>
          <w:sz w:val="20"/>
          <w:u w:val="none"/>
          <w:shd w:fill="auto" w:val="clear"/>
        </w:rPr>
        <w:t xml:space="preserve"> le Chef du service Agriculture Urbaine et Sensibilisation à l’environnement</w:t>
      </w:r>
    </w:p>
    <w:p>
      <w:pPr>
        <w:pStyle w:val="Normal"/>
        <w:rPr>
          <w:highlight w:val="none"/>
          <w:shd w:fill="auto" w:val="clear"/>
        </w:rPr>
      </w:pPr>
      <w:r>
        <w:rPr>
          <w:rFonts w:eastAsia="arial" w:cs="arial" w:ascii="arial" w:hAnsi="arial"/>
          <w:b w:val="false"/>
          <w:i w:val="false"/>
          <w:color w:val="000000"/>
          <w:sz w:val="20"/>
          <w:u w:val="none"/>
          <w:shd w:fill="auto" w:val="clear"/>
        </w:rPr>
        <w:t xml:space="preserve">Service responsable de l'exécution du marché : </w:t>
      </w:r>
      <w:r>
        <w:rPr>
          <w:rFonts w:eastAsia="arial" w:cs="arial" w:ascii="arial" w:hAnsi="arial"/>
          <w:b/>
          <w:bCs/>
          <w:i w:val="false"/>
          <w:color w:val="000000"/>
          <w:sz w:val="20"/>
          <w:u w:val="none"/>
          <w:shd w:fill="auto" w:val="clear"/>
        </w:rPr>
        <w:t xml:space="preserve">Service </w:t>
      </w:r>
      <w:r>
        <w:rPr>
          <w:rFonts w:eastAsia="arial" w:cs="arial" w:ascii="arial" w:hAnsi="arial"/>
          <w:b/>
          <w:i w:val="false"/>
          <w:color w:val="000000"/>
          <w:sz w:val="20"/>
          <w:u w:val="none"/>
          <w:shd w:fill="auto" w:val="clear"/>
        </w:rPr>
        <w:t>Agriculture Urbaine et Sensibilisation à l’environnement – Division Sensibilisation à l’Environnement</w:t>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Imputation budgétaire : Budget de Fonctionnement</w:t>
      </w:r>
    </w:p>
    <w:p>
      <w:pPr>
        <w:pStyle w:val="Titre2"/>
        <w:numPr>
          <w:ilvl w:val="1"/>
          <w:numId w:val="2"/>
        </w:numPr>
        <w:rPr/>
      </w:pPr>
      <w:bookmarkStart w:id="5" w:name="_Toc3968"/>
      <w:r>
        <w:rPr/>
        <w:t>Code CPV</w:t>
      </w:r>
      <w:bookmarkEnd w:id="5"/>
    </w:p>
    <w:p>
      <w:pPr>
        <w:pStyle w:val="Normal"/>
        <w:rPr>
          <w:highlight w:val="none"/>
          <w:shd w:fill="auto" w:val="clear"/>
        </w:rPr>
      </w:pPr>
      <w:r>
        <w:rPr>
          <w:rFonts w:eastAsia="arial" w:cs="arial" w:ascii="arial" w:hAnsi="arial"/>
          <w:b w:val="false"/>
          <w:i w:val="false"/>
          <w:color w:val="000000"/>
          <w:sz w:val="20"/>
          <w:u w:val="single"/>
          <w:shd w:fill="auto" w:val="clear"/>
        </w:rPr>
        <w:t>Code CPV principal</w:t>
      </w:r>
      <w:r>
        <w:rPr>
          <w:rFonts w:eastAsia="arial" w:cs="arial" w:ascii="arial" w:hAnsi="arial"/>
          <w:b w:val="false"/>
          <w:i w:val="false"/>
          <w:color w:val="000000"/>
          <w:sz w:val="20"/>
          <w:u w:val="none"/>
          <w:shd w:fill="auto" w:val="clear"/>
        </w:rPr>
        <w:t xml:space="preserve"> : 92000000-1 Services Récréatifs, Culturels et sportifs</w:t>
      </w:r>
    </w:p>
    <w:p>
      <w:pPr>
        <w:pStyle w:val="Normal"/>
        <w:rPr>
          <w:highlight w:val="none"/>
          <w:shd w:fill="auto" w:val="clear"/>
        </w:rPr>
      </w:pPr>
      <w:r>
        <w:rPr>
          <w:rFonts w:eastAsia="arial" w:cs="arial" w:ascii="arial" w:hAnsi="arial"/>
          <w:b w:val="false"/>
          <w:i w:val="false"/>
          <w:color w:val="000000"/>
          <w:sz w:val="20"/>
          <w:u w:val="single"/>
          <w:shd w:fill="auto" w:val="clear"/>
        </w:rPr>
        <w:t>CPV complémentaires</w:t>
      </w:r>
      <w:r>
        <w:rPr>
          <w:rFonts w:eastAsia="arial" w:cs="arial" w:ascii="arial" w:hAnsi="arial"/>
          <w:b w:val="false"/>
          <w:i w:val="false"/>
          <w:color w:val="000000"/>
          <w:sz w:val="20"/>
          <w:u w:val="none"/>
          <w:shd w:fill="auto" w:val="clear"/>
        </w:rPr>
        <w:t xml:space="preserve"> : 80000000-4  Service d’enseignement et de formation</w:t>
      </w:r>
    </w:p>
    <w:p>
      <w:pPr>
        <w:pStyle w:val="Normal"/>
        <w:rPr>
          <w:highlight w:val="none"/>
          <w:shd w:fill="auto" w:val="clear"/>
        </w:rPr>
      </w:pPr>
      <w:r>
        <w:rPr>
          <w:rFonts w:eastAsia="arial" w:cs="arial" w:ascii="arial" w:hAnsi="arial"/>
          <w:b w:val="false"/>
          <w:i w:val="false"/>
          <w:color w:val="000000"/>
          <w:sz w:val="20"/>
          <w:u w:val="none"/>
          <w:shd w:fill="auto" w:val="clear"/>
        </w:rPr>
        <w:t>77310000-6 réalisation et entretien d’espaces verts</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Titre2"/>
        <w:numPr>
          <w:ilvl w:val="1"/>
          <w:numId w:val="2"/>
        </w:numPr>
        <w:rPr/>
      </w:pPr>
      <w:bookmarkStart w:id="6" w:name="_Toc3969"/>
      <w:r>
        <w:rPr/>
        <w:t>Réemploi, réutilisation ou intégration de matières recyclées</w:t>
      </w:r>
      <w:bookmarkEnd w:id="6"/>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agissant pour mon compte</w:t>
      </w:r>
    </w:p>
    <w:p>
      <w:pPr>
        <w:pStyle w:val="Normal"/>
        <w:spacing w:before="120" w:after="0"/>
        <w:rPr/>
      </w:pPr>
      <w:r>
        <w:rPr>
          <w:rFonts w:eastAsia="arial" w:cs="arial" w:ascii="arial" w:hAnsi="arial"/>
          <w:b w:val="false"/>
          <w:i w:val="false"/>
          <w:color w:val="000000"/>
          <w:sz w:val="20"/>
          <w:u w:val="none"/>
        </w:rPr>
        <w:t>*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rPr>
          <w:rFonts w:ascii="arial" w:hAnsi="arial" w:eastAsia="arial" w:cs="arial"/>
          <w:b/>
          <w:b/>
          <w:i w:val="false"/>
          <w:i w:val="false"/>
          <w:color w:val="000000"/>
          <w:sz w:val="20"/>
          <w:u w:val="none"/>
          <w:shd w:fill="D4EDDA" w:val="clear"/>
        </w:rPr>
      </w:pPr>
      <w:r>
        <w:rPr>
          <w:rFonts w:eastAsia="arial" w:cs="arial" w:ascii="arial" w:hAnsi="arial"/>
          <w:b/>
          <w:i w:val="false"/>
          <w:color w:val="000000"/>
          <w:sz w:val="20"/>
          <w:u w:val="none"/>
          <w:shd w:fill="D4EDDA" w:val="clear"/>
        </w:rPr>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10" w:name="_Toc3973"/>
      <w:r>
        <w:rPr/>
        <w:t>OBJET</w:t>
      </w:r>
      <w:bookmarkEnd w:id="10"/>
    </w:p>
    <w:p>
      <w:pPr>
        <w:pStyle w:val="Normal"/>
        <w:rPr/>
      </w:pPr>
      <w:r>
        <w:rPr>
          <w:rFonts w:eastAsia="arial" w:cs="arial" w:ascii="arial" w:hAnsi="arial"/>
          <w:b w:val="false"/>
          <w:i w:val="false"/>
          <w:color w:val="000000"/>
          <w:sz w:val="20"/>
          <w:u w:val="none"/>
        </w:rPr>
        <w:t xml:space="preserve">Le marché a pour objet, </w:t>
      </w:r>
      <w:r>
        <w:rPr>
          <w:rFonts w:eastAsia="Arial" w:cs="Arial" w:ascii="arial" w:hAnsi="arial"/>
          <w:b w:val="false"/>
          <w:i w:val="false"/>
          <w:color w:val="000000"/>
          <w:sz w:val="20"/>
          <w:u w:val="none"/>
        </w:rPr>
        <w:t>la réalisation d'activités pédagogiques de sensibilisation à l'environnement sur le temps scolaire et extrascolaire, l’entretien du jardin support des activités,  dans le cadre du Relais-Nature de la Moline situé 26 boulevard Marius Richard 13012 Marseille</w:t>
      </w:r>
      <w:r>
        <w:rPr>
          <w:rFonts w:eastAsia="Arial" w:cs="Times New Roman"/>
          <w:b w:val="false"/>
          <w:bCs w:val="false"/>
          <w:i w:val="false"/>
          <w:color w:val="000000"/>
          <w:sz w:val="20"/>
          <w:szCs w:val="21"/>
          <w:u w:val="none"/>
        </w:rPr>
        <w:t xml:space="preserve">. </w:t>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shd w:fill="auto" w:val="clear"/>
        </w:rPr>
        <w:t xml:space="preserve">Le marché est traité à prix mixtes. </w:t>
      </w:r>
    </w:p>
    <w:p>
      <w:pPr>
        <w:pStyle w:val="Normal"/>
        <w:spacing w:before="120" w:after="0"/>
        <w:rPr/>
      </w:pPr>
      <w:r>
        <w:rPr>
          <w:rFonts w:eastAsia="arial" w:cs="arial" w:ascii="arial" w:hAnsi="arial"/>
          <w:b w:val="false"/>
          <w:i w:val="false"/>
          <w:color w:val="000000"/>
          <w:sz w:val="20"/>
          <w:u w:val="none"/>
          <w:shd w:fill="auto" w:val="clear"/>
        </w:rPr>
        <w:t>Les prestations relatives au poste 1 « Prestations d’animations » sont payées sur la base de prix unitaires et les prestations du poste 2 « Entretien du jardin » sont payées sur la base d'un prix global et forfaitaire annuel.</w:t>
      </w:r>
    </w:p>
    <w:p>
      <w:pPr>
        <w:pStyle w:val="Titre2"/>
        <w:numPr>
          <w:ilvl w:val="1"/>
          <w:numId w:val="2"/>
        </w:numPr>
        <w:rPr/>
      </w:pPr>
      <w:bookmarkStart w:id="13" w:name="_Toc3976"/>
      <w:r>
        <w:rPr/>
        <w:t>Montant</w:t>
      </w:r>
      <w:bookmarkEnd w:id="13"/>
    </w:p>
    <w:p>
      <w:pPr>
        <w:pStyle w:val="Normal"/>
        <w:rPr>
          <w:highlight w:val="none"/>
          <w:shd w:fill="auto" w:val="clear"/>
        </w:rPr>
      </w:pPr>
      <w:r>
        <w:rPr>
          <w:rFonts w:eastAsia="arial" w:cs="arial" w:ascii="arial" w:hAnsi="arial"/>
          <w:b w:val="false"/>
          <w:i w:val="false"/>
          <w:color w:val="000000"/>
          <w:sz w:val="20"/>
          <w:u w:val="none"/>
          <w:shd w:fill="auto" w:val="clear"/>
        </w:rPr>
        <w:t>Le montant du marché à prix mixtes se décompose en deux parties :</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bCs/>
          <w:i w:val="false"/>
          <w:color w:val="000000"/>
          <w:sz w:val="20"/>
          <w:u w:val="single"/>
          <w:shd w:fill="auto" w:val="clear"/>
        </w:rPr>
        <w:t>une partie à prix unitaires (poste 1)</w:t>
      </w:r>
    </w:p>
    <w:p>
      <w:pPr>
        <w:pStyle w:val="Normal"/>
        <w:rPr>
          <w:highlight w:val="none"/>
          <w:shd w:fill="auto" w:val="clear"/>
        </w:rPr>
      </w:pPr>
      <w:r>
        <w:rPr>
          <w:rFonts w:eastAsia="arial" w:cs="arial" w:ascii="arial" w:hAnsi="arial"/>
          <w:b w:val="false"/>
          <w:i w:val="false"/>
          <w:color w:val="000000"/>
          <w:sz w:val="20"/>
          <w:u w:val="none"/>
          <w:shd w:fill="auto" w:val="clear"/>
        </w:rPr>
        <w:t>Les prestations du poste 1 « Prestations d’animations » sont réalisées à partir de bons de commandes qui seront émis dans les conditions et limites suivantes pour chaque période annuelle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minimum : </w:t>
      </w:r>
      <w:r>
        <w:rPr>
          <w:rFonts w:eastAsia="arial" w:cs="arial" w:ascii="arial" w:hAnsi="arial"/>
          <w:b/>
          <w:i w:val="false"/>
          <w:color w:val="000000"/>
          <w:sz w:val="20"/>
          <w:u w:val="none"/>
          <w:shd w:fill="auto" w:val="clear"/>
        </w:rPr>
        <w:t>80 000,00 € HT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maximum </w:t>
      </w:r>
      <w:r>
        <w:rPr>
          <w:rFonts w:eastAsia="arial" w:cs="arial" w:ascii="arial" w:hAnsi="arial"/>
          <w:b/>
          <w:i w:val="false"/>
          <w:color w:val="000000"/>
          <w:sz w:val="20"/>
          <w:u w:val="none"/>
          <w:shd w:fill="auto" w:val="clear"/>
        </w:rPr>
        <w:t>: 300 000,00 € HT</w:t>
      </w:r>
    </w:p>
    <w:p>
      <w:pPr>
        <w:pStyle w:val="Normal"/>
        <w:spacing w:before="120" w:after="0"/>
        <w:rPr>
          <w:highlight w:val="none"/>
          <w:shd w:fill="auto" w:val="clear"/>
        </w:rPr>
      </w:pPr>
      <w:r>
        <w:rPr>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Les prix unitaires du marché sont détaillés dans le  "bordereau des prix unitaires" (BPU).</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prix du marché, pour le poste 1 résulte de l'application des quantités réellement exécutées aux prix unitaires du Bordereau des Prix Unitaires.</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w:t>
      </w:r>
      <w:r>
        <w:rPr>
          <w:rFonts w:eastAsia="arial" w:cs="arial" w:ascii="arial" w:hAnsi="arial"/>
          <w:b/>
          <w:bCs/>
          <w:i w:val="false"/>
          <w:color w:val="000000"/>
          <w:sz w:val="20"/>
          <w:u w:val="single"/>
          <w:shd w:fill="auto" w:val="clear"/>
        </w:rPr>
        <w:t>une partie à prix global et forfaitaire annuel (poste 2)</w:t>
      </w:r>
    </w:p>
    <w:p>
      <w:pPr>
        <w:pStyle w:val="Normal"/>
        <w:spacing w:before="120" w:after="0"/>
        <w:rPr>
          <w:highlight w:val="none"/>
          <w:shd w:fill="auto" w:val="clear"/>
        </w:rPr>
      </w:pPr>
      <w:r>
        <w:rPr>
          <w:shd w:fill="auto" w:val="clear"/>
        </w:rPr>
      </w:r>
    </w:p>
    <w:p>
      <w:pPr>
        <w:pStyle w:val="Normal"/>
        <w:spacing w:before="120" w:after="0"/>
        <w:rPr>
          <w:b w:val="false"/>
          <w:b w:val="false"/>
          <w:bCs w:val="false"/>
          <w:highlight w:val="none"/>
          <w:shd w:fill="auto" w:val="clear"/>
        </w:rPr>
      </w:pPr>
      <w:r>
        <w:rPr>
          <w:rFonts w:eastAsia="arial" w:cs="arial" w:ascii="arial" w:hAnsi="arial"/>
          <w:b w:val="false"/>
          <w:bCs w:val="false"/>
          <w:i w:val="false"/>
          <w:color w:val="000000"/>
          <w:sz w:val="20"/>
          <w:u w:val="none"/>
          <w:shd w:fill="auto" w:val="clear"/>
        </w:rPr>
        <w:t>Les prestations du poste 2 « Entretien du Jardin » sont à prix global et forfaitaire annuel. Elles comprennent l’ensemble des prestations nécessaires à l’entretien du jardin (cf : CCTP), support pédagogique principal des activités d’animation.</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Montant HT  : ......................................................euros  H.T.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TVA de ......... % : ...............................................euros  H.T.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Montant T.T.C. : ...................................................euros T.T.C.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Montant TTC arrêté en toutes lettres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w:t>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2"/>
        <w:numPr>
          <w:ilvl w:val="1"/>
          <w:numId w:val="2"/>
        </w:numPr>
        <w:rPr/>
      </w:pPr>
      <w:bookmarkStart w:id="14" w:name="_Toc3977"/>
      <w:r>
        <w:rPr/>
        <w:t>Sous traitance</w:t>
      </w:r>
      <w:bookmarkEnd w:id="14"/>
    </w:p>
    <w:p>
      <w:pPr>
        <w:pStyle w:val="Normal"/>
        <w:rPr/>
      </w:pPr>
      <w:r>
        <w:rPr>
          <w:rFonts w:eastAsia="arial" w:cs="arial" w:ascii="arial" w:hAnsi="arial"/>
          <w:b w:val="false"/>
          <w:i w:val="false"/>
          <w:color w:val="000000"/>
          <w:sz w:val="20"/>
          <w:u w:val="none"/>
        </w:rPr>
        <w:t>(Dans le cas où l'entreprise ne présenterait pas de sous-traitant, maintenir le présent paragraphe sans le compléter et en le barrant.)</w:t>
      </w:r>
    </w:p>
    <w:p>
      <w:pPr>
        <w:pStyle w:val="Normal"/>
        <w:spacing w:before="120" w:after="0"/>
        <w:rPr/>
      </w:pPr>
      <w:r>
        <w:rPr>
          <w:rFonts w:eastAsia="arial" w:cs="arial" w:ascii="arial" w:hAnsi="arial"/>
          <w:b w:val="false"/>
          <w:i w:val="false"/>
          <w:color w:val="000000"/>
          <w:sz w:val="20"/>
          <w:u w:val="none"/>
        </w:rPr>
        <w:t xml:space="preserve">Les déclarations de sous-traitance (imprimé DC4 disponible à l'adresse suivante : </w:t>
      </w:r>
    </w:p>
    <w:p>
      <w:pPr>
        <w:pStyle w:val="Normal"/>
        <w:spacing w:before="120" w:after="0"/>
        <w:rPr/>
      </w:pPr>
      <w:r>
        <w:rPr>
          <w:rFonts w:eastAsia="arial" w:cs="arial" w:ascii="arial" w:hAnsi="arial"/>
          <w:b w:val="false"/>
          <w:i w:val="false"/>
          <w:color w:val="000000"/>
          <w:sz w:val="20"/>
          <w:u w:val="none"/>
        </w:rPr>
        <w:t xml:space="preserve">http://www.economie.gouv.fr/daj/formulaires ) </w:t>
      </w:r>
    </w:p>
    <w:p>
      <w:pPr>
        <w:pStyle w:val="Normal"/>
        <w:spacing w:before="120" w:after="0"/>
        <w:rPr/>
      </w:pPr>
      <w:r>
        <w:rPr>
          <w:rFonts w:eastAsia="arial" w:cs="arial" w:ascii="arial" w:hAnsi="arial"/>
          <w:b w:val="false"/>
          <w:i w:val="false"/>
          <w:color w:val="000000"/>
          <w:sz w:val="20"/>
          <w:u w:val="none"/>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spacing w:before="120" w:after="0"/>
        <w:rPr/>
      </w:pPr>
      <w:r>
        <w:rPr>
          <w:rFonts w:eastAsia="arial" w:cs="arial" w:ascii="arial" w:hAnsi="arial"/>
          <w:b w:val="false"/>
          <w:i w:val="false"/>
          <w:color w:val="000000"/>
          <w:sz w:val="20"/>
          <w:u w:val="none"/>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spacing w:before="120" w:after="0"/>
        <w:rPr/>
      </w:pPr>
      <w:r>
        <w:rPr>
          <w:rFonts w:eastAsia="arial" w:cs="arial" w:ascii="arial" w:hAnsi="arial"/>
          <w:b w:val="false"/>
          <w:i w:val="false"/>
          <w:color w:val="000000"/>
          <w:sz w:val="20"/>
          <w:u w:val="none"/>
        </w:rPr>
        <w:t xml:space="preserve">Le relevé bancaire (BIC ou IBAN) du sous-traitant est joint.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montant total des prestations que j'envisage de sous-traiter conformément à cette(ces) annexe(s) est de :</w:t>
      </w:r>
    </w:p>
    <w:p>
      <w:pPr>
        <w:pStyle w:val="Normal"/>
        <w:spacing w:before="120" w:after="0"/>
        <w:rPr/>
      </w:pPr>
      <w:r>
        <w:rPr>
          <w:rFonts w:eastAsia="arial" w:cs="arial" w:ascii="arial" w:hAnsi="arial"/>
          <w:b w:val="false"/>
          <w:i w:val="false"/>
          <w:color w:val="000000"/>
          <w:sz w:val="20"/>
          <w:u w:val="none"/>
        </w:rPr>
        <w:t>En chiffres : .........................................................€ HT</w:t>
      </w:r>
    </w:p>
    <w:p>
      <w:pPr>
        <w:pStyle w:val="Normal"/>
        <w:spacing w:before="120" w:after="0"/>
        <w:rPr/>
      </w:pPr>
      <w:r>
        <w:rPr>
          <w:rFonts w:eastAsia="arial" w:cs="arial" w:ascii="arial" w:hAnsi="arial"/>
          <w:b w:val="false"/>
          <w:i w:val="false"/>
          <w:color w:val="000000"/>
          <w:sz w:val="20"/>
          <w:u w:val="none"/>
        </w:rPr>
        <w:t>En chiffres : ........................................................ € TTC</w:t>
      </w:r>
    </w:p>
    <w:p>
      <w:pPr>
        <w:pStyle w:val="Normal"/>
        <w:spacing w:before="120" w:after="0"/>
        <w:rPr/>
      </w:pPr>
      <w:r>
        <w:rPr>
          <w:rFonts w:eastAsia="arial" w:cs="arial" w:ascii="arial" w:hAnsi="arial"/>
          <w:b w:val="false"/>
          <w:i w:val="false"/>
          <w:color w:val="000000"/>
          <w:sz w:val="20"/>
          <w:u w:val="none"/>
        </w:rPr>
        <w:t>En lettres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Déduction faite de l'ensemble des prestations sous-traitées, le montant maximal de la créance que je pourrai présenter en nantissement en tant qu'entrepreneur titulaire du marché est ainsi ramené à :</w:t>
      </w:r>
    </w:p>
    <w:p>
      <w:pPr>
        <w:pStyle w:val="Normal"/>
        <w:spacing w:before="120" w:after="0"/>
        <w:rPr/>
      </w:pPr>
      <w:r>
        <w:rPr>
          <w:rFonts w:eastAsia="arial" w:cs="arial" w:ascii="arial" w:hAnsi="arial"/>
          <w:b w:val="false"/>
          <w:i w:val="false"/>
          <w:color w:val="000000"/>
          <w:sz w:val="20"/>
          <w:u w:val="none"/>
        </w:rPr>
        <w:t>Montant total du marché € HT : ............................................................</w:t>
      </w:r>
    </w:p>
    <w:p>
      <w:pPr>
        <w:pStyle w:val="Normal"/>
        <w:spacing w:before="120" w:after="0"/>
        <w:rPr/>
      </w:pPr>
      <w:r>
        <w:rPr>
          <w:rFonts w:eastAsia="arial" w:cs="arial" w:ascii="arial" w:hAnsi="arial"/>
          <w:b w:val="false"/>
          <w:i w:val="false"/>
          <w:color w:val="000000"/>
          <w:sz w:val="20"/>
          <w:u w:val="none"/>
        </w:rPr>
        <w:t>Montant total du marché € TTC : ............................................................</w:t>
      </w:r>
    </w:p>
    <w:p>
      <w:pPr>
        <w:pStyle w:val="Normal"/>
        <w:spacing w:before="120" w:after="0"/>
        <w:rPr/>
      </w:pPr>
      <w:r>
        <w:rPr>
          <w:rFonts w:eastAsia="arial" w:cs="arial" w:ascii="arial" w:hAnsi="arial"/>
          <w:b w:val="false"/>
          <w:i w:val="false"/>
          <w:color w:val="000000"/>
          <w:sz w:val="20"/>
          <w:u w:val="none"/>
        </w:rPr>
        <w:t>Montant acte(s) de sous-traitance € HT :  ...........</w:t>
      </w:r>
    </w:p>
    <w:p>
      <w:pPr>
        <w:pStyle w:val="Normal"/>
        <w:spacing w:before="120" w:after="0"/>
        <w:rPr/>
      </w:pPr>
      <w:r>
        <w:rPr>
          <w:rFonts w:eastAsia="arial" w:cs="arial" w:ascii="arial" w:hAnsi="arial"/>
          <w:b w:val="false"/>
          <w:i w:val="false"/>
          <w:color w:val="000000"/>
          <w:sz w:val="20"/>
          <w:u w:val="none"/>
        </w:rPr>
        <w:t>Montant acte(s) de sous-traitance € TTC : ..........</w:t>
      </w:r>
    </w:p>
    <w:p>
      <w:pPr>
        <w:pStyle w:val="Normal"/>
        <w:spacing w:before="120" w:after="0"/>
        <w:rPr/>
      </w:pPr>
      <w:r>
        <w:rPr>
          <w:rFonts w:eastAsia="arial" w:cs="arial" w:ascii="arial" w:hAnsi="arial"/>
          <w:b w:val="false"/>
          <w:i w:val="false"/>
          <w:color w:val="000000"/>
          <w:sz w:val="20"/>
          <w:u w:val="none"/>
        </w:rPr>
        <w:t xml:space="preserve">Montant maximal de la créance pouvant être présentée en nantissement € HT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 xml:space="preserve">Montant maximal de la créance pouvant être présentée en nantissement € TTC : </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déclarations à remplir par le(les) sous-traitant(s) énumérées ci-dessus sont annexées au présent acte d'engagement.</w:t>
      </w:r>
    </w:p>
    <w:p>
      <w:pPr>
        <w:pStyle w:val="Titre1"/>
        <w:numPr>
          <w:ilvl w:val="0"/>
          <w:numId w:val="2"/>
        </w:numPr>
        <w:rPr/>
      </w:pPr>
      <w:bookmarkStart w:id="15" w:name="_Toc3978"/>
      <w:r>
        <w:rPr/>
        <w:t>AVANCE</w:t>
      </w:r>
      <w:bookmarkEnd w:id="15"/>
    </w:p>
    <w:p>
      <w:pPr>
        <w:pStyle w:val="Normal"/>
        <w:rPr>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120" w:after="0"/>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120" w:after="0"/>
        <w:rPr>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120" w:after="0"/>
        <w:rPr>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6" w:name="_Toc3979"/>
      <w:r>
        <w:rPr/>
        <w:t>DUREE</w:t>
      </w:r>
      <w:bookmarkEnd w:id="16"/>
    </w:p>
    <w:p>
      <w:pPr>
        <w:pStyle w:val="Normal"/>
        <w:rPr>
          <w:highlight w:val="none"/>
          <w:shd w:fill="auto" w:val="clear"/>
        </w:rPr>
      </w:pPr>
      <w:r>
        <w:rPr>
          <w:rFonts w:eastAsia="arial" w:cs="arial" w:ascii="arial" w:hAnsi="arial"/>
          <w:b w:val="false"/>
          <w:i w:val="false"/>
          <w:color w:val="000000"/>
          <w:sz w:val="20"/>
          <w:u w:val="none"/>
          <w:shd w:fill="auto" w:val="clear"/>
        </w:rPr>
        <w:t xml:space="preserve">La durée du marché se définit comme suit : </w:t>
      </w:r>
      <w:r>
        <w:rPr>
          <w:rFonts w:eastAsia="arial" w:cs="arial" w:ascii="arial" w:hAnsi="arial"/>
          <w:b/>
          <w:bCs/>
          <w:i w:val="false"/>
          <w:color w:val="000000"/>
          <w:sz w:val="20"/>
          <w:u w:val="none"/>
          <w:shd w:fill="auto" w:val="clear"/>
        </w:rPr>
        <w:t>1 an</w:t>
      </w:r>
      <w:r>
        <w:rPr>
          <w:rFonts w:eastAsia="arial" w:cs="arial" w:ascii="arial" w:hAnsi="arial"/>
          <w:b w:val="false"/>
          <w:i w:val="false"/>
          <w:color w:val="000000"/>
          <w:sz w:val="20"/>
          <w:u w:val="none"/>
          <w:shd w:fill="auto" w:val="clear"/>
        </w:rPr>
        <w:t xml:space="preserve"> à compter de sa notification.</w:t>
      </w:r>
    </w:p>
    <w:p>
      <w:pPr>
        <w:pStyle w:val="Normal"/>
        <w:rPr>
          <w:highlight w:val="none"/>
          <w:shd w:fill="auto" w:val="clear"/>
        </w:rPr>
      </w:pPr>
      <w:r>
        <w:rPr>
          <w:rFonts w:eastAsia="arial" w:cs="arial" w:ascii="arial" w:hAnsi="arial"/>
          <w:b w:val="false"/>
          <w:i w:val="false"/>
          <w:color w:val="000000"/>
          <w:sz w:val="20"/>
          <w:u w:val="none"/>
          <w:shd w:fill="auto" w:val="clear"/>
        </w:rPr>
        <w:t xml:space="preserve">Le marché est reconductible par période de </w:t>
      </w:r>
      <w:r>
        <w:rPr>
          <w:rFonts w:eastAsia="arial" w:cs="arial" w:ascii="arial" w:hAnsi="arial"/>
          <w:b/>
          <w:i w:val="false"/>
          <w:color w:val="000000"/>
          <w:sz w:val="20"/>
          <w:u w:val="none"/>
          <w:shd w:fill="auto" w:val="clear"/>
        </w:rPr>
        <w:t>1 an</w:t>
      </w:r>
      <w:r>
        <w:rPr>
          <w:rFonts w:eastAsia="arial" w:cs="arial" w:ascii="arial" w:hAnsi="arial"/>
          <w:b w:val="false"/>
          <w:i w:val="false"/>
          <w:color w:val="000000"/>
          <w:sz w:val="20"/>
          <w:u w:val="none"/>
          <w:shd w:fill="auto" w:val="clear"/>
        </w:rPr>
        <w:t xml:space="preserve">, dans la limite de </w:t>
      </w:r>
      <w:r>
        <w:rPr>
          <w:rFonts w:eastAsia="arial" w:cs="arial" w:ascii="arial" w:hAnsi="arial"/>
          <w:b/>
          <w:i w:val="false"/>
          <w:color w:val="000000"/>
          <w:sz w:val="20"/>
          <w:u w:val="none"/>
          <w:shd w:fill="auto" w:val="clear"/>
        </w:rPr>
        <w:t>3</w:t>
      </w:r>
      <w:r>
        <w:rPr>
          <w:rFonts w:eastAsia="arial" w:cs="arial" w:ascii="arial" w:hAnsi="arial"/>
          <w:b w:val="false"/>
          <w:i w:val="false"/>
          <w:color w:val="000000"/>
          <w:sz w:val="20"/>
          <w:u w:val="none"/>
          <w:shd w:fill="auto" w:val="clear"/>
        </w:rPr>
        <w:t xml:space="preserve"> reconductions.</w:t>
      </w:r>
    </w:p>
    <w:p>
      <w:pPr>
        <w:pStyle w:val="Normal"/>
        <w:spacing w:before="120" w:after="0"/>
        <w:rPr/>
      </w:pPr>
      <w:r>
        <w:rPr>
          <w:rFonts w:eastAsia="arial" w:cs="arial" w:ascii="arial" w:hAnsi="arial"/>
          <w:b w:val="false"/>
          <w:i w:val="false"/>
          <w:color w:val="000000"/>
          <w:sz w:val="20"/>
          <w:u w:val="none"/>
          <w:shd w:fill="auto" w:val="clear"/>
        </w:rPr>
        <w:t xml:space="preserve">La reconduction du marché se fera de manière </w:t>
      </w:r>
      <w:r>
        <w:rPr>
          <w:rFonts w:eastAsia="arial" w:cs="arial" w:ascii="arial" w:hAnsi="arial"/>
          <w:b/>
          <w:i w:val="false"/>
          <w:color w:val="000000"/>
          <w:sz w:val="20"/>
          <w:u w:val="none"/>
          <w:shd w:fill="auto" w:val="clear"/>
        </w:rPr>
        <w:t>tacite.</w:t>
      </w:r>
    </w:p>
    <w:p>
      <w:pPr>
        <w:pStyle w:val="Normal"/>
        <w:spacing w:before="120" w:after="0"/>
        <w:rPr/>
      </w:pPr>
      <w:r>
        <w:rPr>
          <w:rFonts w:eastAsia="arial" w:cs="arial" w:ascii="arial" w:hAnsi="arial"/>
          <w:b w:val="false"/>
          <w:i w:val="false"/>
          <w:color w:val="000000"/>
          <w:sz w:val="20"/>
          <w:u w:val="none"/>
          <w:shd w:fill="auto" w:val="clear"/>
        </w:rPr>
        <w:t xml:space="preserve">En cas de décision de </w:t>
      </w:r>
      <w:r>
        <w:rPr>
          <w:rFonts w:eastAsia="arial" w:cs="arial" w:ascii="arial" w:hAnsi="arial"/>
          <w:b/>
          <w:i w:val="false"/>
          <w:color w:val="000000"/>
          <w:sz w:val="20"/>
          <w:u w:val="none"/>
          <w:shd w:fill="auto" w:val="clear"/>
        </w:rPr>
        <w:t>non</w:t>
      </w:r>
      <w:r>
        <w:rPr>
          <w:rFonts w:eastAsia="arial" w:cs="arial" w:ascii="arial" w:hAnsi="arial"/>
          <w:b w:val="false"/>
          <w:i w:val="false"/>
          <w:color w:val="000000"/>
          <w:sz w:val="20"/>
          <w:u w:val="none"/>
          <w:shd w:fill="auto" w:val="clear"/>
        </w:rPr>
        <w:t xml:space="preserve"> reconduction du marché, le représentant du pouvoir adjudicateur transmet sa décision au titulaire par lettre recommandée avec accusé de réception au plus tard </w:t>
      </w:r>
      <w:r>
        <w:rPr>
          <w:rFonts w:eastAsia="arial" w:cs="arial" w:ascii="arial" w:hAnsi="arial"/>
          <w:b/>
          <w:bCs/>
          <w:i w:val="false"/>
          <w:color w:val="000000"/>
          <w:sz w:val="20"/>
          <w:u w:val="none"/>
          <w:shd w:fill="auto" w:val="clear"/>
        </w:rPr>
        <w:t>3</w:t>
      </w:r>
      <w:r>
        <w:rPr>
          <w:rFonts w:eastAsia="arial" w:cs="arial" w:ascii="arial" w:hAnsi="arial"/>
          <w:b w:val="false"/>
          <w:i w:val="false"/>
          <w:color w:val="000000"/>
          <w:sz w:val="20"/>
          <w:u w:val="none"/>
          <w:shd w:fill="auto" w:val="clear"/>
        </w:rPr>
        <w:t xml:space="preserve"> mois avant la fin de la durée de validité du marché.</w:t>
      </w:r>
    </w:p>
    <w:p>
      <w:pPr>
        <w:pStyle w:val="Normal"/>
        <w:rPr/>
      </w:pPr>
      <w:r>
        <w:rPr>
          <w:rFonts w:eastAsia="arial" w:cs="arial" w:ascii="arial" w:hAnsi="arial"/>
          <w:b w:val="false"/>
          <w:i w:val="false"/>
          <w:color w:val="000000"/>
          <w:sz w:val="20"/>
          <w:u w:val="none"/>
        </w:rPr>
        <w:t>Toute information complémentaire relative à la durée et/ou aux délais figure aux articles</w:t>
      </w:r>
      <w:r>
        <w:rPr>
          <w:rFonts w:eastAsia="arial" w:cs="arial" w:ascii="arial" w:hAnsi="arial"/>
          <w:b w:val="false"/>
          <w:i w:val="false"/>
          <w:color w:val="000000"/>
          <w:sz w:val="20"/>
          <w:u w:val="none"/>
          <w:shd w:fill="auto" w:val="clear"/>
        </w:rPr>
        <w:t xml:space="preserve"> 1 et 3</w:t>
      </w:r>
      <w:r>
        <w:rPr>
          <w:rFonts w:eastAsia="arial" w:cs="arial" w:ascii="arial" w:hAnsi="arial"/>
          <w:b w:val="false"/>
          <w:i w:val="false"/>
          <w:color w:val="000000"/>
          <w:sz w:val="20"/>
          <w:u w:val="none"/>
        </w:rPr>
        <w:t xml:space="preserve"> du CCAP.</w:t>
      </w:r>
    </w:p>
    <w:p>
      <w:pPr>
        <w:pStyle w:val="Titre1"/>
        <w:numPr>
          <w:ilvl w:val="0"/>
          <w:numId w:val="2"/>
        </w:numPr>
        <w:rPr/>
      </w:pPr>
      <w:bookmarkStart w:id="17" w:name="_Toc3980"/>
      <w:r>
        <w:rPr/>
        <w:t>PROVENANCE DES FOURNITURES</w:t>
      </w:r>
      <w:bookmarkEnd w:id="17"/>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8" w:name="_Toc3981"/>
      <w:r>
        <w:rPr/>
        <w:t>DELAI DE VALIDITE DES OFFRES</w:t>
      </w:r>
      <w:bookmarkEnd w:id="18"/>
    </w:p>
    <w:p>
      <w:pPr>
        <w:pStyle w:val="Normal"/>
        <w:rPr>
          <w:highlight w:val="none"/>
          <w:shd w:fill="auto" w:val="clear"/>
        </w:rPr>
      </w:pPr>
      <w:r>
        <w:rPr>
          <w:rFonts w:eastAsia="arial" w:cs="arial" w:ascii="arial" w:hAnsi="arial"/>
          <w:b w:val="false"/>
          <w:i w:val="false"/>
          <w:color w:val="000000"/>
          <w:sz w:val="20"/>
          <w:u w:val="none"/>
          <w:shd w:fill="auto" w:val="clear"/>
        </w:rPr>
        <w:t>Le candidat est tenu de maintenir son offre, à compter de la date limite de remise des offres, pendant un délai de : </w:t>
      </w:r>
      <w:r>
        <w:rPr>
          <w:rFonts w:eastAsia="arial" w:cs="arial" w:ascii="arial" w:hAnsi="arial"/>
          <w:b/>
          <w:i w:val="false"/>
          <w:color w:val="000000"/>
          <w:sz w:val="20"/>
          <w:u w:val="none"/>
          <w:shd w:fill="auto" w:val="clear"/>
        </w:rPr>
        <w:t xml:space="preserve">6 </w:t>
      </w:r>
      <w:r>
        <w:rPr>
          <w:rFonts w:eastAsia="arial" w:cs="arial" w:ascii="arial" w:hAnsi="arial"/>
          <w:b w:val="false"/>
          <w:i w:val="false"/>
          <w:color w:val="000000"/>
          <w:sz w:val="20"/>
          <w:u w:val="none"/>
          <w:shd w:fill="auto" w:val="clear"/>
        </w:rPr>
        <w:t>mois.</w:t>
      </w:r>
    </w:p>
    <w:p>
      <w:pPr>
        <w:pStyle w:val="Titre1"/>
        <w:numPr>
          <w:ilvl w:val="0"/>
          <w:numId w:val="2"/>
        </w:numPr>
        <w:rPr/>
      </w:pPr>
      <w:bookmarkStart w:id="19" w:name="_Toc3982"/>
      <w:r>
        <w:rPr/>
        <w:t>ENGAGEMENT ET SIGNATURE DU CANDIDAT</w:t>
      </w:r>
      <w:bookmarkEnd w:id="19"/>
    </w:p>
    <w:p>
      <w:pPr>
        <w:pStyle w:val="Normal"/>
        <w:rPr>
          <w:highlight w:val="none"/>
          <w:shd w:fill="auto" w:val="clear"/>
        </w:rPr>
      </w:pPr>
      <w:r>
        <w:rPr>
          <w:rFonts w:eastAsia="arial" w:cs="arial" w:ascii="arial" w:hAnsi="arial"/>
          <w:b/>
          <w:i w:val="false"/>
          <w:color w:val="000000"/>
          <w:sz w:val="20"/>
          <w:u w:val="single"/>
          <w:shd w:fill="auto" w:val="clear"/>
        </w:rPr>
        <w:t>Clause de protection des données (RGPD)</w:t>
      </w:r>
    </w:p>
    <w:p>
      <w:pPr>
        <w:pStyle w:val="Normal"/>
        <w:rPr/>
      </w:pPr>
      <w:r>
        <w:rPr>
          <w:b w:val="false"/>
          <w:i w:val="false"/>
          <w:u w:val="none"/>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le Règlement Général sur la protection des données - RGPD»).</w:t>
      </w:r>
    </w:p>
    <w:p>
      <w:pPr>
        <w:pStyle w:val="Normal"/>
        <w:rPr>
          <w:b w:val="false"/>
          <w:b w:val="false"/>
          <w:i w:val="false"/>
          <w:i w:val="false"/>
          <w:u w:val="none"/>
        </w:rPr>
      </w:pPr>
      <w:r>
        <w:rPr>
          <w:b w:val="false"/>
          <w:i w:val="false"/>
          <w:u w:val="none"/>
        </w:rPr>
        <w:t xml:space="preserve">L'ensemble des conditions sont définies dans l'annexe « Protection des données et Politique de sécurité » au présent Acte d'engagement. </w:t>
      </w:r>
    </w:p>
    <w:p>
      <w:pPr>
        <w:pStyle w:val="Normal"/>
        <w:rPr/>
      </w:pPr>
      <w:r>
        <w:rPr/>
      </w:r>
    </w:p>
    <w:p>
      <w:pPr>
        <w:pStyle w:val="Normal"/>
        <w:rPr>
          <w:highlight w:val="none"/>
          <w:shd w:fill="auto" w:val="clear"/>
        </w:rPr>
      </w:pPr>
      <w:r>
        <w:rPr>
          <w:rFonts w:eastAsia="arial" w:cs="arial" w:ascii="arial" w:hAnsi="arial"/>
          <w:b/>
          <w:i w:val="false"/>
          <w:color w:val="000000"/>
          <w:sz w:val="20"/>
          <w:u w:val="single"/>
          <w:shd w:fill="auto" w:val="clear"/>
        </w:rPr>
        <w:t>Dispositions relatives au respect des principes de la République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titulaire s'engage à respecter les obligations suivantes et à les faire respecter par son personnel et/ou toute personne à laquelle il confie pour partie l'exécution des prestations objet du présent marché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s'abstenir de manifester leurs opinions politiques ou religieuses,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traiter de façon égale toutes les personnes et respecter leur liberté de conscience et leur dignité,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assurer l'égalité des usagers,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veiller de manière générale au respect des principes de laïcité et de neutralité, conformément aux dispositions de l'article 1-II de la loi n°2021-1109 du 24 août 2021 confortant le respect des principes de la République.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highlight w:val="none"/>
          <w:shd w:fill="auto" w:val="clear"/>
        </w:rPr>
      </w:pPr>
      <w:r>
        <w:rPr>
          <w:rFonts w:eastAsia="arial" w:cs="arial" w:ascii="arial" w:hAnsi="arial"/>
          <w:b w:val="false"/>
          <w:i w:val="false"/>
          <w:color w:val="000000"/>
          <w:sz w:val="20"/>
          <w:u w:val="single"/>
          <w:shd w:fill="auto" w:val="clear"/>
        </w:rPr>
        <w:t>Les annexes au présent document sont les suivante</w:t>
      </w:r>
      <w:r>
        <w:rPr>
          <w:rFonts w:eastAsia="arial" w:cs="arial" w:ascii="arial" w:hAnsi="arial"/>
          <w:b w:val="false"/>
          <w:i w:val="false"/>
          <w:color w:val="000000"/>
          <w:sz w:val="20"/>
          <w:u w:val="none"/>
          <w:shd w:fill="auto" w:val="clear"/>
        </w:rPr>
        <w:t>s :</w:t>
      </w:r>
    </w:p>
    <w:p>
      <w:pPr>
        <w:pStyle w:val="Normal"/>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Annexe « Protection des données et Politique de sécurité »</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CCAP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Signature du candidat, précédée des nom, 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20" w:name="_Toc3983"/>
      <w:r>
        <w:rPr/>
        <w:t>SIGNATURE DU POUVOIR ADJUDICATEUR</w:t>
      </w:r>
      <w:bookmarkEnd w:id="20"/>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présente offre est acceptée.</w:t>
      </w:r>
    </w:p>
    <w:p>
      <w:pPr>
        <w:pStyle w:val="Normal"/>
        <w:rPr>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Pour Le Maire et par délégation l’Adjointe au Maire en charge de l’alimentation durable, de l’agriculture urbaine, de la préservation des sols et des terres agricoles, des relais-nature et des fermes pédagogiques – Aïcha SIF</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auto" w:val="clear"/>
        </w:rPr>
        <w:t>Date de transmission en Préfecture :</w:t>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r>
    </w:p>
    <w:p>
      <w:pPr>
        <w:pStyle w:val="Normal"/>
        <w:spacing w:before="120" w:after="0"/>
        <w:rPr>
          <w:rFonts w:ascii="arial" w:hAnsi="arial" w:eastAsia="arial" w:cs="arial"/>
          <w:b w:val="false"/>
          <w:b w:val="false"/>
          <w:i w:val="false"/>
          <w:i w:val="false"/>
          <w:color w:val="000000"/>
          <w:sz w:val="20"/>
          <w:u w:val="none"/>
          <w:shd w:fill="auto" w:val="clear"/>
        </w:rPr>
      </w:pPr>
      <w:r>
        <w:rPr>
          <w:rFonts w:eastAsia="arial" w:cs="arial" w:ascii="arial" w:hAnsi="arial"/>
          <w:b w:val="false"/>
          <w:i w:val="false"/>
          <w:color w:val="000000"/>
          <w:sz w:val="20"/>
          <w:u w:val="none"/>
          <w:shd w:fill="auto" w:val="clear"/>
        </w:rPr>
      </w:r>
    </w:p>
    <w:p>
      <w:pPr>
        <w:pStyle w:val="Titre1"/>
        <w:numPr>
          <w:ilvl w:val="0"/>
          <w:numId w:val="2"/>
        </w:numPr>
        <w:rPr/>
      </w:pPr>
      <w:bookmarkStart w:id="21" w:name="_Toc3984"/>
      <w:r>
        <w:rPr/>
        <w:t>NOTIFICATION DU MARCHE</w:t>
      </w:r>
      <w:bookmarkEnd w:id="21"/>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Titre1"/>
        <w:numPr>
          <w:ilvl w:val="0"/>
          <w:numId w:val="2"/>
        </w:numPr>
        <w:rPr/>
      </w:pPr>
      <w:bookmarkStart w:id="22" w:name="_Toc3985"/>
      <w:r>
        <w:rPr/>
        <w:t>EXEMPLAIRE UNIQUE ET NANTISSEMENT OU CESSION DE CREANCE</w:t>
      </w:r>
      <w:bookmarkEnd w:id="22"/>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 (voir l'article 1.2)</w:t>
      </w:r>
    </w:p>
    <w:p>
      <w:pPr>
        <w:pStyle w:val="Normal"/>
        <w:rPr/>
      </w:pPr>
      <w:r>
        <w:rPr>
          <w:rFonts w:eastAsia="arial" w:cs="arial" w:ascii="arial" w:hAnsi="arial"/>
          <w:b w:val="false"/>
          <w:i w:val="false"/>
          <w:color w:val="000000"/>
          <w:sz w:val="20"/>
          <w:u w:val="none"/>
        </w:rPr>
        <w:t>Direction / Service : Direction de la Transition Ecologique et des Environnements de Vie</w:t>
      </w:r>
    </w:p>
    <w:p>
      <w:pPr>
        <w:pStyle w:val="Normal"/>
        <w:rPr/>
      </w:pPr>
      <w:r>
        <w:rPr>
          <w:rFonts w:eastAsia="arial" w:cs="arial" w:ascii="arial" w:hAnsi="arial"/>
          <w:b w:val="false"/>
          <w:i w:val="false"/>
          <w:color w:val="000000"/>
          <w:sz w:val="20"/>
          <w:u w:val="none"/>
        </w:rPr>
        <w:t>Service d’Appui Fonctionnel</w:t>
      </w:r>
    </w:p>
    <w:p>
      <w:pPr>
        <w:pStyle w:val="Normal"/>
        <w:rPr/>
      </w:pPr>
      <w:r>
        <w:rPr>
          <w:rFonts w:eastAsia="arial" w:cs="arial" w:ascii="arial" w:hAnsi="arial"/>
          <w:b w:val="false"/>
          <w:i w:val="false"/>
          <w:color w:val="000000"/>
          <w:sz w:val="20"/>
          <w:u w:val="none"/>
        </w:rPr>
        <w:t>Le Grand Pavois</w:t>
      </w:r>
    </w:p>
    <w:p>
      <w:pPr>
        <w:pStyle w:val="Normal"/>
        <w:rPr/>
      </w:pPr>
      <w:r>
        <w:rPr>
          <w:rFonts w:eastAsia="arial" w:cs="arial" w:ascii="arial" w:hAnsi="arial"/>
          <w:b w:val="false"/>
          <w:i w:val="false"/>
          <w:color w:val="000000"/>
          <w:sz w:val="20"/>
          <w:u w:val="none"/>
        </w:rPr>
        <w:t>320/330 avenue du Prado</w:t>
      </w:r>
    </w:p>
    <w:p>
      <w:pPr>
        <w:pStyle w:val="Normal"/>
        <w:rPr/>
      </w:pPr>
      <w:r>
        <w:rPr>
          <w:rFonts w:eastAsia="arial" w:cs="arial" w:ascii="arial" w:hAnsi="arial"/>
          <w:b w:val="false"/>
          <w:i w:val="false"/>
          <w:color w:val="000000"/>
          <w:sz w:val="20"/>
          <w:u w:val="none"/>
        </w:rPr>
        <w:t>13233 Marseille cedex 20</w:t>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Signature du représentant du pouvoir adjudicateur :</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AE_RELAIS NATURE DE LA MOLINE.docx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23_1577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0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0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7"/>
    <w:qFormat/>
    <w:pPr>
      <w:numPr>
        <w:ilvl w:val="6"/>
        <w:numId w:val="1"/>
      </w:numPr>
      <w:spacing w:before="283" w:after="57"/>
      <w:jc w:val="both"/>
      <w:outlineLvl w:val="6"/>
    </w:pPr>
    <w:rPr>
      <w:bCs/>
      <w:sz w:val="22"/>
    </w:rPr>
  </w:style>
  <w:style w:type="paragraph" w:styleId="Titre8">
    <w:name w:val="Heading 8"/>
    <w:basedOn w:val="Titre"/>
    <w:link w:val="808"/>
    <w:qFormat/>
    <w:pPr>
      <w:numPr>
        <w:ilvl w:val="7"/>
        <w:numId w:val="1"/>
      </w:numPr>
      <w:spacing w:before="283" w:after="57"/>
      <w:jc w:val="both"/>
      <w:outlineLvl w:val="7"/>
    </w:pPr>
    <w:rPr>
      <w:bCs/>
      <w:sz w:val="21"/>
    </w:rPr>
  </w:style>
  <w:style w:type="paragraph" w:styleId="Titre9">
    <w:name w:val="Heading 9"/>
    <w:basedOn w:val="Titre"/>
    <w:link w:val="809"/>
    <w:qFormat/>
    <w:pPr>
      <w:numPr>
        <w:ilvl w:val="8"/>
        <w:numId w:val="1"/>
      </w:numPr>
      <w:spacing w:before="283" w:after="57"/>
      <w:jc w:val="both"/>
      <w:outlineLvl w:val="8"/>
    </w:pPr>
    <w:rPr>
      <w:bCs/>
      <w:sz w:val="21"/>
    </w:rPr>
  </w:style>
  <w:style w:type="character" w:styleId="Heading1Char">
    <w:name w:val="Heading 1 Char"/>
    <w:basedOn w:val="DefaultParagraphFont"/>
    <w:link w:val="791"/>
    <w:uiPriority w:val="9"/>
    <w:qFormat/>
    <w:rPr>
      <w:rFonts w:ascii="Arial" w:hAnsi="Arial" w:eastAsia="Arial" w:cs="Arial"/>
      <w:sz w:val="40"/>
      <w:szCs w:val="40"/>
    </w:rPr>
  </w:style>
  <w:style w:type="character" w:styleId="Heading2Char">
    <w:name w:val="Heading 2 Char"/>
    <w:basedOn w:val="DefaultParagraphFont"/>
    <w:link w:val="792"/>
    <w:uiPriority w:val="9"/>
    <w:qFormat/>
    <w:rPr>
      <w:rFonts w:ascii="Arial" w:hAnsi="Arial" w:eastAsia="Arial" w:cs="Arial"/>
      <w:sz w:val="34"/>
    </w:rPr>
  </w:style>
  <w:style w:type="character" w:styleId="Heading3Char">
    <w:name w:val="Heading 3 Char"/>
    <w:basedOn w:val="DefaultParagraphFont"/>
    <w:link w:val="793"/>
    <w:uiPriority w:val="9"/>
    <w:qFormat/>
    <w:rPr>
      <w:rFonts w:ascii="Arial" w:hAnsi="Arial" w:eastAsia="Arial" w:cs="Arial"/>
      <w:sz w:val="30"/>
      <w:szCs w:val="30"/>
    </w:rPr>
  </w:style>
  <w:style w:type="character" w:styleId="Heading4Char">
    <w:name w:val="Heading 4 Char"/>
    <w:basedOn w:val="DefaultParagraphFont"/>
    <w:link w:val="794"/>
    <w:uiPriority w:val="9"/>
    <w:qFormat/>
    <w:rPr>
      <w:rFonts w:ascii="Arial" w:hAnsi="Arial" w:eastAsia="Arial" w:cs="Arial"/>
      <w:b/>
      <w:bCs/>
      <w:sz w:val="26"/>
      <w:szCs w:val="26"/>
    </w:rPr>
  </w:style>
  <w:style w:type="character" w:styleId="Heading5Char">
    <w:name w:val="Heading 5 Char"/>
    <w:basedOn w:val="DefaultParagraphFont"/>
    <w:link w:val="795"/>
    <w:uiPriority w:val="9"/>
    <w:qFormat/>
    <w:rPr>
      <w:rFonts w:ascii="Arial" w:hAnsi="Arial" w:eastAsia="Arial" w:cs="Arial"/>
      <w:b/>
      <w:bCs/>
      <w:sz w:val="24"/>
      <w:szCs w:val="24"/>
    </w:rPr>
  </w:style>
  <w:style w:type="character" w:styleId="Heading6Char">
    <w:name w:val="Heading 6 Char"/>
    <w:basedOn w:val="DefaultParagraphFont"/>
    <w:link w:val="796"/>
    <w:uiPriority w:val="9"/>
    <w:qFormat/>
    <w:rPr>
      <w:rFonts w:ascii="Arial" w:hAnsi="Arial" w:eastAsia="Arial" w:cs="Arial"/>
      <w:b/>
      <w:bCs/>
      <w:sz w:val="22"/>
      <w:szCs w:val="22"/>
    </w:rPr>
  </w:style>
  <w:style w:type="character" w:styleId="Heading7Char">
    <w:name w:val="Heading 7 Char"/>
    <w:basedOn w:val="DefaultParagraphFont"/>
    <w:link w:val="797"/>
    <w:uiPriority w:val="9"/>
    <w:qFormat/>
    <w:rPr>
      <w:rFonts w:ascii="Arial" w:hAnsi="Arial" w:eastAsia="Arial" w:cs="Arial"/>
      <w:b/>
      <w:bCs/>
      <w:i/>
      <w:iCs/>
      <w:sz w:val="22"/>
      <w:szCs w:val="22"/>
    </w:rPr>
  </w:style>
  <w:style w:type="character" w:styleId="Heading8Char">
    <w:name w:val="Heading 8 Char"/>
    <w:basedOn w:val="DefaultParagraphFont"/>
    <w:link w:val="798"/>
    <w:uiPriority w:val="9"/>
    <w:qFormat/>
    <w:rPr>
      <w:rFonts w:ascii="Arial" w:hAnsi="Arial" w:eastAsia="Arial" w:cs="Arial"/>
      <w:i/>
      <w:iCs/>
      <w:sz w:val="22"/>
      <w:szCs w:val="22"/>
    </w:rPr>
  </w:style>
  <w:style w:type="character" w:styleId="Heading9Char">
    <w:name w:val="Heading 9 Char"/>
    <w:basedOn w:val="DefaultParagraphFont"/>
    <w:link w:val="799"/>
    <w:uiPriority w:val="9"/>
    <w:qFormat/>
    <w:rPr>
      <w:rFonts w:ascii="Arial" w:hAnsi="Arial" w:eastAsia="Arial" w:cs="Arial"/>
      <w:i/>
      <w:iCs/>
      <w:sz w:val="21"/>
      <w:szCs w:val="21"/>
    </w:rPr>
  </w:style>
  <w:style w:type="character" w:styleId="TitleChar">
    <w:name w:val="Title Char"/>
    <w:basedOn w:val="DefaultParagraphFont"/>
    <w:link w:val="834"/>
    <w:uiPriority w:val="10"/>
    <w:qFormat/>
    <w:rPr>
      <w:sz w:val="48"/>
      <w:szCs w:val="48"/>
    </w:rPr>
  </w:style>
  <w:style w:type="character" w:styleId="SubtitleChar">
    <w:name w:val="Subtitle Char"/>
    <w:basedOn w:val="DefaultParagraphFont"/>
    <w:link w:val="835"/>
    <w:uiPriority w:val="11"/>
    <w:qFormat/>
    <w:rPr>
      <w:sz w:val="24"/>
      <w:szCs w:val="24"/>
    </w:rPr>
  </w:style>
  <w:style w:type="character" w:styleId="QuoteChar">
    <w:name w:val="Quote Char"/>
    <w:link w:val="836"/>
    <w:uiPriority w:val="29"/>
    <w:qFormat/>
    <w:rPr>
      <w:i/>
    </w:rPr>
  </w:style>
  <w:style w:type="character" w:styleId="IntenseQuoteChar">
    <w:name w:val="Intense Quote Char"/>
    <w:link w:val="837"/>
    <w:uiPriority w:val="30"/>
    <w:qFormat/>
    <w:rPr>
      <w:i/>
    </w:rPr>
  </w:style>
  <w:style w:type="character" w:styleId="HeaderChar">
    <w:name w:val="Header Char"/>
    <w:basedOn w:val="DefaultParagraphFont"/>
    <w:link w:val="852"/>
    <w:uiPriority w:val="99"/>
    <w:qFormat/>
    <w:rPr/>
  </w:style>
  <w:style w:type="character" w:styleId="CaptionChar">
    <w:name w:val="Caption Char"/>
    <w:link w:val="860"/>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3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1"/>
    <w:uiPriority w:val="9"/>
    <w:qFormat/>
    <w:rPr>
      <w:rFonts w:ascii="Arial" w:hAnsi="Arial" w:eastAsia="Arial" w:cs="Arial"/>
      <w:sz w:val="40"/>
      <w:szCs w:val="40"/>
    </w:rPr>
  </w:style>
  <w:style w:type="character" w:styleId="Titre2Car" w:customStyle="1">
    <w:name w:val="Titre 2 Car"/>
    <w:basedOn w:val="DefaultParagraphFont"/>
    <w:link w:val="792"/>
    <w:uiPriority w:val="9"/>
    <w:qFormat/>
    <w:rPr>
      <w:rFonts w:ascii="Arial" w:hAnsi="Arial"/>
      <w:b/>
      <w:bCs/>
      <w:iCs/>
      <w:color w:val="666699"/>
      <w:sz w:val="22"/>
      <w:szCs w:val="28"/>
      <w:u w:val="single"/>
    </w:rPr>
  </w:style>
  <w:style w:type="character" w:styleId="Titre3Car" w:customStyle="1">
    <w:name w:val="Titre 3 Car"/>
    <w:basedOn w:val="DefaultParagraphFont"/>
    <w:link w:val="793"/>
    <w:uiPriority w:val="9"/>
    <w:qFormat/>
    <w:rPr>
      <w:rFonts w:ascii="Arial" w:hAnsi="Arial" w:eastAsia="Arial" w:cs="Arial"/>
      <w:sz w:val="30"/>
      <w:szCs w:val="30"/>
    </w:rPr>
  </w:style>
  <w:style w:type="character" w:styleId="Titre4Car" w:customStyle="1">
    <w:name w:val="Titre 4 Car"/>
    <w:basedOn w:val="DefaultParagraphFont"/>
    <w:link w:val="794"/>
    <w:uiPriority w:val="9"/>
    <w:qFormat/>
    <w:rPr>
      <w:rFonts w:ascii="Arial" w:hAnsi="Arial" w:eastAsia="Arial" w:cs="Arial"/>
      <w:b/>
      <w:bCs/>
      <w:sz w:val="26"/>
      <w:szCs w:val="26"/>
    </w:rPr>
  </w:style>
  <w:style w:type="character" w:styleId="Titre5Car" w:customStyle="1">
    <w:name w:val="Titre 5 Car"/>
    <w:basedOn w:val="DefaultParagraphFont"/>
    <w:link w:val="795"/>
    <w:uiPriority w:val="9"/>
    <w:qFormat/>
    <w:rPr>
      <w:rFonts w:ascii="Arial" w:hAnsi="Arial" w:eastAsia="Arial" w:cs="Arial"/>
      <w:b/>
      <w:bCs/>
      <w:sz w:val="24"/>
      <w:szCs w:val="24"/>
    </w:rPr>
  </w:style>
  <w:style w:type="character" w:styleId="Titre6Car" w:customStyle="1">
    <w:name w:val="Titre 6 Car"/>
    <w:basedOn w:val="DefaultParagraphFont"/>
    <w:link w:val="796"/>
    <w:uiPriority w:val="9"/>
    <w:qFormat/>
    <w:rPr>
      <w:rFonts w:ascii="Arial" w:hAnsi="Arial" w:eastAsia="Arial" w:cs="Arial"/>
      <w:b/>
      <w:bCs/>
      <w:sz w:val="22"/>
      <w:szCs w:val="22"/>
    </w:rPr>
  </w:style>
  <w:style w:type="character" w:styleId="Titre7Car" w:customStyle="1">
    <w:name w:val="Titre 7 Car"/>
    <w:basedOn w:val="DefaultParagraphFont"/>
    <w:link w:val="797"/>
    <w:uiPriority w:val="9"/>
    <w:qFormat/>
    <w:rPr>
      <w:rFonts w:ascii="Arial" w:hAnsi="Arial" w:eastAsia="Arial" w:cs="Arial"/>
      <w:b/>
      <w:bCs/>
      <w:i/>
      <w:iCs/>
      <w:sz w:val="22"/>
      <w:szCs w:val="22"/>
    </w:rPr>
  </w:style>
  <w:style w:type="character" w:styleId="Titre8Car" w:customStyle="1">
    <w:name w:val="Titre 8 Car"/>
    <w:basedOn w:val="DefaultParagraphFont"/>
    <w:link w:val="798"/>
    <w:uiPriority w:val="9"/>
    <w:qFormat/>
    <w:rPr>
      <w:rFonts w:ascii="Arial" w:hAnsi="Arial" w:eastAsia="Arial" w:cs="Arial"/>
      <w:i/>
      <w:iCs/>
      <w:sz w:val="22"/>
      <w:szCs w:val="22"/>
    </w:rPr>
  </w:style>
  <w:style w:type="character" w:styleId="Titre9Car" w:customStyle="1">
    <w:name w:val="Titre 9 Car"/>
    <w:basedOn w:val="DefaultParagraphFont"/>
    <w:link w:val="799"/>
    <w:uiPriority w:val="9"/>
    <w:qFormat/>
    <w:rPr>
      <w:rFonts w:ascii="Arial" w:hAnsi="Arial" w:eastAsia="Arial" w:cs="Arial"/>
      <w:i/>
      <w:iCs/>
      <w:sz w:val="21"/>
      <w:szCs w:val="21"/>
    </w:rPr>
  </w:style>
  <w:style w:type="character" w:styleId="TitreCar" w:customStyle="1">
    <w:name w:val="Titre Car"/>
    <w:basedOn w:val="DefaultParagraphFont"/>
    <w:link w:val="82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0"/>
    <w:uiPriority w:val="99"/>
    <w:qFormat/>
    <w:rPr/>
  </w:style>
  <w:style w:type="character" w:styleId="NotedebasdepageCar" w:customStyle="1">
    <w:name w:val="Note de bas de page Car"/>
    <w:link w:val="838"/>
    <w:uiPriority w:val="99"/>
    <w:qFormat/>
    <w:rPr>
      <w:sz w:val="18"/>
    </w:rPr>
  </w:style>
  <w:style w:type="character" w:styleId="NotedefinCar" w:customStyle="1">
    <w:name w:val="Note de fin Car"/>
    <w:link w:val="839"/>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46"/>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1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2"/>
    <w:uiPriority w:val="29"/>
    <w:qFormat/>
    <w:pPr>
      <w:ind w:left="720" w:right="720" w:hanging="0"/>
    </w:pPr>
    <w:rPr>
      <w:i/>
    </w:rPr>
  </w:style>
  <w:style w:type="paragraph" w:styleId="IntenseQuote">
    <w:name w:val="Intense Quote"/>
    <w:basedOn w:val="Normal"/>
    <w:link w:val="8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17"/>
    <w:uiPriority w:val="99"/>
    <w:semiHidden/>
    <w:unhideWhenUsed/>
    <w:qFormat/>
    <w:pPr>
      <w:spacing w:before="120" w:after="40"/>
    </w:pPr>
    <w:rPr>
      <w:sz w:val="18"/>
    </w:rPr>
  </w:style>
  <w:style w:type="paragraph" w:styleId="Notedefin">
    <w:name w:val="Endnote Text"/>
    <w:basedOn w:val="Normal"/>
    <w:link w:val="820"/>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25"/>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16"/>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BodyText3">
    <w:name w:val="Body Text 3"/>
    <w:basedOn w:val="Normal"/>
    <w:qFormat/>
    <w:pPr>
      <w:tabs>
        <w:tab w:val="clear" w:pos="706"/>
        <w:tab w:val="left" w:pos="960" w:leader="none"/>
      </w:tabs>
      <w:jc w:val="both"/>
    </w:pPr>
    <w:rPr>
      <w:rFonts w:ascii="Times New Roman" w:hAnsi="Times New Roman" w:cs="Times New Roman"/>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1588</TotalTime>
  <Application>LibreOffice/7.2.7.2$Windows_X86_64 LibreOffice_project/8d71d29d553c0f7dcbfa38fbfda25ee34cce99a2</Application>
  <AppVersion>15.0000</AppVersion>
  <Pages>20</Pages>
  <Words>4141</Words>
  <Characters>24037</Characters>
  <CharactersWithSpaces>26661</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2023-06-05T08:42:48Z</dcterms:created>
  <dc:creator>Apache POI</dc:creator>
  <dc:description/>
  <dc:language>fr-FR</dc:language>
  <cp:lastModifiedBy>LH</cp:lastModifiedBy>
  <cp:lastPrinted>2023-06-30T14:53:41Z</cp:lastPrinted>
  <dcterms:modified xsi:type="dcterms:W3CDTF">2023-07-12T10:42:48Z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