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Cahier des charges administratives particulières</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pPr>
      <w:r>
        <w:rPr>
          <w:rFonts w:cs="Arial"/>
          <w:color w:val="5B9BD5" w:themeColor="accent5"/>
          <w:sz w:val="36"/>
          <w:szCs w:val="36"/>
          <w:highlight w:val="white"/>
          <w:shd w:fill="FFFFFF" w:val="clear"/>
        </w:rPr>
        <w:t xml:space="preserve">MAPA DENRÉES ALIMENTAIRES - 2 LOTS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left" w:pos="3600" w:leader="none"/>
        </w:tabs>
        <w:ind w:left="3600" w:hanging="3600"/>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23_1289</w:t>
      </w:r>
    </w:p>
    <w:p>
      <w:pPr>
        <w:pStyle w:val="Standard"/>
        <w:rPr>
          <w:rFonts w:cs="Arial"/>
          <w:color w:val="000000"/>
          <w:sz w:val="24"/>
          <w:szCs w:val="24"/>
        </w:rPr>
      </w:pPr>
      <w:r>
        <w:rPr>
          <w:rFonts w:cs="Arial"/>
          <w:color w:val="000000"/>
          <w:sz w:val="24"/>
          <w:szCs w:val="24"/>
        </w:rPr>
      </w:r>
    </w:p>
    <w:p>
      <w:pPr>
        <w:pStyle w:val="Standard"/>
        <w:tabs>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ind w:left="3600" w:hanging="3600"/>
        <w:rPr>
          <w:color w:val="000000"/>
          <w:sz w:val="20"/>
          <w:szCs w:val="20"/>
        </w:rPr>
      </w:pPr>
      <w:r>
        <w:rPr>
          <w:color w:val="000000"/>
          <w:sz w:val="20"/>
          <w:szCs w:val="20"/>
        </w:rPr>
      </w:r>
    </w:p>
    <w:p>
      <w:pPr>
        <w:pStyle w:val="Standard"/>
        <w:rPr/>
      </w:pPr>
      <w:r>
        <w:rPr/>
      </w:r>
    </w:p>
    <w:p>
      <w:pPr>
        <w:pStyle w:val="TOAHeading"/>
        <w:rPr/>
      </w:pPr>
      <w:r>
        <w:rPr/>
        <w:t>Table des matières</w:t>
      </w:r>
    </w:p>
    <w:p>
      <w:pPr>
        <w:pStyle w:val="Tabledesmatiresniveau1"/>
        <w:tabs>
          <w:tab w:val="right" w:pos="8634" w:leader="dot"/>
          <w:tab w:val="right" w:pos="9637" w:leader="dot"/>
        </w:tabs>
        <w:rPr/>
      </w:pPr>
      <w:r>
        <w:fldChar w:fldCharType="begin"/>
      </w:r>
      <w:r>
        <w:instrText> TOC \f \o "1-9" \h</w:instrText>
      </w:r>
      <w:r>
        <w:fldChar w:fldCharType="separate"/>
      </w:r>
      <w:hyperlink w:anchor="__RefHeading___Toc15456_3955681305">
        <w:r>
          <w:rPr>
            <w:rStyle w:val="Sautdindex"/>
          </w:rPr>
          <w:t>Article 1 -  OBJET ET DUREE DU MARCHE</w:t>
          <w:tab/>
          <w:t>4</w:t>
        </w:r>
      </w:hyperlink>
    </w:p>
    <w:p>
      <w:pPr>
        <w:pStyle w:val="Tabledesmatiresniveau2"/>
        <w:tabs>
          <w:tab w:val="right" w:pos="8634" w:leader="dot"/>
        </w:tabs>
        <w:rPr/>
      </w:pPr>
      <w:hyperlink w:anchor="__RefHeading___Toc15458_3955681305">
        <w:r>
          <w:rPr>
            <w:rStyle w:val="Sautdindex"/>
          </w:rPr>
          <w:t>1.1  Intitulé et Objet des prestations</w:t>
          <w:tab/>
          <w:t>4</w:t>
        </w:r>
      </w:hyperlink>
    </w:p>
    <w:p>
      <w:pPr>
        <w:pStyle w:val="Tabledesmatiresniveau2"/>
        <w:tabs>
          <w:tab w:val="right" w:pos="8634" w:leader="dot"/>
        </w:tabs>
        <w:rPr/>
      </w:pPr>
      <w:hyperlink w:anchor="__RefHeading___Toc15460_3955681305">
        <w:r>
          <w:rPr>
            <w:rStyle w:val="Sautdindex"/>
          </w:rPr>
          <w:t>1.2  Procédure</w:t>
          <w:tab/>
          <w:t>4</w:t>
        </w:r>
      </w:hyperlink>
    </w:p>
    <w:p>
      <w:pPr>
        <w:pStyle w:val="Tabledesmatiresniveau2"/>
        <w:tabs>
          <w:tab w:val="right" w:pos="8634" w:leader="dot"/>
        </w:tabs>
        <w:rPr/>
      </w:pPr>
      <w:hyperlink w:anchor="__RefHeading___Toc15462_3955681305">
        <w:r>
          <w:rPr>
            <w:rStyle w:val="Sautdindex"/>
          </w:rPr>
          <w:t>1.3  Décomposition en Lots, Tranches et postes</w:t>
          <w:tab/>
          <w:t>4</w:t>
        </w:r>
      </w:hyperlink>
    </w:p>
    <w:p>
      <w:pPr>
        <w:pStyle w:val="Tabledesmatiresniveau3"/>
        <w:tabs>
          <w:tab w:val="right" w:pos="8634" w:leader="dot"/>
          <w:tab w:val="right" w:pos="9241" w:leader="dot"/>
        </w:tabs>
        <w:rPr/>
      </w:pPr>
      <w:hyperlink w:anchor="__RefHeading___Toc15464_3955681305">
        <w:r>
          <w:rPr>
            <w:rStyle w:val="Sautdindex"/>
          </w:rPr>
          <w:t>1.3.1  Décomposition en lots</w:t>
          <w:tab/>
          <w:t>4</w:t>
        </w:r>
      </w:hyperlink>
    </w:p>
    <w:p>
      <w:pPr>
        <w:pStyle w:val="Tabledesmatiresniveau3"/>
        <w:tabs>
          <w:tab w:val="right" w:pos="8634" w:leader="dot"/>
          <w:tab w:val="right" w:pos="9241" w:leader="dot"/>
        </w:tabs>
        <w:rPr/>
      </w:pPr>
      <w:hyperlink w:anchor="__RefHeading___Toc15466_3955681305">
        <w:r>
          <w:rPr>
            <w:rStyle w:val="Sautdindex"/>
          </w:rPr>
          <w:t>1.3.2  Décomposition en tranches</w:t>
          <w:tab/>
          <w:t>4</w:t>
        </w:r>
      </w:hyperlink>
    </w:p>
    <w:p>
      <w:pPr>
        <w:pStyle w:val="Tabledesmatiresniveau3"/>
        <w:tabs>
          <w:tab w:val="right" w:pos="8634" w:leader="dot"/>
          <w:tab w:val="right" w:pos="9241" w:leader="dot"/>
        </w:tabs>
        <w:rPr/>
      </w:pPr>
      <w:hyperlink w:anchor="__RefHeading___Toc15468_3955681305">
        <w:r>
          <w:rPr>
            <w:rStyle w:val="Sautdindex"/>
          </w:rPr>
          <w:t>1.3.3  Décomposition en postes</w:t>
          <w:tab/>
          <w:t>4</w:t>
        </w:r>
      </w:hyperlink>
    </w:p>
    <w:p>
      <w:pPr>
        <w:pStyle w:val="Tabledesmatiresniveau2"/>
        <w:tabs>
          <w:tab w:val="right" w:pos="8634" w:leader="dot"/>
        </w:tabs>
        <w:rPr/>
      </w:pPr>
      <w:hyperlink w:anchor="__RefHeading___Toc15470_3955681305">
        <w:r>
          <w:rPr>
            <w:rStyle w:val="Sautdindex"/>
          </w:rPr>
          <w:t>1.4  Modalités d'exécution des tranches optionnelles</w:t>
          <w:tab/>
          <w:t>4</w:t>
        </w:r>
      </w:hyperlink>
    </w:p>
    <w:p>
      <w:pPr>
        <w:pStyle w:val="Tabledesmatiresniveau2"/>
        <w:tabs>
          <w:tab w:val="right" w:pos="8634" w:leader="dot"/>
        </w:tabs>
        <w:rPr/>
      </w:pPr>
      <w:hyperlink w:anchor="__RefHeading___Toc15472_3955681305">
        <w:r>
          <w:rPr>
            <w:rStyle w:val="Sautdindex"/>
          </w:rPr>
          <w:t>1.5  Accord-cadre à bons de commande</w:t>
          <w:tab/>
          <w:t>4</w:t>
        </w:r>
      </w:hyperlink>
    </w:p>
    <w:p>
      <w:pPr>
        <w:pStyle w:val="Tabledesmatiresniveau2"/>
        <w:tabs>
          <w:tab w:val="right" w:pos="8634" w:leader="dot"/>
        </w:tabs>
        <w:rPr/>
      </w:pPr>
      <w:hyperlink w:anchor="__RefHeading___Toc15474_3955681305">
        <w:r>
          <w:rPr>
            <w:rStyle w:val="Sautdindex"/>
          </w:rPr>
          <w:t>1.6  Date d'effet du marché</w:t>
          <w:tab/>
          <w:t>5</w:t>
        </w:r>
      </w:hyperlink>
    </w:p>
    <w:p>
      <w:pPr>
        <w:pStyle w:val="Tabledesmatiresniveau2"/>
        <w:tabs>
          <w:tab w:val="right" w:pos="8634" w:leader="dot"/>
        </w:tabs>
        <w:rPr/>
      </w:pPr>
      <w:hyperlink w:anchor="__RefHeading___Toc15476_3955681305">
        <w:r>
          <w:rPr>
            <w:rStyle w:val="Sautdindex"/>
          </w:rPr>
          <w:t>1.7  Durée du marché - Période de validité</w:t>
          <w:tab/>
          <w:t>5</w:t>
        </w:r>
      </w:hyperlink>
    </w:p>
    <w:p>
      <w:pPr>
        <w:pStyle w:val="Tabledesmatiresniveau2"/>
        <w:tabs>
          <w:tab w:val="right" w:pos="8634" w:leader="dot"/>
        </w:tabs>
        <w:rPr/>
      </w:pPr>
      <w:hyperlink w:anchor="__RefHeading___Toc15478_3955681305">
        <w:r>
          <w:rPr>
            <w:rStyle w:val="Sautdindex"/>
          </w:rPr>
          <w:t>1.8  Clause obligatoire d'insertion par l'activité économique</w:t>
          <w:tab/>
          <w:t>5</w:t>
        </w:r>
      </w:hyperlink>
    </w:p>
    <w:p>
      <w:pPr>
        <w:pStyle w:val="Tabledesmatiresniveau2"/>
        <w:tabs>
          <w:tab w:val="right" w:pos="8634" w:leader="dot"/>
        </w:tabs>
        <w:rPr/>
      </w:pPr>
      <w:hyperlink w:anchor="__RefHeading___Toc15480_3955681305">
        <w:r>
          <w:rPr>
            <w:rStyle w:val="Sautdindex"/>
          </w:rPr>
          <w:t>1.9  Réemploi, réutilisation ou intégration de matières recyclées</w:t>
          <w:tab/>
          <w:t>5</w:t>
        </w:r>
      </w:hyperlink>
    </w:p>
    <w:p>
      <w:pPr>
        <w:pStyle w:val="Tabledesmatiresniveau1"/>
        <w:tabs>
          <w:tab w:val="right" w:pos="8634" w:leader="dot"/>
          <w:tab w:val="right" w:pos="9637" w:leader="dot"/>
        </w:tabs>
        <w:rPr/>
      </w:pPr>
      <w:hyperlink w:anchor="__RefHeading___Toc15482_3955681305">
        <w:r>
          <w:rPr>
            <w:rStyle w:val="Sautdindex"/>
          </w:rPr>
          <w:t>Article 2 -  DOCUMENTS CONTRACTUELS</w:t>
          <w:tab/>
          <w:t>5</w:t>
        </w:r>
      </w:hyperlink>
    </w:p>
    <w:p>
      <w:pPr>
        <w:pStyle w:val="Tabledesmatiresniveau1"/>
        <w:tabs>
          <w:tab w:val="right" w:pos="8634" w:leader="dot"/>
          <w:tab w:val="right" w:pos="9637" w:leader="dot"/>
        </w:tabs>
        <w:rPr/>
      </w:pPr>
      <w:hyperlink w:anchor="__RefHeading___Toc15484_3955681305">
        <w:r>
          <w:rPr>
            <w:rStyle w:val="Sautdindex"/>
          </w:rPr>
          <w:t>Article 3 -  DÉLAIS DE LIVRAISON ET/OU D’EXÉCUTION</w:t>
          <w:tab/>
          <w:t>6</w:t>
        </w:r>
      </w:hyperlink>
    </w:p>
    <w:p>
      <w:pPr>
        <w:pStyle w:val="Tabledesmatiresniveau2"/>
        <w:tabs>
          <w:tab w:val="right" w:pos="8634" w:leader="dot"/>
        </w:tabs>
        <w:rPr/>
      </w:pPr>
      <w:hyperlink w:anchor="__RefHeading___Toc15486_3955681305">
        <w:r>
          <w:rPr>
            <w:rStyle w:val="Sautdindex"/>
          </w:rPr>
          <w:t>3.1  Délais</w:t>
          <w:tab/>
          <w:t>6</w:t>
        </w:r>
      </w:hyperlink>
    </w:p>
    <w:p>
      <w:pPr>
        <w:pStyle w:val="Tabledesmatiresniveau2"/>
        <w:tabs>
          <w:tab w:val="right" w:pos="8634" w:leader="dot"/>
        </w:tabs>
        <w:rPr/>
      </w:pPr>
      <w:hyperlink w:anchor="__RefHeading___Toc15488_3955681305">
        <w:r>
          <w:rPr>
            <w:rStyle w:val="Sautdindex"/>
          </w:rPr>
          <w:t>3.2  Émission des bons de commande</w:t>
          <w:tab/>
          <w:t>6</w:t>
        </w:r>
      </w:hyperlink>
    </w:p>
    <w:p>
      <w:pPr>
        <w:pStyle w:val="Tabledesmatiresniveau1"/>
        <w:tabs>
          <w:tab w:val="right" w:pos="8634" w:leader="dot"/>
          <w:tab w:val="right" w:pos="9637" w:leader="dot"/>
        </w:tabs>
        <w:rPr/>
      </w:pPr>
      <w:hyperlink w:anchor="__RefHeading___Toc15490_3955681305">
        <w:r>
          <w:rPr>
            <w:rStyle w:val="Sautdindex"/>
          </w:rPr>
          <w:t>Article 4 -  ENTREPRISES GROUPÉES</w:t>
          <w:tab/>
          <w:t>6</w:t>
        </w:r>
      </w:hyperlink>
    </w:p>
    <w:p>
      <w:pPr>
        <w:pStyle w:val="Tabledesmatiresniveau1"/>
        <w:tabs>
          <w:tab w:val="right" w:pos="8634" w:leader="dot"/>
          <w:tab w:val="right" w:pos="9637" w:leader="dot"/>
        </w:tabs>
        <w:rPr/>
      </w:pPr>
      <w:hyperlink w:anchor="__RefHeading___Toc15492_3955681305">
        <w:r>
          <w:rPr>
            <w:rStyle w:val="Sautdindex"/>
          </w:rPr>
          <w:t>Article 5 -  CONDITIONS DE LIVRAISON ET D’EXÉCUTION</w:t>
          <w:tab/>
          <w:t>7</w:t>
        </w:r>
      </w:hyperlink>
    </w:p>
    <w:p>
      <w:pPr>
        <w:pStyle w:val="Tabledesmatiresniveau2"/>
        <w:tabs>
          <w:tab w:val="right" w:pos="8634" w:leader="dot"/>
        </w:tabs>
        <w:rPr/>
      </w:pPr>
      <w:hyperlink w:anchor="__RefHeading___Toc15494_3955681305">
        <w:r>
          <w:rPr>
            <w:rStyle w:val="Sautdindex"/>
          </w:rPr>
          <w:t>5.1  Transport et Emballages</w:t>
          <w:tab/>
          <w:t>7</w:t>
        </w:r>
      </w:hyperlink>
    </w:p>
    <w:p>
      <w:pPr>
        <w:pStyle w:val="Tabledesmatiresniveau2"/>
        <w:tabs>
          <w:tab w:val="right" w:pos="8634" w:leader="dot"/>
        </w:tabs>
        <w:rPr/>
      </w:pPr>
      <w:hyperlink w:anchor="__RefHeading___Toc15496_3955681305">
        <w:r>
          <w:rPr>
            <w:rStyle w:val="Sautdindex"/>
          </w:rPr>
          <w:t>5.2  Lieux d'exécution ou de livraison</w:t>
          <w:tab/>
          <w:t>7</w:t>
        </w:r>
      </w:hyperlink>
    </w:p>
    <w:p>
      <w:pPr>
        <w:pStyle w:val="Tabledesmatiresniveau1"/>
        <w:tabs>
          <w:tab w:val="right" w:pos="8634" w:leader="dot"/>
          <w:tab w:val="right" w:pos="9637" w:leader="dot"/>
        </w:tabs>
        <w:rPr/>
      </w:pPr>
      <w:hyperlink w:anchor="__RefHeading___Toc15498_3955681305">
        <w:r>
          <w:rPr>
            <w:rStyle w:val="Sautdindex"/>
          </w:rPr>
          <w:t>Article 6 -  CONDITIONS PARTICULIERES D'EXECUTION</w:t>
          <w:tab/>
          <w:t>7</w:t>
        </w:r>
      </w:hyperlink>
    </w:p>
    <w:p>
      <w:pPr>
        <w:pStyle w:val="Tabledesmatiresniveau1"/>
        <w:tabs>
          <w:tab w:val="right" w:pos="8634" w:leader="dot"/>
          <w:tab w:val="right" w:pos="9637" w:leader="dot"/>
        </w:tabs>
        <w:rPr/>
      </w:pPr>
      <w:hyperlink w:anchor="__RefHeading___Toc15500_3955681305">
        <w:r>
          <w:rPr>
            <w:rStyle w:val="Sautdindex"/>
          </w:rPr>
          <w:t>Article 7 -  OPERATIONS DE VERIFICATIONS / ADMISSION</w:t>
          <w:tab/>
          <w:t>7</w:t>
        </w:r>
      </w:hyperlink>
    </w:p>
    <w:p>
      <w:pPr>
        <w:pStyle w:val="Tabledesmatiresniveau2"/>
        <w:tabs>
          <w:tab w:val="right" w:pos="8634" w:leader="dot"/>
        </w:tabs>
        <w:rPr/>
      </w:pPr>
      <w:hyperlink w:anchor="__RefHeading___Toc15502_3955681305">
        <w:r>
          <w:rPr>
            <w:rStyle w:val="Sautdindex"/>
          </w:rPr>
          <w:t>7.1  Vérifications</w:t>
          <w:tab/>
          <w:t>7</w:t>
        </w:r>
      </w:hyperlink>
    </w:p>
    <w:p>
      <w:pPr>
        <w:pStyle w:val="Tabledesmatiresniveau2"/>
        <w:tabs>
          <w:tab w:val="right" w:pos="8634" w:leader="dot"/>
        </w:tabs>
        <w:rPr/>
      </w:pPr>
      <w:hyperlink w:anchor="__RefHeading___Toc15504_3955681305">
        <w:r>
          <w:rPr>
            <w:rStyle w:val="Sautdindex"/>
          </w:rPr>
          <w:t>7.2  Admission</w:t>
          <w:tab/>
          <w:t>8</w:t>
        </w:r>
      </w:hyperlink>
    </w:p>
    <w:p>
      <w:pPr>
        <w:pStyle w:val="Tabledesmatiresniveau1"/>
        <w:tabs>
          <w:tab w:val="right" w:pos="8634" w:leader="dot"/>
          <w:tab w:val="right" w:pos="9637" w:leader="dot"/>
        </w:tabs>
        <w:rPr/>
      </w:pPr>
      <w:hyperlink w:anchor="__RefHeading___Toc15506_3955681305">
        <w:r>
          <w:rPr>
            <w:rStyle w:val="Sautdindex"/>
          </w:rPr>
          <w:t>Article 8 -  GARANTIE CONTRACTUELLE</w:t>
          <w:tab/>
          <w:t>8</w:t>
        </w:r>
      </w:hyperlink>
    </w:p>
    <w:p>
      <w:pPr>
        <w:pStyle w:val="Tabledesmatiresniveau2"/>
        <w:tabs>
          <w:tab w:val="right" w:pos="8634" w:leader="dot"/>
        </w:tabs>
        <w:rPr/>
      </w:pPr>
      <w:hyperlink w:anchor="__RefHeading___Toc15508_3955681305">
        <w:r>
          <w:rPr>
            <w:rStyle w:val="Sautdindex"/>
          </w:rPr>
          <w:t>8.1  Durée de garantie</w:t>
          <w:tab/>
          <w:t>8</w:t>
        </w:r>
      </w:hyperlink>
    </w:p>
    <w:p>
      <w:pPr>
        <w:pStyle w:val="Tabledesmatiresniveau2"/>
        <w:tabs>
          <w:tab w:val="right" w:pos="8634" w:leader="dot"/>
        </w:tabs>
        <w:rPr/>
      </w:pPr>
      <w:hyperlink w:anchor="__RefHeading___Toc15510_3955681305">
        <w:r>
          <w:rPr>
            <w:rStyle w:val="Sautdindex"/>
          </w:rPr>
          <w:t>8.2  Point de départ de la garantie</w:t>
          <w:tab/>
          <w:t>8</w:t>
        </w:r>
      </w:hyperlink>
    </w:p>
    <w:p>
      <w:pPr>
        <w:pStyle w:val="Tabledesmatiresniveau1"/>
        <w:tabs>
          <w:tab w:val="right" w:pos="8634" w:leader="dot"/>
          <w:tab w:val="right" w:pos="9637" w:leader="dot"/>
        </w:tabs>
        <w:rPr/>
      </w:pPr>
      <w:hyperlink w:anchor="__RefHeading___Toc15512_3955681305">
        <w:r>
          <w:rPr>
            <w:rStyle w:val="Sautdindex"/>
          </w:rPr>
          <w:t>Article 9 -  PROPRIETE INTELLECTUELLE ET UTILISATION DES RESULTATS</w:t>
          <w:tab/>
          <w:t>8</w:t>
        </w:r>
      </w:hyperlink>
    </w:p>
    <w:p>
      <w:pPr>
        <w:pStyle w:val="Tabledesmatiresniveau1"/>
        <w:tabs>
          <w:tab w:val="right" w:pos="8634" w:leader="dot"/>
          <w:tab w:val="right" w:pos="9637" w:leader="dot"/>
        </w:tabs>
        <w:rPr/>
      </w:pPr>
      <w:hyperlink w:anchor="__RefHeading___Toc15514_3955681305">
        <w:r>
          <w:rPr>
            <w:rStyle w:val="Sautdindex"/>
          </w:rPr>
          <w:t>Article 10 -  CONFIDENTIALITE ET MESURES DE SECURITE</w:t>
          <w:tab/>
          <w:t>8</w:t>
        </w:r>
      </w:hyperlink>
    </w:p>
    <w:p>
      <w:pPr>
        <w:pStyle w:val="Tabledesmatiresniveau1"/>
        <w:tabs>
          <w:tab w:val="right" w:pos="8634" w:leader="dot"/>
          <w:tab w:val="right" w:pos="9637" w:leader="dot"/>
        </w:tabs>
        <w:rPr/>
      </w:pPr>
      <w:hyperlink w:anchor="__RefHeading___Toc15516_3955681305">
        <w:r>
          <w:rPr>
            <w:rStyle w:val="Sautdindex"/>
          </w:rPr>
          <w:t>Article 11 -  MODALITES DE DETERMINATION DES PRIX</w:t>
          <w:tab/>
          <w:t>8</w:t>
        </w:r>
      </w:hyperlink>
    </w:p>
    <w:p>
      <w:pPr>
        <w:pStyle w:val="Tabledesmatiresniveau2"/>
        <w:tabs>
          <w:tab w:val="right" w:pos="8634" w:leader="dot"/>
        </w:tabs>
        <w:rPr/>
      </w:pPr>
      <w:hyperlink w:anchor="__RefHeading___Toc15518_3955681305">
        <w:r>
          <w:rPr>
            <w:rStyle w:val="Sautdindex"/>
          </w:rPr>
          <w:t>11.1  Nature du prix</w:t>
          <w:tab/>
          <w:t>8</w:t>
        </w:r>
      </w:hyperlink>
    </w:p>
    <w:p>
      <w:pPr>
        <w:pStyle w:val="Tabledesmatiresniveau2"/>
        <w:tabs>
          <w:tab w:val="right" w:pos="8634" w:leader="dot"/>
        </w:tabs>
        <w:rPr/>
      </w:pPr>
      <w:hyperlink w:anchor="__RefHeading___Toc15520_3955681305">
        <w:r>
          <w:rPr>
            <w:rStyle w:val="Sautdindex"/>
          </w:rPr>
          <w:t>11.2  Variations de prix</w:t>
          <w:tab/>
          <w:t>9</w:t>
        </w:r>
      </w:hyperlink>
    </w:p>
    <w:p>
      <w:pPr>
        <w:pStyle w:val="Tabledesmatiresniveau2"/>
        <w:tabs>
          <w:tab w:val="right" w:pos="8634" w:leader="dot"/>
        </w:tabs>
        <w:rPr/>
      </w:pPr>
      <w:r>
        <w:rPr/>
        <w:t>11.3  Clause butoir et clause de sauvegarde …………………………..………………………………………..9</w:t>
      </w:r>
    </w:p>
    <w:p>
      <w:pPr>
        <w:pStyle w:val="Tabledesmatiresniveau1"/>
        <w:tabs>
          <w:tab w:val="right" w:pos="8634" w:leader="dot"/>
          <w:tab w:val="right" w:pos="9637" w:leader="dot"/>
        </w:tabs>
        <w:rPr/>
      </w:pPr>
      <w:hyperlink w:anchor="__RefHeading___Toc15522_3955681305">
        <w:r>
          <w:rPr>
            <w:rStyle w:val="Sautdindex"/>
          </w:rPr>
          <w:t>Article 12 -  AVANCE</w:t>
          <w:tab/>
          <w:t>9</w:t>
        </w:r>
      </w:hyperlink>
    </w:p>
    <w:p>
      <w:pPr>
        <w:pStyle w:val="Tabledesmatiresniveau1"/>
        <w:tabs>
          <w:tab w:val="right" w:pos="8634" w:leader="dot"/>
          <w:tab w:val="right" w:pos="9637" w:leader="dot"/>
        </w:tabs>
        <w:rPr/>
      </w:pPr>
      <w:hyperlink w:anchor="__RefHeading___Toc15524_3955681305">
        <w:r>
          <w:rPr>
            <w:rStyle w:val="Sautdindex"/>
          </w:rPr>
          <w:t>Article 13 -  MODALITÉS DE REGLEMENT</w:t>
          <w:tab/>
          <w:t>10</w:t>
        </w:r>
      </w:hyperlink>
    </w:p>
    <w:p>
      <w:pPr>
        <w:pStyle w:val="Tabledesmatiresniveau1"/>
        <w:tabs>
          <w:tab w:val="right" w:pos="8634" w:leader="dot"/>
          <w:tab w:val="right" w:pos="9637" w:leader="dot"/>
        </w:tabs>
        <w:rPr/>
      </w:pPr>
      <w:hyperlink w:anchor="__RefHeading___Toc15526_3955681305">
        <w:r>
          <w:rPr>
            <w:rStyle w:val="Sautdindex"/>
          </w:rPr>
          <w:t>Article 14 -  PAIEMENT ET ETABLISSEMENT DE LA FACTURE</w:t>
          <w:tab/>
          <w:t>10</w:t>
        </w:r>
      </w:hyperlink>
    </w:p>
    <w:p>
      <w:pPr>
        <w:pStyle w:val="Tabledesmatiresniveau2"/>
        <w:tabs>
          <w:tab w:val="right" w:pos="8634" w:leader="dot"/>
        </w:tabs>
        <w:rPr/>
      </w:pPr>
      <w:hyperlink w:anchor="__RefHeading___Toc15528_3955681305">
        <w:r>
          <w:rPr>
            <w:rStyle w:val="Sautdindex"/>
          </w:rPr>
          <w:t>14.1  Délais de paiements</w:t>
          <w:tab/>
          <w:t>10</w:t>
        </w:r>
      </w:hyperlink>
    </w:p>
    <w:p>
      <w:pPr>
        <w:pStyle w:val="Tabledesmatiresniveau2"/>
        <w:tabs>
          <w:tab w:val="right" w:pos="8634" w:leader="dot"/>
        </w:tabs>
        <w:rPr/>
      </w:pPr>
      <w:hyperlink w:anchor="__RefHeading___Toc15530_3955681305">
        <w:r>
          <w:rPr>
            <w:rStyle w:val="Sautdindex"/>
          </w:rPr>
          <w:t>14.2  Intérêts moratoires</w:t>
          <w:tab/>
          <w:t>10</w:t>
        </w:r>
      </w:hyperlink>
    </w:p>
    <w:p>
      <w:pPr>
        <w:pStyle w:val="Tabledesmatiresniveau2"/>
        <w:tabs>
          <w:tab w:val="right" w:pos="8634" w:leader="dot"/>
        </w:tabs>
        <w:rPr/>
      </w:pPr>
      <w:hyperlink w:anchor="__RefHeading___Toc15532_3955681305">
        <w:r>
          <w:rPr>
            <w:rStyle w:val="Sautdindex"/>
          </w:rPr>
          <w:t>14.3  Modalités de paiement direct des sous-traitants</w:t>
          <w:tab/>
          <w:t>10</w:t>
        </w:r>
      </w:hyperlink>
    </w:p>
    <w:p>
      <w:pPr>
        <w:pStyle w:val="Tabledesmatiresniveau2"/>
        <w:tabs>
          <w:tab w:val="right" w:pos="8634" w:leader="dot"/>
        </w:tabs>
        <w:rPr/>
      </w:pPr>
      <w:hyperlink w:anchor="__RefHeading___Toc15534_3955681305">
        <w:r>
          <w:rPr>
            <w:rStyle w:val="Sautdindex"/>
          </w:rPr>
          <w:t>14.4  Présentation des demandes de paiement</w:t>
          <w:tab/>
          <w:t>10</w:t>
        </w:r>
      </w:hyperlink>
    </w:p>
    <w:p>
      <w:pPr>
        <w:pStyle w:val="Tabledesmatiresniveau2"/>
        <w:tabs>
          <w:tab w:val="right" w:pos="8634" w:leader="dot"/>
        </w:tabs>
        <w:rPr/>
      </w:pPr>
      <w:hyperlink w:anchor="__RefHeading___Toc15536_3955681305">
        <w:r>
          <w:rPr>
            <w:rStyle w:val="Sautdindex"/>
          </w:rPr>
          <w:t>14.5  Dématérialisation des factures</w:t>
          <w:tab/>
          <w:t>11</w:t>
        </w:r>
      </w:hyperlink>
    </w:p>
    <w:p>
      <w:pPr>
        <w:pStyle w:val="Tabledesmatiresniveau1"/>
        <w:tabs>
          <w:tab w:val="right" w:pos="8634" w:leader="dot"/>
          <w:tab w:val="right" w:pos="9637" w:leader="dot"/>
        </w:tabs>
        <w:rPr/>
      </w:pPr>
      <w:hyperlink w:anchor="__RefHeading___Toc15538_3955681305">
        <w:r>
          <w:rPr>
            <w:rStyle w:val="Sautdindex"/>
          </w:rPr>
          <w:t>Article 15 -  PENALITES</w:t>
          <w:tab/>
          <w:t>12</w:t>
        </w:r>
      </w:hyperlink>
    </w:p>
    <w:p>
      <w:pPr>
        <w:pStyle w:val="Tabledesmatiresniveau2"/>
        <w:tabs>
          <w:tab w:val="right" w:pos="8634" w:leader="dot"/>
        </w:tabs>
        <w:rPr/>
      </w:pPr>
      <w:hyperlink w:anchor="__RefHeading___Toc15540_3955681305">
        <w:r>
          <w:rPr>
            <w:rStyle w:val="Sautdindex"/>
          </w:rPr>
          <w:t>15.1  Pénalités de retard</w:t>
          <w:tab/>
          <w:t>12</w:t>
        </w:r>
      </w:hyperlink>
    </w:p>
    <w:p>
      <w:pPr>
        <w:pStyle w:val="Tabledesmatiresniveau2"/>
        <w:tabs>
          <w:tab w:val="right" w:pos="8634" w:leader="dot"/>
        </w:tabs>
        <w:rPr/>
      </w:pPr>
      <w:hyperlink w:anchor="__RefHeading___Toc15542_3955681305">
        <w:r>
          <w:rPr>
            <w:rStyle w:val="Sautdindex"/>
          </w:rPr>
          <w:t>15.2  Pénalités pour non respect des obligations environnementales du titulaire</w:t>
          <w:tab/>
          <w:t>12</w:t>
        </w:r>
      </w:hyperlink>
    </w:p>
    <w:p>
      <w:pPr>
        <w:pStyle w:val="Tabledesmatiresniveau2"/>
        <w:tabs>
          <w:tab w:val="right" w:pos="8634" w:leader="dot"/>
        </w:tabs>
        <w:rPr/>
      </w:pPr>
      <w:hyperlink w:anchor="__RefHeading___Toc15544_3955681305">
        <w:r>
          <w:rPr>
            <w:rStyle w:val="Sautdindex"/>
          </w:rPr>
          <w:t>15.3  Pénalités pour non respect des dispositions du Code du Travail</w:t>
          <w:tab/>
          <w:t>13</w:t>
        </w:r>
      </w:hyperlink>
    </w:p>
    <w:p>
      <w:pPr>
        <w:pStyle w:val="Tabledesmatiresniveau2"/>
        <w:tabs>
          <w:tab w:val="right" w:pos="8634" w:leader="dot"/>
        </w:tabs>
        <w:rPr/>
      </w:pPr>
      <w:hyperlink w:anchor="__RefHeading___Toc15546_3955681305">
        <w:r>
          <w:rPr>
            <w:rStyle w:val="Sautdindex"/>
          </w:rPr>
          <w:t>15.4  Autres pénalités</w:t>
          <w:tab/>
          <w:t>13</w:t>
        </w:r>
      </w:hyperlink>
    </w:p>
    <w:p>
      <w:pPr>
        <w:pStyle w:val="Tabledesmatiresniveau1"/>
        <w:tabs>
          <w:tab w:val="right" w:pos="8634" w:leader="dot"/>
          <w:tab w:val="right" w:pos="9637" w:leader="dot"/>
        </w:tabs>
        <w:rPr/>
      </w:pPr>
      <w:hyperlink w:anchor="__RefHeading___Toc15548_3955681305">
        <w:r>
          <w:rPr>
            <w:rStyle w:val="Sautdindex"/>
          </w:rPr>
          <w:t>Article 16 -  RESILIATION ET EXECUTION DES PRESTATIONS AUX FRAIS ET RISQUES DU TITULAIRE</w:t>
          <w:tab/>
          <w:t>13</w:t>
        </w:r>
      </w:hyperlink>
    </w:p>
    <w:p>
      <w:pPr>
        <w:pStyle w:val="Tabledesmatiresniveau1"/>
        <w:tabs>
          <w:tab w:val="right" w:pos="8634" w:leader="dot"/>
          <w:tab w:val="right" w:pos="9637" w:leader="dot"/>
        </w:tabs>
        <w:rPr/>
      </w:pPr>
      <w:hyperlink w:anchor="__RefHeading___Toc15550_3955681305">
        <w:r>
          <w:rPr>
            <w:rStyle w:val="Sautdindex"/>
          </w:rPr>
          <w:t>Article 17 -  CLAUSES DE GESTION DES DONNEES</w:t>
          <w:tab/>
          <w:t>13</w:t>
        </w:r>
      </w:hyperlink>
    </w:p>
    <w:p>
      <w:pPr>
        <w:pStyle w:val="Tabledesmatiresniveau2"/>
        <w:tabs>
          <w:tab w:val="right" w:pos="8634" w:leader="dot"/>
        </w:tabs>
        <w:rPr/>
      </w:pPr>
      <w:hyperlink w:anchor="__RefHeading___Toc15552_3955681305">
        <w:r>
          <w:rPr>
            <w:rStyle w:val="Sautdindex"/>
          </w:rPr>
          <w:t>17.1  Les contraintes réglementaires</w:t>
          <w:tab/>
          <w:t>13</w:t>
        </w:r>
      </w:hyperlink>
    </w:p>
    <w:p>
      <w:pPr>
        <w:pStyle w:val="Tabledesmatiresniveau3"/>
        <w:tabs>
          <w:tab w:val="right" w:pos="8634" w:leader="dot"/>
          <w:tab w:val="right" w:pos="9241" w:leader="dot"/>
        </w:tabs>
        <w:rPr/>
      </w:pPr>
      <w:hyperlink w:anchor="__RefHeading___Toc15554_3955681305">
        <w:r>
          <w:rPr>
            <w:rStyle w:val="Sautdindex"/>
          </w:rPr>
          <w:t>17.1.1  Le RGS</w:t>
          <w:tab/>
          <w:t>13</w:t>
        </w:r>
      </w:hyperlink>
    </w:p>
    <w:p>
      <w:pPr>
        <w:pStyle w:val="Tabledesmatiresniveau3"/>
        <w:tabs>
          <w:tab w:val="right" w:pos="8634" w:leader="dot"/>
          <w:tab w:val="right" w:pos="9241" w:leader="dot"/>
        </w:tabs>
        <w:rPr/>
      </w:pPr>
      <w:hyperlink w:anchor="__RefHeading___Toc15556_3955681305">
        <w:r>
          <w:rPr>
            <w:rStyle w:val="Sautdindex"/>
          </w:rPr>
          <w:t>17.1.2  Le Règlement Général sur la Protection des Données (RGPD)</w:t>
          <w:tab/>
          <w:t>14</w:t>
        </w:r>
      </w:hyperlink>
    </w:p>
    <w:p>
      <w:pPr>
        <w:pStyle w:val="Tabledesmatiresniveau3"/>
        <w:tabs>
          <w:tab w:val="right" w:pos="8634" w:leader="dot"/>
          <w:tab w:val="right" w:pos="9241" w:leader="dot"/>
        </w:tabs>
        <w:rPr/>
      </w:pPr>
      <w:hyperlink w:anchor="__RefHeading___Toc15558_3955681305">
        <w:r>
          <w:rPr>
            <w:rStyle w:val="Sautdindex"/>
          </w:rPr>
          <w:t>17.1.3  Le Code du Patrimoine</w:t>
          <w:tab/>
          <w:t>14</w:t>
        </w:r>
      </w:hyperlink>
    </w:p>
    <w:p>
      <w:pPr>
        <w:pStyle w:val="Tabledesmatiresniveau2"/>
        <w:tabs>
          <w:tab w:val="right" w:pos="8634" w:leader="dot"/>
        </w:tabs>
        <w:rPr/>
      </w:pPr>
      <w:hyperlink w:anchor="__RefHeading___Toc15560_3955681305">
        <w:r>
          <w:rPr>
            <w:rStyle w:val="Sautdindex"/>
          </w:rPr>
          <w:t>17.2  Les clauses générales de confidentialité</w:t>
          <w:tab/>
          <w:t>14</w:t>
        </w:r>
      </w:hyperlink>
    </w:p>
    <w:p>
      <w:pPr>
        <w:pStyle w:val="Tabledesmatiresniveau2"/>
        <w:tabs>
          <w:tab w:val="right" w:pos="8634" w:leader="dot"/>
        </w:tabs>
        <w:rPr/>
      </w:pPr>
      <w:hyperlink w:anchor="__RefHeading___Toc15562_3955681305">
        <w:r>
          <w:rPr>
            <w:rStyle w:val="Sautdindex"/>
          </w:rPr>
          <w:t>17.3  Les contrôles</w:t>
          <w:tab/>
          <w:t>15</w:t>
        </w:r>
      </w:hyperlink>
    </w:p>
    <w:p>
      <w:pPr>
        <w:pStyle w:val="Tabledesmatiresniveau2"/>
        <w:tabs>
          <w:tab w:val="right" w:pos="8634" w:leader="dot"/>
        </w:tabs>
        <w:rPr/>
      </w:pPr>
      <w:hyperlink w:anchor="__RefHeading___Toc15564_3955681305">
        <w:r>
          <w:rPr>
            <w:rStyle w:val="Sautdindex"/>
          </w:rPr>
          <w:t>17.4  Phase de réversibilité</w:t>
          <w:tab/>
          <w:t>15</w:t>
        </w:r>
      </w:hyperlink>
    </w:p>
    <w:p>
      <w:pPr>
        <w:pStyle w:val="Tabledesmatiresniveau1"/>
        <w:tabs>
          <w:tab w:val="right" w:pos="8634" w:leader="dot"/>
          <w:tab w:val="right" w:pos="9637" w:leader="dot"/>
        </w:tabs>
        <w:rPr/>
      </w:pPr>
      <w:hyperlink w:anchor="__RefHeading___Toc15566_3955681305">
        <w:r>
          <w:rPr>
            <w:rStyle w:val="Sautdindex"/>
          </w:rPr>
          <w:t>Article 18 -  LOGICIEL E-ATTESTATIONS</w:t>
          <w:tab/>
          <w:t>16</w:t>
        </w:r>
      </w:hyperlink>
    </w:p>
    <w:p>
      <w:pPr>
        <w:pStyle w:val="Tabledesmatiresniveau1"/>
        <w:tabs>
          <w:tab w:val="right" w:pos="8634" w:leader="dot"/>
          <w:tab w:val="right" w:pos="9637" w:leader="dot"/>
        </w:tabs>
        <w:rPr/>
      </w:pPr>
      <w:hyperlink w:anchor="__RefHeading___Toc15568_3955681305">
        <w:r>
          <w:rPr>
            <w:rStyle w:val="Sautdindex"/>
          </w:rPr>
          <w:t>Article 19 -  LOI APPLICABLE</w:t>
          <w:tab/>
          <w:t>16</w:t>
        </w:r>
      </w:hyperlink>
    </w:p>
    <w:p>
      <w:pPr>
        <w:pStyle w:val="Tabledesmatiresniveau1"/>
        <w:tabs>
          <w:tab w:val="right" w:pos="8634" w:leader="dot"/>
          <w:tab w:val="right" w:pos="9637" w:leader="dot"/>
        </w:tabs>
        <w:rPr/>
      </w:pPr>
      <w:hyperlink w:anchor="__RefHeading___Toc15570_3955681305">
        <w:r>
          <w:rPr>
            <w:rStyle w:val="Sautdindex"/>
          </w:rPr>
          <w:t>Article 20 -  CONFORMITE AUX NORMES</w:t>
          <w:tab/>
          <w:t>16</w:t>
        </w:r>
      </w:hyperlink>
    </w:p>
    <w:p>
      <w:pPr>
        <w:pStyle w:val="Tabledesmatiresniveau1"/>
        <w:tabs>
          <w:tab w:val="right" w:pos="8634" w:leader="dot"/>
          <w:tab w:val="right" w:pos="9637" w:leader="dot"/>
        </w:tabs>
        <w:rPr/>
      </w:pPr>
      <w:hyperlink w:anchor="__RefHeading___Toc15572_3955681305">
        <w:r>
          <w:rPr>
            <w:rStyle w:val="Sautdindex"/>
          </w:rPr>
          <w:t>Article 21 -  ASSURANCES</w:t>
          <w:tab/>
          <w:t>16</w:t>
        </w:r>
      </w:hyperlink>
    </w:p>
    <w:p>
      <w:pPr>
        <w:pStyle w:val="Tabledesmatiresniveau1"/>
        <w:tabs>
          <w:tab w:val="right" w:pos="8634" w:leader="dot"/>
          <w:tab w:val="right" w:pos="9637" w:leader="dot"/>
        </w:tabs>
        <w:rPr/>
      </w:pPr>
      <w:hyperlink w:anchor="__RefHeading___Toc15574_3955681305">
        <w:r>
          <w:rPr>
            <w:rStyle w:val="Sautdindex"/>
          </w:rPr>
          <w:t>Article 22 -  DEROGATIONS AUX DOCUMENTS GENERAUX</w:t>
          <w:tab/>
          <w:t>17</w:t>
        </w:r>
      </w:hyperlink>
      <w:r>
        <w:fldChar w:fldCharType="end"/>
      </w:r>
    </w:p>
    <w:p>
      <w:pPr>
        <w:pStyle w:val="Normal"/>
        <w:widowControl w:val="false"/>
        <w:spacing w:before="0" w:after="0"/>
        <w:jc w:val="left"/>
        <w:rPr>
          <w:rStyle w:val="LienInternet"/>
        </w:rPr>
      </w:pPr>
      <w:r>
        <w:rPr/>
      </w:r>
      <w:r>
        <w:br w:type="page"/>
      </w:r>
    </w:p>
    <w:p>
      <w:pPr>
        <w:pStyle w:val="Titre1"/>
        <w:numPr>
          <w:ilvl w:val="0"/>
          <w:numId w:val="2"/>
        </w:numPr>
        <w:rPr/>
      </w:pPr>
      <w:bookmarkStart w:id="1" w:name="__RefNumPara__125210_1619095310"/>
      <w:bookmarkStart w:id="2" w:name="__RefHeading___Toc15456_3955681305"/>
      <w:bookmarkStart w:id="3" w:name="_Toc3844"/>
      <w:bookmarkEnd w:id="1"/>
      <w:bookmarkEnd w:id="2"/>
      <w:bookmarkEnd w:id="3"/>
      <w:r>
        <w:rPr/>
        <w:t>OBJET ET DUREE DU MARCHE</w:t>
      </w:r>
    </w:p>
    <w:p>
      <w:pPr>
        <w:pStyle w:val="Titre2"/>
        <w:numPr>
          <w:ilvl w:val="1"/>
          <w:numId w:val="2"/>
        </w:numPr>
        <w:rPr/>
      </w:pPr>
      <w:bookmarkStart w:id="4" w:name="__RefHeading___Toc15458_3955681305"/>
      <w:bookmarkStart w:id="5" w:name="_Toc3845"/>
      <w:bookmarkEnd w:id="4"/>
      <w:bookmarkEnd w:id="5"/>
      <w:r>
        <w:rPr/>
        <w:t>Intitulé et Objet des prestations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Intitulé de la consultation :</w:t>
      </w:r>
    </w:p>
    <w:p>
      <w:pPr>
        <w:pStyle w:val="Normal"/>
        <w:rPr/>
      </w:pPr>
      <w:r>
        <w:rPr>
          <w:rStyle w:val="Policepardfaut"/>
          <w:rFonts w:eastAsia="arial" w:cs="Arial"/>
          <w:b w:val="false"/>
          <w:bCs w:val="false"/>
          <w:i w:val="false"/>
          <w:iCs w:val="false"/>
          <w:color w:val="000000"/>
          <w:sz w:val="20"/>
          <w:szCs w:val="20"/>
          <w:u w:val="none"/>
          <w:shd w:fill="FFFFFF" w:val="clear"/>
          <w:lang w:val="fr-FR"/>
        </w:rPr>
        <w:t>MAPA DENREES ALIMENTAIRES – 2 LOTS</w:t>
      </w:r>
      <w:r>
        <w:rPr>
          <w:rFonts w:eastAsia="arial" w:cs="arial"/>
          <w:b w:val="false"/>
          <w:i w:val="false"/>
          <w:iCs w:val="false"/>
          <w:color w:val="000000"/>
          <w:sz w:val="20"/>
          <w:szCs w:val="20"/>
          <w:u w:val="none"/>
          <w:shd w:fill="FFFFFF" w:val="clear"/>
        </w:rPr>
        <w:t xml:space="preserve"> </w:t>
      </w:r>
    </w:p>
    <w:p>
      <w:pPr>
        <w:pStyle w:val="Normal"/>
        <w:rPr>
          <w:rFonts w:ascii="Arial" w:hAnsi="Arial" w:eastAsia="arial" w:cs="arial"/>
          <w:b w:val="false"/>
          <w:b w:val="false"/>
          <w:i w:val="false"/>
          <w:i w:val="false"/>
          <w:iCs w:val="false"/>
          <w:color w:val="000000"/>
          <w:sz w:val="20"/>
          <w:szCs w:val="20"/>
          <w:highlight w:val="white"/>
          <w:u w:val="none"/>
        </w:rPr>
      </w:pPr>
      <w:r>
        <w:rPr>
          <w:rFonts w:eastAsia="arial" w:cs="arial"/>
          <w:b w:val="false"/>
          <w:i w:val="false"/>
          <w:iCs w:val="false"/>
          <w:color w:val="000000"/>
          <w:sz w:val="20"/>
          <w:szCs w:val="20"/>
          <w:highlight w:val="white"/>
          <w:u w:val="none"/>
        </w:rPr>
      </w:r>
    </w:p>
    <w:p>
      <w:pPr>
        <w:pStyle w:val="Normal"/>
        <w:keepNext w:val="true"/>
        <w:keepLines/>
        <w:spacing w:before="0" w:after="0"/>
        <w:ind w:left="0" w:right="0" w:hanging="0"/>
        <w:jc w:val="both"/>
        <w:textAlignment w:val="center"/>
        <w:rPr/>
      </w:pPr>
      <w:r>
        <w:rPr>
          <w:rFonts w:eastAsia="arial" w:cs="arial" w:ascii="arial" w:hAnsi="arial"/>
          <w:b w:val="false"/>
          <w:bCs w:val="false"/>
          <w:i w:val="false"/>
          <w:color w:val="000000"/>
          <w:sz w:val="20"/>
          <w:szCs w:val="21"/>
          <w:u w:val="none"/>
          <w:shd w:fill="FFFFFF" w:val="clear"/>
          <w:lang w:val="zxx" w:eastAsia="zxx" w:bidi="zxx"/>
        </w:rPr>
        <w:t xml:space="preserve">La présente consultation a pour objet : </w:t>
      </w:r>
      <w:r>
        <w:rPr>
          <w:rFonts w:eastAsia="arial" w:cs="arial" w:ascii="arial" w:hAnsi="arial"/>
          <w:b w:val="false"/>
          <w:bCs w:val="false"/>
          <w:i w:val="false"/>
          <w:color w:val="000000"/>
          <w:sz w:val="20"/>
          <w:szCs w:val="21"/>
          <w:highlight w:val="white"/>
          <w:u w:val="none"/>
          <w:shd w:fill="FFFFFF" w:val="clear"/>
          <w:lang w:val="zxx" w:eastAsia="zxx" w:bidi="zxx"/>
        </w:rPr>
        <w:t xml:space="preserve">Achats de produits frais et surgelés pour les différentes </w:t>
      </w:r>
      <w:r>
        <w:rPr>
          <w:rFonts w:eastAsia="Arial" w:cs="Arial" w:ascii="arial" w:hAnsi="arial"/>
          <w:b w:val="false"/>
          <w:bCs w:val="false"/>
          <w:i w:val="false"/>
          <w:color w:val="000000"/>
          <w:sz w:val="20"/>
          <w:szCs w:val="21"/>
          <w:highlight w:val="white"/>
          <w:u w:val="none"/>
          <w:shd w:fill="FFFFFF" w:val="clear"/>
          <w:lang w:val="zxx" w:eastAsia="zxx" w:bidi="zxx"/>
        </w:rPr>
        <w:t>structures</w:t>
      </w:r>
      <w:r>
        <w:rPr>
          <w:rFonts w:eastAsia="arial" w:cs="arial" w:ascii="arial" w:hAnsi="arial"/>
          <w:b w:val="false"/>
          <w:bCs w:val="false"/>
          <w:i w:val="false"/>
          <w:color w:val="000000"/>
          <w:sz w:val="20"/>
          <w:szCs w:val="21"/>
          <w:highlight w:val="white"/>
          <w:u w:val="none"/>
          <w:shd w:fill="FFFFFF" w:val="clear"/>
          <w:lang w:val="zxx" w:eastAsia="zxx" w:bidi="zxx"/>
        </w:rPr>
        <w:t xml:space="preserve"> de la Mairie des 9ème et 10ème arrondissements</w:t>
      </w:r>
    </w:p>
    <w:p>
      <w:pPr>
        <w:pStyle w:val="Titre2"/>
        <w:numPr>
          <w:ilvl w:val="1"/>
          <w:numId w:val="2"/>
        </w:numPr>
        <w:rPr/>
      </w:pPr>
      <w:bookmarkStart w:id="6" w:name="__RefHeading___Toc15460_3955681305"/>
      <w:bookmarkStart w:id="7" w:name="_Toc3846"/>
      <w:bookmarkEnd w:id="6"/>
      <w:bookmarkEnd w:id="7"/>
      <w:r>
        <w:rPr/>
        <w:t>Procédure</w:t>
      </w:r>
    </w:p>
    <w:p>
      <w:pPr>
        <w:pStyle w:val="Normal"/>
        <w:spacing w:lineRule="atLeast" w:line="57" w:before="119" w:after="0"/>
        <w:ind w:left="0" w:right="0" w:hanging="0"/>
        <w:jc w:val="both"/>
        <w:rPr/>
      </w:pPr>
      <w:r>
        <w:rPr>
          <w:rFonts w:eastAsia="Liberation Sans" w:cs="Liberation Sans" w:ascii="Liberation Sans" w:hAnsi="Liberation Sans"/>
          <w:color w:val="000000"/>
          <w:sz w:val="20"/>
          <w:highlight w:val="white"/>
          <w:shd w:fill="FFFFFF" w:val="clear"/>
        </w:rPr>
        <w:t>La procédure de passation est la suivante : MAPA OUVERT AVEC BOAMP - selon les articles suivants : articles L2123-1, R2123-1-1°, R2123-4 et 5 du Code de la commande publique.</w:t>
      </w:r>
    </w:p>
    <w:p>
      <w:pPr>
        <w:pStyle w:val="Normal"/>
        <w:rPr/>
      </w:pPr>
      <w:r>
        <w:rPr/>
      </w:r>
    </w:p>
    <w:p>
      <w:pPr>
        <w:pStyle w:val="Titre2"/>
        <w:numPr>
          <w:ilvl w:val="1"/>
          <w:numId w:val="2"/>
        </w:numPr>
        <w:rPr/>
      </w:pPr>
      <w:bookmarkStart w:id="8" w:name="__RefHeading___Toc15462_3955681305"/>
      <w:bookmarkStart w:id="9" w:name="_Toc3847"/>
      <w:bookmarkEnd w:id="8"/>
      <w:bookmarkEnd w:id="9"/>
      <w:r>
        <w:rPr/>
        <w:t>Décomposition en Lots, Tranches et postes</w:t>
      </w:r>
    </w:p>
    <w:p>
      <w:pPr>
        <w:pStyle w:val="Titre3"/>
        <w:numPr>
          <w:ilvl w:val="2"/>
          <w:numId w:val="2"/>
        </w:numPr>
        <w:rPr/>
      </w:pPr>
      <w:bookmarkStart w:id="10" w:name="__RefHeading___Toc15464_3955681305"/>
      <w:bookmarkStart w:id="11" w:name="_Toc3848"/>
      <w:bookmarkEnd w:id="10"/>
      <w:bookmarkEnd w:id="11"/>
      <w:r>
        <w:rPr/>
        <w:t>Décomposition en lots</w:t>
      </w:r>
    </w:p>
    <w:p>
      <w:pPr>
        <w:pStyle w:val="Normal"/>
        <w:rPr/>
      </w:pPr>
      <w:r>
        <w:rPr>
          <w:rFonts w:eastAsia="arial" w:cs="arial" w:ascii="arial" w:hAnsi="arial"/>
          <w:b w:val="false"/>
          <w:i w:val="false"/>
          <w:color w:val="000000"/>
          <w:sz w:val="20"/>
          <w:u w:val="none"/>
          <w:shd w:fill="FFFFFF" w:val="clear"/>
        </w:rPr>
        <w:t>L'ensemble des prestations est réparti en plusieurs lots traités par marchés séparés et définis comme suit :</w:t>
      </w:r>
    </w:p>
    <w:p>
      <w:pPr>
        <w:pStyle w:val="Normal"/>
        <w:spacing w:before="120" w:after="0"/>
        <w:rPr/>
      </w:pPr>
      <w:r>
        <w:rPr/>
      </w:r>
    </w:p>
    <w:p>
      <w:pPr>
        <w:pStyle w:val="Normal"/>
        <w:spacing w:before="120" w:after="0"/>
        <w:rPr/>
      </w:pPr>
      <w:r>
        <w:rPr/>
      </w:r>
    </w:p>
    <w:p>
      <w:pPr>
        <w:pStyle w:val="Normal"/>
        <w:rPr/>
      </w:pPr>
      <w:r>
        <w:rPr/>
      </w:r>
    </w:p>
    <w:tbl>
      <w:tblPr>
        <w:tblW w:w="8633" w:type="dxa"/>
        <w:jc w:val="left"/>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3"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33" w:type="dxa"/>
            </w:tcM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33" w:type="dxa"/>
            </w:tcM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33" w:type="dxa"/>
            </w:tcM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33" w:type="dxa"/>
            </w:tcMar>
          </w:tcPr>
          <w:p>
            <w:pPr>
              <w:pStyle w:val="Tableau"/>
              <w:keepNext w:val="true"/>
              <w:keepLines/>
              <w:widowControl w:val="false"/>
              <w:bidi w:val="0"/>
              <w:spacing w:before="120" w:after="0"/>
              <w:jc w:val="left"/>
              <w:rPr/>
            </w:pPr>
            <w:r>
              <w:rPr>
                <w:rFonts w:eastAsia="arial" w:cs="arial" w:ascii="arial" w:hAnsi="arial"/>
                <w:b w:val="false"/>
                <w:i w:val="false"/>
                <w:color w:val="000000"/>
                <w:sz w:val="20"/>
                <w:u w:val="none"/>
              </w:rPr>
              <w:t>Produits surgelés ou congelés</w:t>
            </w:r>
          </w:p>
        </w:tc>
      </w:tr>
      <w:tr>
        <w:trPr>
          <w:trHeight w:val="525" w:hRule="atLeast"/>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33" w:type="dxa"/>
            </w:tcMar>
          </w:tcPr>
          <w:p>
            <w:pPr>
              <w:pStyle w:val="Normal"/>
              <w:keepNext w:val="true"/>
              <w:keepLines/>
              <w:widowControl w:val="false"/>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33" w:type="dxa"/>
            </w:tcMar>
          </w:tcPr>
          <w:p>
            <w:pPr>
              <w:pStyle w:val="Tableau"/>
              <w:keepNext w:val="true"/>
              <w:keepLines/>
              <w:widowControl w:val="false"/>
              <w:spacing w:before="120" w:after="0"/>
              <w:jc w:val="left"/>
              <w:rPr/>
            </w:pPr>
            <w:r>
              <w:rPr>
                <w:rFonts w:eastAsia="arial" w:cs="arial" w:ascii="arial" w:hAnsi="arial"/>
                <w:b w:val="false"/>
                <w:i w:val="false"/>
                <w:color w:val="000000"/>
                <w:sz w:val="20"/>
                <w:u w:val="none"/>
              </w:rPr>
              <w:t>Produits frais ou en conserve</w:t>
            </w:r>
          </w:p>
        </w:tc>
      </w:tr>
    </w:tbl>
    <w:p>
      <w:pPr>
        <w:pStyle w:val="Normal"/>
        <w:rPr/>
      </w:pPr>
      <w:r>
        <w:rPr/>
      </w:r>
    </w:p>
    <w:p>
      <w:pPr>
        <w:pStyle w:val="Titre3"/>
        <w:numPr>
          <w:ilvl w:val="2"/>
          <w:numId w:val="2"/>
        </w:numPr>
        <w:rPr/>
      </w:pPr>
      <w:bookmarkStart w:id="12" w:name="__RefHeading___Toc15466_3955681305"/>
      <w:bookmarkStart w:id="13" w:name="_Toc3849"/>
      <w:bookmarkEnd w:id="12"/>
      <w:bookmarkEnd w:id="13"/>
      <w:r>
        <w:rPr/>
        <w:t>Décomposition en tranches</w:t>
      </w:r>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3"/>
        <w:numPr>
          <w:ilvl w:val="2"/>
          <w:numId w:val="2"/>
        </w:numPr>
        <w:rPr/>
      </w:pPr>
      <w:bookmarkStart w:id="14" w:name="__RefHeading___Toc15468_3955681305"/>
      <w:bookmarkStart w:id="15" w:name="_Toc3850"/>
      <w:bookmarkEnd w:id="14"/>
      <w:bookmarkEnd w:id="15"/>
      <w:r>
        <w:rPr/>
        <w:t>Décomposition en postes</w:t>
      </w:r>
    </w:p>
    <w:p>
      <w:pPr>
        <w:pStyle w:val="Normal"/>
        <w:rPr/>
      </w:pPr>
      <w:r>
        <w:rPr>
          <w:rFonts w:eastAsia="arial" w:cs="arial" w:ascii="arial" w:hAnsi="arial"/>
          <w:b w:val="false"/>
          <w:i w:val="false"/>
          <w:color w:val="000000"/>
          <w:sz w:val="20"/>
          <w:u w:val="none"/>
          <w:shd w:fill="FFFFFF" w:val="clear"/>
        </w:rPr>
        <w:t>L'ensemble des prestations n'est pas subdivisé en postes.</w:t>
      </w:r>
    </w:p>
    <w:p>
      <w:pPr>
        <w:pStyle w:val="Titre2"/>
        <w:numPr>
          <w:ilvl w:val="1"/>
          <w:numId w:val="2"/>
        </w:numPr>
        <w:rPr/>
      </w:pPr>
      <w:bookmarkStart w:id="16" w:name="__RefHeading___Toc15470_3955681305"/>
      <w:bookmarkStart w:id="17" w:name="_Toc3851"/>
      <w:bookmarkEnd w:id="16"/>
      <w:bookmarkEnd w:id="17"/>
      <w:r>
        <w:rPr/>
        <w:t>Modalités d'exécution des tranches optionnelles</w:t>
      </w:r>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2"/>
        <w:numPr>
          <w:ilvl w:val="1"/>
          <w:numId w:val="2"/>
        </w:numPr>
        <w:rPr/>
      </w:pPr>
      <w:bookmarkStart w:id="18" w:name="__RefHeading___Toc15472_3955681305"/>
      <w:bookmarkStart w:id="19" w:name="_Toc3852"/>
      <w:bookmarkEnd w:id="18"/>
      <w:bookmarkEnd w:id="19"/>
      <w:r>
        <w:rPr/>
        <w:t>Accord-cadre à bons de commande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présent marché est un accord-cadre exécuté par l'émission de bons de commande, en application des articles R2162-1 à 6 et R2162-13 et 14 du Code de la commande publique.</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commandes seront émis dans les conditions et limites suivantes :</w:t>
      </w:r>
    </w:p>
    <w:p>
      <w:pPr>
        <w:pStyle w:val="Normal"/>
        <w:spacing w:before="120" w:after="0"/>
        <w:rPr/>
      </w:pPr>
      <w:r>
        <w:rPr>
          <w:rFonts w:eastAsia="arial" w:cs="arial" w:ascii="arial" w:hAnsi="arial"/>
          <w:b w:val="false"/>
          <w:i w:val="false"/>
          <w:color w:val="000000"/>
          <w:sz w:val="20"/>
          <w:u w:val="none"/>
          <w:shd w:fill="FFFFFF" w:val="clear"/>
        </w:rPr>
        <w:t xml:space="preserve">Les valeurs données ci-après sont données </w:t>
      </w:r>
      <w:r>
        <w:rPr>
          <w:rFonts w:eastAsia="arial" w:cs="arial" w:ascii="arial" w:hAnsi="arial"/>
          <w:b/>
          <w:i w:val="false"/>
          <w:color w:val="000000"/>
          <w:sz w:val="20"/>
          <w:u w:val="none"/>
          <w:shd w:fill="FFFFFF" w:val="clear"/>
        </w:rPr>
        <w:t>par période annuelle :</w:t>
      </w:r>
    </w:p>
    <w:p>
      <w:pPr>
        <w:pStyle w:val="Normal"/>
        <w:bidi w:val="0"/>
        <w:spacing w:before="0" w:after="0"/>
        <w:ind w:left="0" w:right="0" w:hanging="0"/>
        <w:contextualSpacing/>
        <w:jc w:val="both"/>
        <w:rPr/>
      </w:pPr>
      <w:r>
        <w:rPr>
          <w:rFonts w:eastAsia="Arial" w:cs="Arial"/>
          <w:color w:val="000000"/>
          <w:sz w:val="20"/>
          <w:shd w:fill="FFFFFF" w:val="clear"/>
        </w:rPr>
        <w:t xml:space="preserve">- LOT 1: </w:t>
      </w:r>
      <w:r>
        <w:rPr>
          <w:rFonts w:eastAsia="arial" w:cs="arial" w:ascii="arial" w:hAnsi="arial"/>
          <w:b w:val="false"/>
          <w:i w:val="false"/>
          <w:color w:val="000000"/>
          <w:sz w:val="20"/>
          <w:highlight w:val="white"/>
          <w:u w:val="none"/>
          <w:shd w:fill="FFFFFF" w:val="clear"/>
        </w:rPr>
        <w:t>produits surgelés ou congelés</w:t>
      </w:r>
    </w:p>
    <w:p>
      <w:pPr>
        <w:pStyle w:val="Normal"/>
        <w:bidi w:val="0"/>
        <w:spacing w:before="0" w:after="0"/>
        <w:ind w:left="0" w:right="0" w:hanging="0"/>
        <w:contextualSpacing/>
        <w:jc w:val="both"/>
        <w:rPr/>
      </w:pPr>
      <w:r>
        <w:rPr>
          <w:rFonts w:eastAsia="Arial" w:cs="Arial"/>
          <w:color w:val="000000"/>
          <w:sz w:val="20"/>
          <w:shd w:fill="FFFFFF" w:val="clear"/>
        </w:rPr>
        <w:t>Le montant  minimum est de 5 000€ HT et maximum 40 000€ HT annuel.</w:t>
      </w:r>
    </w:p>
    <w:p>
      <w:pPr>
        <w:pStyle w:val="Normal"/>
        <w:bidi w:val="0"/>
        <w:spacing w:before="0" w:after="0"/>
        <w:ind w:left="0" w:right="0" w:hanging="0"/>
        <w:contextualSpacing/>
        <w:jc w:val="both"/>
        <w:rPr>
          <w:rFonts w:eastAsia="Arial" w:cs="Arial"/>
          <w:color w:val="000000"/>
          <w:sz w:val="20"/>
          <w:highlight w:val="white"/>
        </w:rPr>
      </w:pPr>
      <w:r>
        <w:rPr>
          <w:rFonts w:eastAsia="Arial" w:cs="Arial"/>
          <w:color w:val="000000"/>
          <w:sz w:val="20"/>
          <w:highlight w:val="white"/>
        </w:rPr>
      </w:r>
    </w:p>
    <w:p>
      <w:pPr>
        <w:pStyle w:val="Normal"/>
        <w:bidi w:val="0"/>
        <w:spacing w:before="200" w:after="0"/>
        <w:ind w:left="0" w:right="0" w:hanging="0"/>
        <w:contextualSpacing/>
        <w:jc w:val="both"/>
        <w:rPr/>
      </w:pPr>
      <w:r>
        <w:rPr>
          <w:rFonts w:eastAsia="Arial" w:cs="Arial"/>
          <w:color w:val="000000"/>
          <w:sz w:val="20"/>
          <w:shd w:fill="FFFFFF" w:val="clear"/>
        </w:rPr>
        <w:t xml:space="preserve">- LOT 2: </w:t>
      </w:r>
      <w:r>
        <w:rPr>
          <w:rFonts w:eastAsia="arial" w:cs="arial" w:ascii="arial" w:hAnsi="arial"/>
          <w:b w:val="false"/>
          <w:i w:val="false"/>
          <w:color w:val="000000"/>
          <w:sz w:val="20"/>
          <w:highlight w:val="white"/>
          <w:u w:val="none"/>
          <w:shd w:fill="FFFFFF" w:val="clear"/>
        </w:rPr>
        <w:t>produits frais ou en conserve</w:t>
      </w:r>
    </w:p>
    <w:p>
      <w:pPr>
        <w:pStyle w:val="Normal"/>
        <w:bidi w:val="0"/>
        <w:spacing w:before="200" w:after="0"/>
        <w:ind w:left="0" w:right="0" w:hanging="0"/>
        <w:contextualSpacing/>
        <w:jc w:val="both"/>
        <w:rPr/>
      </w:pPr>
      <w:r>
        <w:rPr>
          <w:rFonts w:eastAsia="Arial" w:cs="Arial" w:ascii="arial" w:hAnsi="arial"/>
          <w:b w:val="false"/>
          <w:i w:val="false"/>
          <w:color w:val="000000"/>
          <w:sz w:val="20"/>
          <w:highlight w:val="white"/>
          <w:u w:val="none"/>
          <w:shd w:fill="FFFFFF" w:val="clear"/>
        </w:rPr>
        <w:t xml:space="preserve">Le montant minimum est de 5 000€ HT et maximum 40 000€ HT annuel. </w:t>
      </w:r>
    </w:p>
    <w:p>
      <w:pPr>
        <w:pStyle w:val="Normal"/>
        <w:spacing w:before="120" w:after="0"/>
        <w:ind w:left="0" w:right="0" w:hanging="0"/>
        <w:jc w:val="both"/>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commandes pourront être émis jusqu'au dernier jour de la période de validité du marché.</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 émis en fin de marché ne pourront voir leur exécution se prolonger de plus de</w:t>
      </w:r>
      <w:r>
        <w:rPr>
          <w:rFonts w:eastAsia="arial" w:cs="arial" w:ascii="arial" w:hAnsi="arial"/>
          <w:b/>
          <w:i w:val="false"/>
          <w:color w:val="000000"/>
          <w:sz w:val="20"/>
          <w:u w:val="none"/>
          <w:shd w:fill="FFFFFF" w:val="clear"/>
        </w:rPr>
        <w:t xml:space="preserve"> 3</w:t>
      </w:r>
      <w:r>
        <w:rPr>
          <w:rFonts w:eastAsia="arial" w:cs="arial" w:ascii="arial" w:hAnsi="arial"/>
          <w:b w:val="false"/>
          <w:i w:val="false"/>
          <w:color w:val="000000"/>
          <w:sz w:val="20"/>
          <w:u w:val="none"/>
          <w:shd w:fill="FFFFFF" w:val="clear"/>
        </w:rPr>
        <w:t xml:space="preserve"> mois après la date d'expiration du marché.</w:t>
      </w:r>
      <w:r>
        <w:rPr>
          <w:shd w:fill="FFFFFF" w:val="clear"/>
        </w:rPr>
        <w:t>    </w:t>
      </w:r>
    </w:p>
    <w:p>
      <w:pPr>
        <w:pStyle w:val="Titre2"/>
        <w:numPr>
          <w:ilvl w:val="1"/>
          <w:numId w:val="2"/>
        </w:numPr>
        <w:rPr/>
      </w:pPr>
      <w:bookmarkStart w:id="20" w:name="__RefHeading___Toc15474_3955681305"/>
      <w:bookmarkStart w:id="21" w:name="_Toc3853"/>
      <w:bookmarkEnd w:id="20"/>
      <w:bookmarkEnd w:id="21"/>
      <w:r>
        <w:rPr/>
        <w:t>Date d'effet du marché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date de début de la période de validité et d'exécution du marché est la date de notification du marché au titulaire.</w:t>
      </w:r>
    </w:p>
    <w:p>
      <w:pPr>
        <w:pStyle w:val="Titre2"/>
        <w:numPr>
          <w:ilvl w:val="1"/>
          <w:numId w:val="2"/>
        </w:numPr>
        <w:rPr/>
      </w:pPr>
      <w:bookmarkStart w:id="22" w:name="__RefHeading___Toc15476_3955681305"/>
      <w:bookmarkStart w:id="23" w:name="_Toc3854"/>
      <w:bookmarkEnd w:id="22"/>
      <w:bookmarkEnd w:id="23"/>
      <w:r>
        <w:rPr/>
        <w:t>Durée du marché - Période de validité</w:t>
      </w:r>
    </w:p>
    <w:p>
      <w:pPr>
        <w:pStyle w:val="Normal"/>
        <w:rPr/>
      </w:pPr>
      <w:r>
        <w:rPr>
          <w:rFonts w:eastAsia="arial" w:cs="arial" w:ascii="arial" w:hAnsi="arial"/>
          <w:b w:val="false"/>
          <w:i w:val="false"/>
          <w:color w:val="000000"/>
          <w:sz w:val="20"/>
          <w:u w:val="none"/>
          <w:shd w:fill="FFFFFF" w:val="clear"/>
        </w:rPr>
        <w:t xml:space="preserve">La durée du marché se définit comme suit : 12 mois </w:t>
      </w:r>
      <w:r>
        <w:rPr>
          <w:rFonts w:eastAsia="arial" w:cs="arial"/>
          <w:b w:val="false"/>
          <w:i w:val="false"/>
          <w:color w:val="000000"/>
          <w:sz w:val="18"/>
          <w:u w:val="none"/>
          <w:shd w:fill="FFFFFF" w:val="clear"/>
        </w:rPr>
        <w:t>à compter de la date notification</w:t>
      </w:r>
      <w:r>
        <w:rPr>
          <w:rFonts w:eastAsia="arial" w:cs="arial" w:ascii="arial" w:hAnsi="arial"/>
          <w:b w:val="false"/>
          <w:i w:val="false"/>
          <w:color w:val="000000"/>
          <w:sz w:val="20"/>
          <w:u w:val="none"/>
          <w:shd w:fill="FFFFFF" w:val="clear"/>
        </w:rPr>
        <w:t>.</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de 1 reconduction.</w:t>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rPr/>
      </w:pPr>
      <w:r>
        <w:rPr>
          <w:shd w:fill="FFFFFF" w:val="clear"/>
        </w:rPr>
        <w:t>    </w:t>
      </w:r>
    </w:p>
    <w:p>
      <w:pPr>
        <w:pStyle w:val="Titre2"/>
        <w:numPr>
          <w:ilvl w:val="1"/>
          <w:numId w:val="2"/>
        </w:numPr>
        <w:rPr/>
      </w:pPr>
      <w:bookmarkStart w:id="24" w:name="__RefHeading___Toc15478_3955681305"/>
      <w:bookmarkStart w:id="25" w:name="_Toc3855"/>
      <w:bookmarkEnd w:id="24"/>
      <w:bookmarkEnd w:id="25"/>
      <w:r>
        <w:rPr/>
        <w:t>Clause obligatoire d'insertion par l'activité économique</w:t>
      </w:r>
    </w:p>
    <w:p>
      <w:pPr>
        <w:pStyle w:val="Normal"/>
        <w:rPr/>
      </w:pPr>
      <w:r>
        <w:rPr>
          <w:rFonts w:eastAsia="arial" w:cs="arial" w:ascii="arial" w:hAnsi="arial"/>
          <w:b w:val="false"/>
          <w:i w:val="false"/>
          <w:color w:val="000000"/>
          <w:sz w:val="20"/>
          <w:u w:val="none"/>
          <w:shd w:fill="FFFFFF" w:val="clear"/>
        </w:rPr>
        <w:t>Le marché ne prévoit pas la mise en place d'une clause obligatoire d'insertion par l'activité économique.</w:t>
      </w:r>
    </w:p>
    <w:p>
      <w:pPr>
        <w:pStyle w:val="Titre2"/>
        <w:numPr>
          <w:ilvl w:val="1"/>
          <w:numId w:val="2"/>
        </w:numPr>
        <w:rPr/>
      </w:pPr>
      <w:bookmarkStart w:id="26" w:name="__RefHeading___Toc15480_3955681305"/>
      <w:bookmarkStart w:id="27" w:name="_Toc3856"/>
      <w:bookmarkEnd w:id="26"/>
      <w:bookmarkEnd w:id="27"/>
      <w:r>
        <w:rPr/>
        <w:t xml:space="preserve">Réemploi, réutilisation ou intégration de matières recyclées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28" w:name="__RefHeading___Toc15482_3955681305"/>
      <w:bookmarkStart w:id="29" w:name="_Toc3857"/>
      <w:bookmarkEnd w:id="28"/>
      <w:bookmarkEnd w:id="29"/>
      <w:r>
        <w:rPr/>
        <w:t>DOCUMENTS CONTRACTUELS</w:t>
      </w:r>
    </w:p>
    <w:p>
      <w:pPr>
        <w:pStyle w:val="Normal"/>
        <w:rPr/>
      </w:pPr>
      <w:r>
        <w:rPr>
          <w:rFonts w:eastAsia="arial" w:cs="arial" w:ascii="arial" w:hAnsi="arial"/>
          <w:b/>
          <w:i w:val="false"/>
          <w:color w:val="000000"/>
          <w:sz w:val="20"/>
          <w:u w:val="none"/>
          <w:shd w:fill="FFFFFF" w:val="clear"/>
        </w:rPr>
        <w:t>Par dérogation à l'article 4.1 du C.C.A.G. FCS</w:t>
      </w:r>
      <w:r>
        <w:rPr>
          <w:rFonts w:eastAsia="arial" w:cs="arial" w:ascii="arial" w:hAnsi="arial"/>
          <w:b w:val="false"/>
          <w:i w:val="false"/>
          <w:color w:val="000000"/>
          <w:sz w:val="20"/>
          <w:u w:val="none"/>
          <w:shd w:fill="FFFFFF" w:val="clear"/>
        </w:rPr>
        <w:t>, les pièces constitutives du marché sont les suivantes par ordre de priorité décroissante :</w:t>
      </w:r>
    </w:p>
    <w:p>
      <w:pPr>
        <w:pStyle w:val="Normal"/>
        <w:rPr/>
      </w:pPr>
      <w:r>
        <w:rPr>
          <w:rFonts w:eastAsia="arial" w:cs="arial" w:ascii="arial" w:hAnsi="arial"/>
          <w:b w:val="false"/>
          <w:i w:val="false"/>
          <w:color w:val="000000"/>
          <w:sz w:val="20"/>
          <w:u w:val="none"/>
          <w:shd w:fill="FFFFFF" w:val="clear"/>
        </w:rPr>
        <w:t>- L'Acte d'Engagement (AE) concernant le ou les lots pour le(s)quel(s) le candidat souhaite soumissionner</w:t>
      </w:r>
    </w:p>
    <w:p>
      <w:pPr>
        <w:pStyle w:val="Normal"/>
        <w:rPr/>
      </w:pPr>
      <w:r>
        <w:rPr>
          <w:rFonts w:eastAsia="arial" w:cs="arial" w:ascii="arial" w:hAnsi="arial"/>
          <w:b w:val="false"/>
          <w:i w:val="false"/>
          <w:color w:val="000000"/>
          <w:sz w:val="20"/>
          <w:u w:val="none"/>
          <w:shd w:fill="FFFFFF" w:val="clear"/>
        </w:rPr>
        <w:t>- Le Bordereau de prix unitaires concernant le ou les lots pour le(s)quel(s) le candidat souhaite soumissionner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présent cahier des clauses administratives particulières (C.C.A.P.)</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document intitulé Cahier des Clauses Techniques Particulières (C.C.T.P.)</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administratives générales (C.C.A.G.) applicable aux marchés publics de Fournitures courantes et de services approuvé par l'arrêté du 30 mars 2021 publié au JORF du 1er avril 2021</w:t>
      </w:r>
    </w:p>
    <w:p>
      <w:pPr>
        <w:pStyle w:val="Normal"/>
        <w:rPr/>
      </w:pPr>
      <w:r>
        <w:rPr>
          <w:rFonts w:eastAsia="arial" w:cs="arial" w:ascii="arial" w:hAnsi="arial"/>
          <w:b w:val="false"/>
          <w:i w:val="false"/>
          <w:color w:val="000000"/>
          <w:sz w:val="20"/>
          <w:u w:val="none"/>
          <w:shd w:fill="FFFFFF" w:val="clear"/>
        </w:rPr>
        <w:t>- le Mémoire technique (un seul mémoire technique peut être fourni pour les 2 lots)</w:t>
      </w:r>
    </w:p>
    <w:p>
      <w:pPr>
        <w:pStyle w:val="Normal"/>
        <w:rPr>
          <w:rFonts w:ascii="arial" w:hAnsi="arial" w:eastAsia="arial" w:cs="arial"/>
          <w:b w:val="false"/>
          <w:b w:val="false"/>
          <w:i w:val="false"/>
          <w:i w:val="false"/>
          <w:color w:val="000000"/>
          <w:sz w:val="20"/>
          <w:u w:val="none"/>
          <w:shd w:fill="FFFFFF" w:val="clear"/>
        </w:rPr>
      </w:pPr>
      <w:r>
        <w:rPr>
          <w:rFonts w:eastAsia="arial" w:cs="arial" w:ascii="arial" w:hAnsi="arial"/>
          <w:b w:val="false"/>
          <w:i w:val="false"/>
          <w:color w:val="000000"/>
          <w:sz w:val="20"/>
          <w:u w:val="none"/>
          <w:shd w:fill="FFFFFF" w:val="clear"/>
        </w:rPr>
      </w:r>
    </w:p>
    <w:p>
      <w:pPr>
        <w:pStyle w:val="Normal"/>
        <w:bidi w:val="0"/>
        <w:spacing w:before="0" w:after="0"/>
        <w:ind w:left="0" w:right="0" w:hanging="0"/>
        <w:contextualSpacing/>
        <w:jc w:val="both"/>
        <w:rPr>
          <w:b w:val="false"/>
          <w:b w:val="false"/>
          <w:i w:val="false"/>
          <w:i w:val="false"/>
          <w:u w:val="none"/>
        </w:rPr>
      </w:pPr>
      <w:r>
        <w:rPr>
          <w:rFonts w:eastAsia="Arial" w:cs="Arial" w:ascii="arial" w:hAnsi="arial"/>
          <w:b w:val="false"/>
          <w:i w:val="false"/>
          <w:color w:val="000000"/>
          <w:sz w:val="20"/>
          <w:szCs w:val="20"/>
          <w:u w:val="none"/>
          <w:shd w:fill="FFFFFF" w:val="clear"/>
        </w:rPr>
        <w:t>- Les fiches techniques pour les 2 lots attestant de la conformité des produits: composition du produit, présence éventuelle d’allergène, normes bactériologiques exigées, mode d'utilisation en cuisine (modes de cuisson, réchauffage recommandé..)</w:t>
      </w:r>
    </w:p>
    <w:p>
      <w:pPr>
        <w:pStyle w:val="Titre1"/>
        <w:numPr>
          <w:ilvl w:val="0"/>
          <w:numId w:val="2"/>
        </w:numPr>
        <w:rPr/>
      </w:pPr>
      <w:bookmarkStart w:id="30" w:name="__RefHeading___Toc15484_3955681305"/>
      <w:bookmarkEnd w:id="30"/>
      <w:r>
        <w:rPr/>
        <w:t>DÉLAIS DE LIVRAISON ET/OU D’EXÉCUTION</w:t>
      </w:r>
    </w:p>
    <w:p>
      <w:pPr>
        <w:pStyle w:val="Titre2"/>
        <w:numPr>
          <w:ilvl w:val="1"/>
          <w:numId w:val="2"/>
        </w:numPr>
        <w:rPr/>
      </w:pPr>
      <w:bookmarkStart w:id="31" w:name="__RefHeading___Toc15486_3955681305"/>
      <w:bookmarkStart w:id="32" w:name="_Toc3859"/>
      <w:bookmarkEnd w:id="31"/>
      <w:bookmarkEnd w:id="32"/>
      <w:r>
        <w:rPr/>
        <w:t>Délais</w:t>
      </w:r>
    </w:p>
    <w:p>
      <w:pPr>
        <w:pStyle w:val="Normal"/>
        <w:keepNext w:val="true"/>
        <w:keepLines/>
        <w:shd w:val="clear" w:fill="FFFFFF"/>
        <w:spacing w:before="0" w:after="0"/>
        <w:ind w:left="0" w:right="0" w:hanging="0"/>
        <w:jc w:val="both"/>
        <w:textAlignment w:val="center"/>
        <w:rPr>
          <w:rFonts w:ascii="Arial" w:hAnsi="Arial"/>
          <w:color w:val="000000"/>
          <w:sz w:val="21"/>
          <w:lang w:val="zxx" w:eastAsia="zxx" w:bidi="zxx"/>
        </w:rPr>
      </w:pPr>
      <w:r>
        <w:rPr>
          <w:rFonts w:eastAsia="arial" w:cs="arial" w:ascii="arial" w:hAnsi="arial"/>
          <w:b w:val="false"/>
          <w:i w:val="false"/>
          <w:color w:val="000000"/>
          <w:sz w:val="20"/>
          <w:u w:val="none"/>
          <w:shd w:fill="FFFFFF" w:val="clear"/>
          <w:lang w:val="zxx" w:eastAsia="zxx" w:bidi="zxx"/>
        </w:rPr>
        <w:t>Le délai de livraison est fixé comme suit :  Le titulaire se doit de respecter le délai d'exécution inscrit sur le bon de commande à compter de la date de réception de celui-ci, sauf dispositions particuliéres acceptées par la Mairie de Secteur.</w:t>
      </w:r>
    </w:p>
    <w:p>
      <w:pPr>
        <w:pStyle w:val="Titre2"/>
        <w:numPr>
          <w:ilvl w:val="1"/>
          <w:numId w:val="2"/>
        </w:numPr>
        <w:rPr/>
      </w:pPr>
      <w:bookmarkStart w:id="33" w:name="__RefHeading___Toc15488_3955681305"/>
      <w:bookmarkEnd w:id="33"/>
      <w:r>
        <w:rPr/>
        <w:t xml:space="preserve">Émission des bons de commande </w:t>
      </w:r>
    </w:p>
    <w:p>
      <w:pPr>
        <w:pStyle w:val="Normal"/>
        <w:rPr/>
      </w:pPr>
      <w:r>
        <w:rPr>
          <w:rFonts w:eastAsia="arial" w:cs="arial" w:ascii="arial" w:hAnsi="arial"/>
          <w:b w:val="false"/>
          <w:i w:val="false"/>
          <w:color w:val="000000"/>
          <w:sz w:val="20"/>
          <w:u w:val="none"/>
          <w:shd w:fill="FFFFFF" w:val="clear"/>
        </w:rPr>
        <w:t>Les commandes sont faites au fur et à mesure des besoins par le moyen de bons de commande délivrés par le service et qui comporteront :</w:t>
      </w:r>
    </w:p>
    <w:p>
      <w:pPr>
        <w:pStyle w:val="Corpsdetexte"/>
        <w:bidi w:val="0"/>
        <w:spacing w:before="122" w:after="0"/>
        <w:contextualSpacing/>
        <w:jc w:val="both"/>
        <w:rPr/>
      </w:pPr>
      <w:r>
        <w:rPr>
          <w:rFonts w:ascii="arial" w:hAnsi="arial"/>
          <w:b w:val="false"/>
          <w:bCs w:val="false"/>
          <w:color w:val="000000"/>
          <w:sz w:val="20"/>
        </w:rPr>
        <w:t>- La référence au marché</w:t>
      </w:r>
    </w:p>
    <w:p>
      <w:pPr>
        <w:pStyle w:val="Corpsdetexte"/>
        <w:bidi w:val="0"/>
        <w:spacing w:before="122" w:after="0"/>
        <w:contextualSpacing/>
        <w:jc w:val="both"/>
        <w:rPr/>
      </w:pPr>
      <w:r>
        <w:rPr>
          <w:rFonts w:ascii="arial" w:hAnsi="arial"/>
          <w:b w:val="false"/>
          <w:bCs w:val="false"/>
          <w:color w:val="000000"/>
          <w:sz w:val="20"/>
        </w:rPr>
        <w:t>- La désignation de la fourniture</w:t>
      </w:r>
      <w:r>
        <w:rPr>
          <w:rFonts w:ascii="arial" w:hAnsi="arial"/>
          <w:b w:val="false"/>
          <w:bCs w:val="false"/>
          <w:i w:val="false"/>
          <w:color w:val="000000"/>
          <w:sz w:val="20"/>
          <w:u w:val="none"/>
        </w:rPr>
        <w:t xml:space="preserve"> commandée </w:t>
      </w:r>
    </w:p>
    <w:p>
      <w:pPr>
        <w:pStyle w:val="Corpsdetexte"/>
        <w:bidi w:val="0"/>
        <w:spacing w:before="122" w:after="0"/>
        <w:contextualSpacing/>
        <w:jc w:val="both"/>
        <w:rPr/>
      </w:pPr>
      <w:r>
        <w:rPr>
          <w:rFonts w:ascii="arial" w:hAnsi="arial"/>
          <w:b w:val="false"/>
          <w:bCs w:val="false"/>
          <w:color w:val="000000"/>
          <w:sz w:val="20"/>
        </w:rPr>
        <w:t>- La quantité commandée</w:t>
      </w:r>
    </w:p>
    <w:p>
      <w:pPr>
        <w:pStyle w:val="Corpsdetexte"/>
        <w:bidi w:val="0"/>
        <w:spacing w:before="122" w:after="0"/>
        <w:contextualSpacing/>
        <w:jc w:val="both"/>
        <w:rPr/>
      </w:pPr>
      <w:r>
        <w:rPr>
          <w:rFonts w:ascii="arial" w:hAnsi="arial"/>
          <w:b w:val="false"/>
          <w:bCs w:val="false"/>
          <w:color w:val="000000"/>
          <w:sz w:val="20"/>
        </w:rPr>
        <w:t>- Le lieu de livraison</w:t>
      </w:r>
    </w:p>
    <w:p>
      <w:pPr>
        <w:pStyle w:val="Corpsdetexte"/>
        <w:bidi w:val="0"/>
        <w:spacing w:before="122" w:after="0"/>
        <w:contextualSpacing/>
        <w:jc w:val="both"/>
        <w:rPr/>
      </w:pPr>
      <w:r>
        <w:rPr>
          <w:rFonts w:ascii="arial" w:hAnsi="arial"/>
          <w:b w:val="false"/>
          <w:bCs w:val="false"/>
          <w:color w:val="000000"/>
          <w:sz w:val="20"/>
        </w:rPr>
        <w:t>- Le délai de livraison</w:t>
      </w:r>
    </w:p>
    <w:p>
      <w:pPr>
        <w:pStyle w:val="Corpsdetexte"/>
        <w:bidi w:val="0"/>
        <w:spacing w:before="122" w:after="0"/>
        <w:contextualSpacing/>
        <w:jc w:val="both"/>
        <w:rPr/>
      </w:pPr>
      <w:r>
        <w:rPr>
          <w:rFonts w:ascii="arial" w:hAnsi="arial"/>
          <w:b w:val="false"/>
          <w:bCs w:val="false"/>
          <w:color w:val="000000"/>
          <w:sz w:val="20"/>
        </w:rPr>
        <w:t>- Le montant total en Euro HT et TTC du bon de commande</w:t>
      </w:r>
    </w:p>
    <w:p>
      <w:pPr>
        <w:pStyle w:val="Corpsdetexte"/>
        <w:bidi w:val="0"/>
        <w:spacing w:before="122" w:after="0"/>
        <w:contextualSpacing/>
        <w:jc w:val="both"/>
        <w:rPr/>
      </w:pPr>
      <w:r>
        <w:rPr>
          <w:rFonts w:ascii="arial" w:hAnsi="arial"/>
          <w:b w:val="false"/>
          <w:bCs w:val="false"/>
          <w:color w:val="000000"/>
          <w:sz w:val="20"/>
        </w:rPr>
        <w:t>- La date</w:t>
      </w:r>
    </w:p>
    <w:p>
      <w:pPr>
        <w:pStyle w:val="Corpsdetexte"/>
        <w:bidi w:val="0"/>
        <w:spacing w:before="122" w:after="0"/>
        <w:contextualSpacing/>
        <w:jc w:val="both"/>
        <w:rPr>
          <w:rFonts w:ascii="arial" w:hAnsi="arial"/>
          <w:b w:val="false"/>
          <w:b w:val="false"/>
          <w:bCs w:val="false"/>
          <w:color w:val="000000"/>
          <w:sz w:val="20"/>
        </w:rPr>
      </w:pPr>
      <w:r>
        <w:rPr>
          <w:rFonts w:ascii="arial" w:hAnsi="arial"/>
          <w:b w:val="false"/>
          <w:bCs w:val="false"/>
          <w:color w:val="000000"/>
          <w:sz w:val="20"/>
        </w:rPr>
      </w:r>
    </w:p>
    <w:p>
      <w:pPr>
        <w:pStyle w:val="Corpsdetexte"/>
        <w:spacing w:before="120" w:after="0"/>
        <w:jc w:val="both"/>
        <w:rPr/>
      </w:pPr>
      <w:r>
        <w:rPr>
          <w:rFonts w:ascii="arial" w:hAnsi="arial"/>
          <w:color w:val="000000"/>
          <w:sz w:val="20"/>
        </w:rPr>
        <w:t xml:space="preserve">La personne habilitée à signer les bons de commande est : </w:t>
      </w:r>
      <w:r>
        <w:rPr>
          <w:rFonts w:ascii="arial" w:hAnsi="arial"/>
          <w:b/>
          <w:bCs/>
          <w:color w:val="000000"/>
          <w:sz w:val="20"/>
        </w:rPr>
        <w:t>Le Directeur Général des Services de la Mairie de Secteur</w:t>
      </w:r>
    </w:p>
    <w:p>
      <w:pPr>
        <w:pStyle w:val="Corpsdetexte"/>
        <w:spacing w:before="120" w:after="0"/>
        <w:jc w:val="both"/>
        <w:rPr/>
      </w:pPr>
      <w:r>
        <w:rPr>
          <w:rFonts w:ascii="arial" w:hAnsi="arial"/>
          <w:color w:val="000000"/>
          <w:sz w:val="20"/>
        </w:rPr>
        <w:t xml:space="preserve">Les bons de commande seront notifiés par </w:t>
      </w:r>
      <w:r>
        <w:rPr>
          <w:rFonts w:ascii="arial" w:hAnsi="arial"/>
          <w:b/>
          <w:color w:val="000000"/>
          <w:sz w:val="20"/>
        </w:rPr>
        <w:t>courrier ou par mail</w:t>
      </w:r>
      <w:r>
        <w:rPr>
          <w:color w:val="000000"/>
        </w:rPr>
        <w:t xml:space="preserve"> </w:t>
      </w:r>
      <w:r>
        <w:rPr>
          <w:rFonts w:ascii="arial" w:hAnsi="arial"/>
          <w:color w:val="000000"/>
          <w:sz w:val="20"/>
        </w:rPr>
        <w:t>(avec accusé de réception).</w:t>
      </w:r>
    </w:p>
    <w:p>
      <w:pPr>
        <w:pStyle w:val="Normal"/>
        <w:rPr/>
      </w:pPr>
      <w:r>
        <w:rPr>
          <w:rFonts w:eastAsia="arial" w:cs="arial" w:ascii="arial" w:hAnsi="arial"/>
          <w:b w:val="false"/>
          <w:i w:val="false"/>
          <w:color w:val="000000"/>
          <w:sz w:val="20"/>
          <w:u w:val="none"/>
          <w:shd w:fill="FFFFFF" w:val="clear"/>
        </w:rPr>
        <w:t>Le délai d'exécution commence à courir à compter de la date de notification du bon de commande.</w:t>
      </w:r>
    </w:p>
    <w:p>
      <w:pPr>
        <w:pStyle w:val="Titre1"/>
        <w:numPr>
          <w:ilvl w:val="0"/>
          <w:numId w:val="2"/>
        </w:numPr>
        <w:rPr/>
      </w:pPr>
      <w:bookmarkStart w:id="34" w:name="__RefHeading___Toc15490_3955681305"/>
      <w:bookmarkStart w:id="35" w:name="_Toc3861"/>
      <w:bookmarkEnd w:id="34"/>
      <w:bookmarkEnd w:id="35"/>
      <w:r>
        <w:rPr/>
        <w:t>ENTREPRISES GROUPÉES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mandataire du groupement représente l'ensemble des entrepreneurs, vis-à-vis du représentant du pouvoir adjudicateur pour l'exécution du marché.</w:t>
      </w:r>
    </w:p>
    <w:p>
      <w:pPr>
        <w:pStyle w:val="Normal"/>
        <w:spacing w:before="120" w:after="0"/>
        <w:rPr/>
      </w:pPr>
      <w:r>
        <w:rPr>
          <w:rFonts w:eastAsia="arial" w:cs="arial" w:ascii="arial" w:hAnsi="arial"/>
          <w:b w:val="false"/>
          <w:i w:val="false"/>
          <w:color w:val="000000"/>
          <w:sz w:val="20"/>
          <w:u w:val="none"/>
          <w:shd w:fill="FFFFFF" w:val="clear"/>
        </w:rPr>
        <w:t>Il assure, sous sa responsabilité, la coordination de ces entrepreneurs.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Dans le cas d'entrepreneurs groupés solidaires, si le marché ne désigne pas l'entrepreneur mandataire, celui qui est énuméré le premier dans l'acte d'engagement est le mandataire des autres entrepreneurs.</w:t>
      </w:r>
    </w:p>
    <w:p>
      <w:pPr>
        <w:pStyle w:val="Titre1"/>
        <w:numPr>
          <w:ilvl w:val="0"/>
          <w:numId w:val="2"/>
        </w:numPr>
        <w:rPr/>
      </w:pPr>
      <w:bookmarkStart w:id="36" w:name="__RefHeading___Toc15492_3955681305"/>
      <w:bookmarkStart w:id="37" w:name="_Toc3862"/>
      <w:bookmarkEnd w:id="36"/>
      <w:bookmarkEnd w:id="37"/>
      <w:r>
        <w:rPr/>
        <w:t>CONDITIONS DE LIVRAISON ET D’EXÉCUTION</w:t>
      </w:r>
    </w:p>
    <w:p>
      <w:pPr>
        <w:pStyle w:val="Titre2"/>
        <w:numPr>
          <w:ilvl w:val="1"/>
          <w:numId w:val="2"/>
        </w:numPr>
        <w:rPr/>
      </w:pPr>
      <w:bookmarkStart w:id="38" w:name="__RefHeading___Toc15494_3955681305"/>
      <w:bookmarkStart w:id="39" w:name="_Toc3863"/>
      <w:bookmarkEnd w:id="38"/>
      <w:bookmarkEnd w:id="39"/>
      <w:r>
        <w:rPr/>
        <w:t>Transport  et Emballages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Il n'est pas prévu de dispositions particulières. </w:t>
      </w:r>
    </w:p>
    <w:p>
      <w:pPr>
        <w:pStyle w:val="Titre2"/>
        <w:numPr>
          <w:ilvl w:val="1"/>
          <w:numId w:val="2"/>
        </w:numPr>
        <w:rPr/>
      </w:pPr>
      <w:bookmarkStart w:id="40" w:name="__RefHeading___Toc15496_3955681305"/>
      <w:bookmarkStart w:id="41" w:name="_Toc3864"/>
      <w:bookmarkEnd w:id="40"/>
      <w:bookmarkEnd w:id="41"/>
      <w:r>
        <w:rPr/>
        <w:t>Lieux d'exécution ou de livraison</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prestations sont réalisées dans les locaux du titulaire du marché.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lieu de livraison est précisé dans chaque bon de commande.</w:t>
      </w:r>
    </w:p>
    <w:p>
      <w:pPr>
        <w:pStyle w:val="Normal"/>
        <w:spacing w:before="120" w:after="0"/>
        <w:rPr/>
      </w:pPr>
      <w:r>
        <w:rPr>
          <w:rFonts w:eastAsia="arial" w:cs="arial" w:ascii="arial" w:hAnsi="arial"/>
          <w:b w:val="false"/>
          <w:i w:val="false"/>
          <w:color w:val="000000"/>
          <w:sz w:val="20"/>
          <w:u w:val="none"/>
          <w:shd w:fill="FFFFFF" w:val="clear"/>
        </w:rPr>
        <w:t>La livraison sera accompagnée d'un bulletin de livraison établi par le titulaire en double exemplaire mentionnant :</w:t>
      </w:r>
    </w:p>
    <w:p>
      <w:pPr>
        <w:pStyle w:val="Normal"/>
        <w:spacing w:before="120" w:after="0"/>
        <w:rPr/>
      </w:pPr>
      <w:r>
        <w:rPr>
          <w:rFonts w:eastAsia="arial" w:cs="arial" w:ascii="arial" w:hAnsi="arial"/>
          <w:b w:val="false"/>
          <w:i w:val="false"/>
          <w:color w:val="000000"/>
          <w:sz w:val="20"/>
          <w:u w:val="none"/>
          <w:shd w:fill="FFFFFF" w:val="clear"/>
        </w:rPr>
        <w:t>- Le numéro du marché</w:t>
      </w:r>
    </w:p>
    <w:p>
      <w:pPr>
        <w:pStyle w:val="Normal"/>
        <w:spacing w:before="120" w:after="0"/>
        <w:rPr/>
      </w:pPr>
      <w:r>
        <w:rPr>
          <w:rFonts w:eastAsia="arial" w:cs="arial" w:ascii="arial" w:hAnsi="arial"/>
          <w:b w:val="false"/>
          <w:i w:val="false"/>
          <w:color w:val="000000"/>
          <w:sz w:val="20"/>
          <w:u w:val="none"/>
          <w:shd w:fill="FFFFFF" w:val="clear"/>
        </w:rPr>
        <w:t>- L'identification du titulaire</w:t>
      </w:r>
    </w:p>
    <w:p>
      <w:pPr>
        <w:pStyle w:val="Normal"/>
        <w:spacing w:before="120" w:after="0"/>
        <w:rPr/>
      </w:pPr>
      <w:r>
        <w:rPr>
          <w:rFonts w:eastAsia="arial" w:cs="arial" w:ascii="arial" w:hAnsi="arial"/>
          <w:b w:val="false"/>
          <w:i w:val="false"/>
          <w:color w:val="000000"/>
          <w:sz w:val="20"/>
          <w:u w:val="none"/>
          <w:shd w:fill="FFFFFF" w:val="clear"/>
        </w:rPr>
        <w:t>- La date de livraison</w:t>
      </w:r>
    </w:p>
    <w:p>
      <w:pPr>
        <w:pStyle w:val="Normal"/>
        <w:spacing w:before="120" w:after="0"/>
        <w:rPr/>
      </w:pPr>
      <w:r>
        <w:rPr>
          <w:rFonts w:eastAsia="arial" w:cs="arial" w:ascii="arial" w:hAnsi="arial"/>
          <w:b w:val="false"/>
          <w:i w:val="false"/>
          <w:color w:val="000000"/>
          <w:sz w:val="20"/>
          <w:u w:val="none"/>
          <w:shd w:fill="FFFFFF" w:val="clear"/>
        </w:rPr>
        <w:t>- Le service destinataire</w:t>
      </w:r>
    </w:p>
    <w:p>
      <w:pPr>
        <w:pStyle w:val="Normal"/>
        <w:spacing w:before="120" w:after="0"/>
        <w:rPr/>
      </w:pPr>
      <w:r>
        <w:rPr>
          <w:rFonts w:eastAsia="arial" w:cs="arial" w:ascii="arial" w:hAnsi="arial"/>
          <w:b w:val="false"/>
          <w:i w:val="false"/>
          <w:color w:val="000000"/>
          <w:sz w:val="20"/>
          <w:u w:val="none"/>
          <w:shd w:fill="FFFFFF" w:val="clear"/>
        </w:rPr>
        <w:t>- Le numéro et la date du bon de commande</w:t>
      </w:r>
    </w:p>
    <w:p>
      <w:pPr>
        <w:pStyle w:val="Normal"/>
        <w:spacing w:before="120" w:after="0"/>
        <w:rPr/>
      </w:pPr>
      <w:r>
        <w:rPr>
          <w:rFonts w:eastAsia="arial" w:cs="arial" w:ascii="arial" w:hAnsi="arial"/>
          <w:b w:val="false"/>
          <w:i w:val="false"/>
          <w:color w:val="000000"/>
          <w:sz w:val="20"/>
          <w:u w:val="none"/>
          <w:shd w:fill="FFFFFF" w:val="clear"/>
        </w:rPr>
        <w:t>- La désignation des articles et quantités livrées.</w:t>
      </w:r>
    </w:p>
    <w:p>
      <w:pPr>
        <w:pStyle w:val="Titre1"/>
        <w:numPr>
          <w:ilvl w:val="0"/>
          <w:numId w:val="2"/>
        </w:numPr>
        <w:rPr/>
      </w:pPr>
      <w:bookmarkStart w:id="42" w:name="__RefHeading___Toc15498_3955681305"/>
      <w:bookmarkStart w:id="43" w:name="_Toc3865"/>
      <w:bookmarkEnd w:id="42"/>
      <w:bookmarkEnd w:id="43"/>
      <w:r>
        <w:rPr/>
        <w:t>CONDITIONS PARTICULIERES D'EXECUTION</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C.C.T.P. du marché fixe les conditions particulières d'exécution.</w:t>
      </w:r>
    </w:p>
    <w:p>
      <w:pPr>
        <w:pStyle w:val="Titre1"/>
        <w:numPr>
          <w:ilvl w:val="0"/>
          <w:numId w:val="2"/>
        </w:numPr>
        <w:rPr/>
      </w:pPr>
      <w:bookmarkStart w:id="44" w:name="__RefHeading___Toc15500_3955681305"/>
      <w:bookmarkStart w:id="45" w:name="_Toc3866"/>
      <w:bookmarkEnd w:id="44"/>
      <w:bookmarkEnd w:id="45"/>
      <w:r>
        <w:rPr/>
        <w:t>OPERATIONS DE VERIFICATIONS / ADMISSION</w:t>
      </w:r>
    </w:p>
    <w:p>
      <w:pPr>
        <w:pStyle w:val="Titre2"/>
        <w:numPr>
          <w:ilvl w:val="1"/>
          <w:numId w:val="2"/>
        </w:numPr>
        <w:rPr/>
      </w:pPr>
      <w:bookmarkStart w:id="46" w:name="__RefHeading___Toc15502_3955681305"/>
      <w:bookmarkStart w:id="47" w:name="_Toc3867"/>
      <w:bookmarkEnd w:id="46"/>
      <w:bookmarkEnd w:id="47"/>
      <w:r>
        <w:rPr/>
        <w:t>Vérifications</w:t>
      </w:r>
    </w:p>
    <w:p>
      <w:pPr>
        <w:pStyle w:val="Corpsdetexte"/>
        <w:shd w:val="clear" w:fill="FFFFFF"/>
        <w:spacing w:before="0" w:after="0"/>
        <w:ind w:left="0" w:right="0" w:hanging="0"/>
        <w:rPr>
          <w:rFonts w:ascii="Arial" w:hAnsi="Arial"/>
          <w:bCs/>
        </w:rPr>
      </w:pPr>
      <w:r>
        <w:rPr>
          <w:bCs/>
        </w:rPr>
        <w:t xml:space="preserve">Les denrées alimentaires livrées feront l’objet des vérifications quantitatives pour s’assurer de leur conformité aux bons de commande. </w:t>
      </w:r>
    </w:p>
    <w:p>
      <w:pPr>
        <w:pStyle w:val="Corpsdetexte"/>
        <w:shd w:val="clear" w:fill="FFFFFF"/>
        <w:spacing w:before="0" w:after="0"/>
        <w:ind w:left="0" w:right="0" w:hanging="0"/>
        <w:rPr>
          <w:rFonts w:ascii="Arial" w:hAnsi="Arial"/>
          <w:bCs/>
        </w:rPr>
      </w:pPr>
      <w:r>
        <w:rPr>
          <w:bCs/>
        </w:rPr>
        <w:t>La Mairie d’arrondissements dispose à compter de la livraison d’un délai de quinze jours pour effectuer les vérifications concernant la fiabilité du produit et sa concordance au bordereau de prix (non inclus les week - end et jours fériés).</w:t>
      </w:r>
    </w:p>
    <w:p>
      <w:pPr>
        <w:pStyle w:val="Corpsdetexte"/>
        <w:shd w:val="clear" w:fill="FFFFFF"/>
        <w:spacing w:before="0" w:after="0"/>
        <w:ind w:left="0" w:right="0" w:hanging="0"/>
        <w:rPr>
          <w:rFonts w:ascii="Arial" w:hAnsi="Arial"/>
        </w:rPr>
      </w:pPr>
      <w:r>
        <w:rPr>
          <w:bCs/>
        </w:rPr>
        <w:t>Au cours de cette période, les fournitures peuvent faire l’objet d’un rejet.</w:t>
      </w:r>
      <w:r>
        <w:rPr/>
        <w:t xml:space="preserve"> En effet, bien que réceptionnées par l’administration, les fournitures s’avérant non conformes aux conditions posées par la réglementation ou par les documents contractuels constituant le présent marché resteront pour le compte du fournisseur, qui devra les enlever et les remplacer immédiatement.  </w:t>
      </w:r>
    </w:p>
    <w:p>
      <w:pPr>
        <w:pStyle w:val="Corpsdetexte"/>
        <w:shd w:val="clear" w:fill="FFFFFF"/>
        <w:spacing w:before="0" w:after="0"/>
        <w:ind w:left="0" w:right="0" w:hanging="0"/>
        <w:rPr>
          <w:rFonts w:ascii="Arial" w:hAnsi="Arial"/>
        </w:rPr>
      </w:pPr>
      <w:r>
        <w:rPr/>
        <w:t>En cas de refus de sa part, ou s’il se trouve dans l’impossibilité d’effectuer le remplacement immédiat, les marchandises resteront dès l’instant du refus, aux risques et périls du titulaire du marché.</w:t>
      </w:r>
    </w:p>
    <w:p>
      <w:pPr>
        <w:pStyle w:val="Corpsdetexte"/>
        <w:shd w:val="clear" w:fill="FFFFFF"/>
        <w:spacing w:before="0" w:after="0"/>
        <w:ind w:left="0" w:right="0" w:hanging="0"/>
        <w:rPr>
          <w:rFonts w:ascii="Arial" w:hAnsi="Arial"/>
          <w:bCs/>
        </w:rPr>
      </w:pPr>
      <w:r>
        <w:rPr>
          <w:bCs/>
        </w:rPr>
        <w:t>Dans le silence de la personne publique et, passé le délai de vérification, les produits sont réputés acceptés.</w:t>
      </w:r>
    </w:p>
    <w:p>
      <w:pPr>
        <w:pStyle w:val="Corpsdetexte"/>
        <w:shd w:val="clear" w:fill="FFFFFF"/>
        <w:spacing w:before="0" w:after="0"/>
        <w:ind w:left="0" w:right="0" w:hanging="0"/>
        <w:jc w:val="both"/>
        <w:rPr>
          <w:rFonts w:ascii="Arial" w:hAnsi="Arial"/>
        </w:rPr>
      </w:pPr>
      <w:r>
        <w:rPr/>
      </w:r>
    </w:p>
    <w:p>
      <w:pPr>
        <w:pStyle w:val="Normal"/>
        <w:rPr/>
      </w:pPr>
      <w:r>
        <w:rPr>
          <w:rFonts w:eastAsia="Arial" w:cs="Arial" w:ascii="arial" w:hAnsi="arial"/>
          <w:b w:val="false"/>
          <w:i w:val="false"/>
          <w:color w:val="000000"/>
          <w:sz w:val="20"/>
          <w:u w:val="none"/>
          <w:shd w:fill="FFFFFF" w:val="clear"/>
        </w:rPr>
        <w:t xml:space="preserve">L'article 27.3 du CCAG/FCS n'est pas applicable. </w:t>
      </w:r>
    </w:p>
    <w:p>
      <w:pPr>
        <w:pStyle w:val="Titre2"/>
        <w:numPr>
          <w:ilvl w:val="1"/>
          <w:numId w:val="2"/>
        </w:numPr>
        <w:rPr/>
      </w:pPr>
      <w:bookmarkStart w:id="48" w:name="__RefHeading___Toc15504_3955681305"/>
      <w:bookmarkStart w:id="49" w:name="_Toc3868"/>
      <w:bookmarkEnd w:id="48"/>
      <w:bookmarkEnd w:id="49"/>
      <w:r>
        <w:rPr/>
        <w:t>Admission</w:t>
      </w:r>
    </w:p>
    <w:p>
      <w:pPr>
        <w:pStyle w:val="Normal"/>
        <w:rPr/>
      </w:pPr>
      <w:r>
        <w:rPr>
          <w:b w:val="false"/>
          <w:i w:val="false"/>
          <w:u w:val="none"/>
        </w:rPr>
        <w:t xml:space="preserve"> </w:t>
      </w:r>
      <w:r>
        <w:rPr>
          <w:b w:val="false"/>
          <w:i w:val="false"/>
          <w:u w:val="none"/>
        </w:rPr>
        <w:t xml:space="preserve">Suite aux vérifications, les décisions d'admission, de réfaction, d'ajournement ou de rejet des </w:t>
      </w:r>
      <w:r>
        <w:rPr>
          <w:b/>
          <w:bCs/>
          <w:i w:val="false"/>
          <w:u w:val="none"/>
        </w:rPr>
        <w:t>fournitures</w:t>
      </w:r>
      <w:r>
        <w:rPr>
          <w:b/>
          <w:i w:val="false"/>
          <w:u w:val="none"/>
        </w:rPr>
        <w:t xml:space="preserve"> </w:t>
      </w:r>
      <w:r>
        <w:rPr>
          <w:b w:val="false"/>
          <w:i w:val="false"/>
          <w:u w:val="none"/>
        </w:rPr>
        <w:t xml:space="preserve">sont prises dans les conditions prévues à l'article 30 du C.C.A.G./F.C.S par le responsable désigné par la personne publique. Les opérations de vérification et la notification de la décision du pouvoir adjudicateur doivent être effectuées sous un délai de quinze jours. Passé ce délai, la décision d'admission des </w:t>
      </w:r>
      <w:r>
        <w:rPr>
          <w:b/>
          <w:i w:val="false"/>
          <w:u w:val="none"/>
        </w:rPr>
        <w:t>fournitures</w:t>
      </w:r>
      <w:r>
        <w:rPr>
          <w:b w:val="false"/>
          <w:i w:val="false"/>
          <w:u w:val="none"/>
        </w:rPr>
        <w:t xml:space="preserve"> est réputée acquise.</w:t>
      </w:r>
    </w:p>
    <w:p>
      <w:pPr>
        <w:pStyle w:val="Normal"/>
        <w:rPr>
          <w:b w:val="false"/>
          <w:b w:val="false"/>
          <w:i w:val="false"/>
          <w:i w:val="false"/>
          <w:sz w:val="21"/>
          <w:szCs w:val="21"/>
          <w:u w:val="none"/>
        </w:rPr>
      </w:pPr>
      <w:r>
        <w:rPr>
          <w:b w:val="false"/>
          <w:i w:val="false"/>
          <w:sz w:val="21"/>
          <w:szCs w:val="21"/>
          <w:u w:val="none"/>
        </w:rPr>
      </w:r>
    </w:p>
    <w:p>
      <w:pPr>
        <w:pStyle w:val="Normal"/>
        <w:bidi w:val="0"/>
        <w:spacing w:before="122" w:after="0"/>
        <w:contextualSpacing/>
        <w:jc w:val="left"/>
        <w:rPr>
          <w:sz w:val="20"/>
          <w:szCs w:val="20"/>
          <w:u w:val="none"/>
          <w:shd w:fill="5B9BD5" w:val="clear"/>
        </w:rPr>
      </w:pPr>
      <w:r>
        <w:rPr>
          <w:sz w:val="20"/>
          <w:szCs w:val="20"/>
          <w:u w:val="none"/>
          <w:shd w:fill="5B9BD5" w:val="clear"/>
        </w:rPr>
      </w:r>
    </w:p>
    <w:p>
      <w:pPr>
        <w:pStyle w:val="Titre1"/>
        <w:numPr>
          <w:ilvl w:val="0"/>
          <w:numId w:val="2"/>
        </w:numPr>
        <w:rPr/>
      </w:pPr>
      <w:bookmarkStart w:id="50" w:name="__RefHeading___Toc15506_3955681305"/>
      <w:bookmarkStart w:id="51" w:name="_Toc3869"/>
      <w:bookmarkEnd w:id="50"/>
      <w:bookmarkEnd w:id="51"/>
      <w:r>
        <w:rPr/>
        <w:t>GARANTIE CONTRACTUELLE</w:t>
      </w:r>
    </w:p>
    <w:p>
      <w:pPr>
        <w:pStyle w:val="Titre2"/>
        <w:numPr>
          <w:ilvl w:val="1"/>
          <w:numId w:val="2"/>
        </w:numPr>
        <w:rPr/>
      </w:pPr>
      <w:bookmarkStart w:id="52" w:name="__RefHeading___Toc15508_3955681305"/>
      <w:bookmarkStart w:id="53" w:name="_Toc3870"/>
      <w:bookmarkEnd w:id="52"/>
      <w:bookmarkEnd w:id="53"/>
      <w:r>
        <w:rPr/>
        <w:t>Durée de garantie</w:t>
      </w:r>
    </w:p>
    <w:p>
      <w:pPr>
        <w:pStyle w:val="Normal"/>
        <w:rPr/>
      </w:pPr>
      <w:r>
        <w:rPr>
          <w:rFonts w:eastAsia="arial" w:cs="arial" w:ascii="arial" w:hAnsi="arial"/>
          <w:b w:val="false"/>
          <w:i w:val="false"/>
          <w:color w:val="000000"/>
          <w:sz w:val="20"/>
          <w:u w:val="none"/>
          <w:shd w:fill="FFFFFF" w:val="clear"/>
        </w:rPr>
        <w:t xml:space="preserve">Les </w:t>
      </w:r>
      <w:r>
        <w:rPr>
          <w:rFonts w:eastAsia="arial" w:cs="arial" w:ascii="arial" w:hAnsi="arial"/>
          <w:b/>
          <w:i w:val="false"/>
          <w:color w:val="000000"/>
          <w:sz w:val="20"/>
          <w:u w:val="none"/>
          <w:shd w:fill="FFFFFF" w:val="clear"/>
        </w:rPr>
        <w:t>prestations</w:t>
      </w:r>
      <w:r>
        <w:rPr>
          <w:rFonts w:eastAsia="arial" w:cs="arial" w:ascii="arial" w:hAnsi="arial"/>
          <w:b w:val="false"/>
          <w:i w:val="false"/>
          <w:color w:val="000000"/>
          <w:sz w:val="20"/>
          <w:u w:val="none"/>
          <w:shd w:fill="FFFFFF" w:val="clear"/>
        </w:rPr>
        <w:t xml:space="preserve"> font l'objet d'une garantie d'une durée de 1 an, conformément à l'article 33 du CCAG/FCS.</w:t>
      </w:r>
    </w:p>
    <w:p>
      <w:pPr>
        <w:pStyle w:val="Normal"/>
        <w:spacing w:before="0" w:after="0"/>
        <w:ind w:left="0" w:right="0" w:hanging="0"/>
        <w:jc w:val="both"/>
        <w:rPr/>
      </w:pPr>
      <w:r>
        <w:rPr/>
      </w:r>
    </w:p>
    <w:p>
      <w:pPr>
        <w:pStyle w:val="Titre2"/>
        <w:numPr>
          <w:ilvl w:val="1"/>
          <w:numId w:val="2"/>
        </w:numPr>
        <w:rPr/>
      </w:pPr>
      <w:bookmarkStart w:id="54" w:name="__RefHeading___Toc15510_3955681305"/>
      <w:bookmarkStart w:id="55" w:name="_Toc3871"/>
      <w:bookmarkEnd w:id="54"/>
      <w:bookmarkEnd w:id="55"/>
      <w:r>
        <w:rPr/>
        <w:t>Point de départ de la garantie</w:t>
      </w:r>
    </w:p>
    <w:p>
      <w:pPr>
        <w:pStyle w:val="Normal"/>
        <w:rPr/>
      </w:pPr>
      <w:r>
        <w:rPr>
          <w:rFonts w:eastAsia="arial" w:cs="arial" w:ascii="arial" w:hAnsi="arial"/>
          <w:b w:val="false"/>
          <w:i w:val="false"/>
          <w:color w:val="000000"/>
          <w:sz w:val="20"/>
          <w:u w:val="none"/>
          <w:shd w:fill="FFFFFF" w:val="clear"/>
        </w:rPr>
        <w:t>Conformément à l'article 33.1 du CCAG/FCS, le point de départ du délai de garantie est la date de notification de la décision d'admission.</w:t>
      </w:r>
    </w:p>
    <w:p>
      <w:pPr>
        <w:pStyle w:val="Titre1"/>
        <w:numPr>
          <w:ilvl w:val="0"/>
          <w:numId w:val="2"/>
        </w:numPr>
        <w:rPr/>
      </w:pPr>
      <w:bookmarkStart w:id="56" w:name="__RefHeading___Toc15512_3955681305"/>
      <w:bookmarkStart w:id="57" w:name="_Toc4318"/>
      <w:bookmarkEnd w:id="56"/>
      <w:bookmarkEnd w:id="57"/>
      <w:r>
        <w:rPr/>
        <w:t>PROPRIETE INTELLECTUELLE ET UTILISATION DES RESULTATS</w:t>
      </w:r>
    </w:p>
    <w:p>
      <w:pPr>
        <w:pStyle w:val="Normal"/>
        <w:rPr/>
      </w:pPr>
      <w:r>
        <w:rPr>
          <w:rFonts w:eastAsia="arial" w:cs="arial" w:ascii="arial" w:hAnsi="arial"/>
          <w:b w:val="false"/>
          <w:i w:val="false"/>
          <w:color w:val="000000"/>
          <w:sz w:val="20"/>
          <w:u w:val="none"/>
          <w:shd w:fill="FFFFFF" w:val="clear"/>
        </w:rPr>
        <w:t>L'utilisation des résultats, et notamment les droits respectifs du pouvoir adjudicateur et du titulaire en la matière, sont définis à l'article 37 du CCAG FCS.</w:t>
      </w:r>
    </w:p>
    <w:p>
      <w:pPr>
        <w:pStyle w:val="Normal"/>
        <w:spacing w:before="120" w:after="0"/>
        <w:rPr/>
      </w:pPr>
      <w:r>
        <w:rPr>
          <w:rFonts w:eastAsia="arial" w:cs="arial" w:ascii="arial" w:hAnsi="arial"/>
          <w:b w:val="false"/>
          <w:i w:val="false"/>
          <w:color w:val="000000"/>
          <w:sz w:val="20"/>
          <w:u w:val="none"/>
          <w:shd w:fill="FFFFFF" w:val="clear"/>
        </w:rPr>
        <w:t>Il n'est pas prévu de disposition particulière.</w:t>
      </w:r>
    </w:p>
    <w:p>
      <w:pPr>
        <w:pStyle w:val="Normal"/>
        <w:spacing w:before="120" w:after="0"/>
        <w:rPr/>
      </w:pPr>
      <w:r>
        <w:rPr/>
      </w:r>
    </w:p>
    <w:p>
      <w:pPr>
        <w:pStyle w:val="Normal"/>
        <w:spacing w:before="120" w:after="0"/>
        <w:rPr/>
      </w:pPr>
      <w:r>
        <w:rPr/>
      </w:r>
    </w:p>
    <w:p>
      <w:pPr>
        <w:pStyle w:val="Titre1"/>
        <w:numPr>
          <w:ilvl w:val="0"/>
          <w:numId w:val="2"/>
        </w:numPr>
        <w:rPr/>
      </w:pPr>
      <w:bookmarkStart w:id="58" w:name="__RefHeading___Toc15514_3955681305"/>
      <w:bookmarkStart w:id="59" w:name="_Toc4557"/>
      <w:bookmarkEnd w:id="58"/>
      <w:bookmarkEnd w:id="59"/>
      <w:r>
        <w:rPr/>
        <w:t>CONFIDENTIALITE ET MESURES DE SECURITE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dispositions du CCAG FCS (articles 5 et 14) s'appliquent, sans dispositions particulières.</w:t>
      </w:r>
    </w:p>
    <w:p>
      <w:pPr>
        <w:pStyle w:val="Titre1"/>
        <w:numPr>
          <w:ilvl w:val="0"/>
          <w:numId w:val="2"/>
        </w:numPr>
        <w:rPr/>
      </w:pPr>
      <w:bookmarkStart w:id="60" w:name="__RefHeading___Toc15516_3955681305"/>
      <w:bookmarkStart w:id="61" w:name="_Toc3872"/>
      <w:bookmarkEnd w:id="60"/>
      <w:bookmarkEnd w:id="61"/>
      <w:r>
        <w:rPr/>
        <w:t>MODALITES DE DETERMINATION DES PRIX</w:t>
      </w:r>
    </w:p>
    <w:p>
      <w:pPr>
        <w:pStyle w:val="Titre2"/>
        <w:numPr>
          <w:ilvl w:val="1"/>
          <w:numId w:val="2"/>
        </w:numPr>
        <w:rPr/>
      </w:pPr>
      <w:bookmarkStart w:id="62" w:name="__RefHeading___Toc15518_3955681305"/>
      <w:bookmarkStart w:id="63" w:name="_Toc3873"/>
      <w:bookmarkEnd w:id="62"/>
      <w:bookmarkEnd w:id="63"/>
      <w:r>
        <w:rPr/>
        <w:t>Nature du prix</w:t>
      </w:r>
    </w:p>
    <w:p>
      <w:pPr>
        <w:pStyle w:val="Normal"/>
        <w:rPr/>
      </w:pPr>
      <w:r>
        <w:rPr>
          <w:rFonts w:eastAsia="arial" w:cs="arial" w:ascii="arial" w:hAnsi="arial"/>
          <w:b w:val="false"/>
          <w:i w:val="false"/>
          <w:color w:val="000000"/>
          <w:sz w:val="20"/>
          <w:u w:val="single"/>
          <w:shd w:fill="FFFFFF" w:val="clear"/>
        </w:rPr>
        <w:t>Prix unitaires :</w:t>
      </w:r>
    </w:p>
    <w:p>
      <w:pPr>
        <w:pStyle w:val="Normal"/>
        <w:spacing w:before="120" w:after="0"/>
        <w:rPr/>
      </w:pPr>
      <w:r>
        <w:rPr>
          <w:rFonts w:eastAsia="arial" w:cs="arial" w:ascii="arial" w:hAnsi="arial"/>
          <w:b w:val="false"/>
          <w:i w:val="false"/>
          <w:color w:val="000000"/>
          <w:sz w:val="20"/>
          <w:u w:val="none"/>
          <w:shd w:fill="FFFFFF" w:val="clear"/>
        </w:rPr>
        <w:t>Le marché est conclu aux prix unitaires figurant dans le BPU.</w:t>
      </w:r>
    </w:p>
    <w:p>
      <w:pPr>
        <w:pStyle w:val="Normal"/>
        <w:rPr>
          <w:rFonts w:ascii="arial" w:hAnsi="arial" w:eastAsia="arial" w:cs="arial"/>
          <w:b/>
          <w:b/>
          <w:i w:val="false"/>
          <w:i w:val="false"/>
          <w:color w:val="000000"/>
          <w:sz w:val="20"/>
          <w:highlight w:val="white"/>
          <w:u w:val="single"/>
        </w:rPr>
      </w:pPr>
      <w:r>
        <w:rPr>
          <w:rFonts w:eastAsia="arial" w:cs="arial" w:ascii="arial" w:hAnsi="arial"/>
          <w:b/>
          <w:i w:val="false"/>
          <w:color w:val="000000"/>
          <w:sz w:val="20"/>
          <w:highlight w:val="white"/>
          <w:u w:val="single"/>
        </w:rPr>
      </w:r>
    </w:p>
    <w:p>
      <w:pPr>
        <w:pStyle w:val="Normal"/>
        <w:rPr/>
      </w:pPr>
      <w:r>
        <w:rPr>
          <w:rFonts w:eastAsia="arial" w:cs="arial" w:ascii="arial" w:hAnsi="arial"/>
          <w:b/>
          <w:i w:val="false"/>
          <w:color w:val="000000"/>
          <w:sz w:val="20"/>
          <w:u w:val="single"/>
          <w:shd w:fill="FFFFFF" w:val="clear"/>
        </w:rPr>
        <w:t>OFFRES PROMOTIONNELLES</w:t>
      </w:r>
    </w:p>
    <w:p>
      <w:pPr>
        <w:pStyle w:val="Normal"/>
        <w:spacing w:before="120" w:after="0"/>
        <w:rPr/>
      </w:pPr>
      <w:r>
        <w:rPr>
          <w:rFonts w:eastAsia="arial" w:cs="arial" w:ascii="arial" w:hAnsi="arial"/>
          <w:b w:val="false"/>
          <w:i w:val="false"/>
          <w:color w:val="000000"/>
          <w:sz w:val="20"/>
          <w:u w:val="none"/>
          <w:shd w:fill="FFFFFF" w:val="clear"/>
        </w:rPr>
        <w:t>Le titulaire pourra facturer les prestations ou les fournitures en fonction des offres promotionnelles momentanées appliquées à ses tarifs publics, à condition qu'elles soient plus avantageuses que les prix prévus au marché.</w:t>
      </w:r>
    </w:p>
    <w:p>
      <w:pPr>
        <w:pStyle w:val="Normal"/>
        <w:spacing w:before="120" w:after="0"/>
        <w:rPr/>
      </w:pPr>
      <w:r>
        <w:rPr>
          <w:rFonts w:eastAsia="arial" w:cs="arial" w:ascii="arial" w:hAnsi="arial"/>
          <w:b w:val="false"/>
          <w:i w:val="false"/>
          <w:color w:val="000000"/>
          <w:sz w:val="20"/>
          <w:u w:val="none"/>
          <w:shd w:fill="FFFFFF" w:val="clear"/>
        </w:rPr>
        <w:t>Il signalera au service gestionnaire de la Ville de Marseille, suffisamment tôt, par message mail ou télécopie ou document promotionnel, l'existence de ces tarifs et leur période d'application, afin que celui-ci puisse en tenir compte dans ses commandes, ses bons de commande et leur planification.</w:t>
      </w:r>
    </w:p>
    <w:p>
      <w:pPr>
        <w:pStyle w:val="Normal"/>
        <w:rPr/>
      </w:pPr>
      <w:r>
        <w:rPr>
          <w:rFonts w:eastAsia="arial" w:cs="arial" w:ascii="arial" w:hAnsi="arial"/>
          <w:b w:val="false"/>
          <w:i w:val="false"/>
          <w:color w:val="000000"/>
          <w:sz w:val="20"/>
          <w:u w:val="none"/>
          <w:shd w:fill="FFFFFF" w:val="clear"/>
        </w:rPr>
        <w:t>Le taux de la TVA à prendre en considération est celui en vigueur à la date du fait générateur, conformément à l'article 269 du CGI.</w:t>
      </w:r>
    </w:p>
    <w:p>
      <w:pPr>
        <w:pStyle w:val="Titre2"/>
        <w:numPr>
          <w:ilvl w:val="1"/>
          <w:numId w:val="2"/>
        </w:numPr>
        <w:rPr/>
      </w:pPr>
      <w:bookmarkStart w:id="64" w:name="__RefHeading___Toc15520_3955681305"/>
      <w:bookmarkStart w:id="65" w:name="_Toc3874"/>
      <w:bookmarkEnd w:id="64"/>
      <w:bookmarkEnd w:id="65"/>
      <w:r>
        <w:rPr/>
        <w:t>Variations de prix</w:t>
      </w:r>
    </w:p>
    <w:p>
      <w:pPr>
        <w:pStyle w:val="Normal"/>
        <w:rPr>
          <w:b w:val="false"/>
          <w:b w:val="false"/>
          <w:i w:val="false"/>
          <w:i w:val="false"/>
          <w:u w:val="none"/>
        </w:rPr>
      </w:pPr>
      <w:r>
        <w:rPr>
          <w:b w:val="false"/>
          <w:i w:val="false"/>
          <w:u w:val="none"/>
        </w:rPr>
        <w:t>Le marché est traité aux prix unitaires hors taxes. Les prix sont réputés comprendre toutes les charges fiscales, parafiscales ou autres frappant la prestation à la date de passation du marché, ainsi que tous les frais relatifs au conditionnement, à l'emballage, la manutention, l'assurance, stockage et transport jusqu'au lieu de livraison.</w:t>
      </w:r>
    </w:p>
    <w:p>
      <w:pPr>
        <w:pStyle w:val="Normal"/>
        <w:rPr>
          <w:b w:val="false"/>
          <w:b w:val="false"/>
          <w:i w:val="false"/>
          <w:i w:val="false"/>
          <w:u w:val="none"/>
        </w:rPr>
      </w:pPr>
      <w:r>
        <w:rPr>
          <w:b w:val="false"/>
          <w:i w:val="false"/>
          <w:u w:val="none"/>
        </w:rPr>
      </w:r>
    </w:p>
    <w:p>
      <w:pPr>
        <w:pStyle w:val="Normal"/>
        <w:rPr/>
      </w:pPr>
      <w:r>
        <w:rPr>
          <w:b w:val="false"/>
          <w:i w:val="false"/>
          <w:u w:val="none"/>
        </w:rPr>
        <w:t>Révisions des prix par ajustement :</w:t>
      </w:r>
    </w:p>
    <w:p>
      <w:pPr>
        <w:pStyle w:val="Normal"/>
        <w:spacing w:before="120" w:after="0"/>
        <w:rPr/>
      </w:pPr>
      <w:r>
        <w:rPr>
          <w:rFonts w:eastAsia="arial" w:cs="arial" w:ascii="arial" w:hAnsi="arial"/>
          <w:b w:val="false"/>
          <w:i w:val="false"/>
          <w:color w:val="000000"/>
          <w:sz w:val="20"/>
          <w:u w:val="none"/>
          <w:shd w:fill="FFFFFF" w:val="clear"/>
        </w:rPr>
        <w:t>Les prix révisés correspondent aux prix publics du prestataire.</w:t>
      </w:r>
    </w:p>
    <w:p>
      <w:pPr>
        <w:pStyle w:val="Normal"/>
        <w:spacing w:before="120" w:after="0"/>
        <w:rPr/>
      </w:pPr>
      <w:r>
        <w:rPr>
          <w:rFonts w:eastAsia="arial" w:cs="arial" w:ascii="arial" w:hAnsi="arial"/>
          <w:b/>
          <w:bCs/>
          <w:i w:val="false"/>
          <w:color w:val="000000"/>
          <w:sz w:val="20"/>
          <w:u w:val="single"/>
          <w:shd w:fill="FFFFFF" w:val="clear"/>
        </w:rPr>
        <w:t>Le titulaire peut ajuster ses prix unitaires à la date d’exécution des prestations faisant l’objet du bon de commande, selon ses tarifs prix publics.</w:t>
      </w:r>
    </w:p>
    <w:p>
      <w:pPr>
        <w:pStyle w:val="Normal"/>
        <w:spacing w:before="120" w:after="0"/>
        <w:rPr/>
      </w:pPr>
      <w:r>
        <w:rPr>
          <w:rFonts w:eastAsia="arial" w:cs="arial" w:ascii="arial" w:hAnsi="arial"/>
          <w:b w:val="false"/>
          <w:i w:val="false"/>
          <w:color w:val="000000"/>
          <w:sz w:val="20"/>
          <w:u w:val="none"/>
          <w:shd w:fill="FFFFFF" w:val="clear"/>
        </w:rPr>
        <w:t xml:space="preserve">Le titulaire s’engage à notifier par lettre recommandée avec demande d’accusé de réception à la </w:t>
      </w:r>
      <w:r>
        <w:rPr>
          <w:rFonts w:eastAsia="arial" w:cs="arial" w:ascii="arial" w:hAnsi="arial"/>
          <w:b w:val="false"/>
          <w:bCs w:val="false"/>
          <w:i w:val="false"/>
          <w:color w:val="000000"/>
          <w:sz w:val="20"/>
          <w:u w:val="none"/>
          <w:shd w:fill="FFFFFF" w:val="clear"/>
        </w:rPr>
        <w:t xml:space="preserve">Mairie des 9ème et 10ème Arrondissements </w:t>
      </w:r>
      <w:r>
        <w:rPr>
          <w:rFonts w:eastAsia="arial" w:cs="arial" w:ascii="arial" w:hAnsi="arial"/>
          <w:b w:val="false"/>
          <w:i w:val="false"/>
          <w:color w:val="000000"/>
          <w:sz w:val="20"/>
          <w:u w:val="none"/>
          <w:shd w:fill="FFFFFF" w:val="clear"/>
        </w:rPr>
        <w:t xml:space="preserve">le nouveau BPU mis à jour (nouvelles références, nouveaux tarifs prix publics) avec un préavis de 7 jours à l’adresse suivante : </w:t>
      </w:r>
    </w:p>
    <w:p>
      <w:pPr>
        <w:pStyle w:val="Normal"/>
        <w:spacing w:before="120" w:after="0"/>
        <w:rPr>
          <w:rFonts w:ascii="arial" w:hAnsi="arial" w:eastAsia="arial" w:cs="arial"/>
          <w:b w:val="false"/>
          <w:b w:val="false"/>
          <w:i w:val="false"/>
          <w:i w:val="false"/>
          <w:color w:val="000000"/>
          <w:sz w:val="20"/>
          <w:u w:val="none"/>
          <w:shd w:fill="FFFFFF" w:val="clear"/>
        </w:rPr>
      </w:pPr>
      <w:r>
        <w:rPr>
          <w:rFonts w:eastAsia="arial" w:cs="arial" w:ascii="arial" w:hAnsi="arial"/>
          <w:b w:val="false"/>
          <w:i w:val="false"/>
          <w:color w:val="000000"/>
          <w:sz w:val="20"/>
          <w:u w:val="none"/>
          <w:shd w:fill="FFFFFF" w:val="clear"/>
        </w:rPr>
      </w:r>
    </w:p>
    <w:p>
      <w:pPr>
        <w:pStyle w:val="Normal"/>
        <w:bidi w:val="0"/>
        <w:spacing w:before="122" w:after="0"/>
        <w:contextualSpacing/>
        <w:jc w:val="left"/>
        <w:rPr/>
      </w:pPr>
      <w:r>
        <w:rPr>
          <w:b/>
          <w:i w:val="false"/>
          <w:u w:val="none"/>
        </w:rPr>
        <w:t>Ville de Marseille</w:t>
      </w:r>
    </w:p>
    <w:p>
      <w:pPr>
        <w:pStyle w:val="Normal"/>
        <w:bidi w:val="0"/>
        <w:spacing w:before="122" w:after="0"/>
        <w:contextualSpacing/>
        <w:jc w:val="left"/>
        <w:rPr/>
      </w:pPr>
      <w:r>
        <w:rPr>
          <w:b/>
          <w:i w:val="false"/>
          <w:u w:val="none"/>
        </w:rPr>
        <w:t>Mairie des 9ème et 10ème Arrondissements</w:t>
      </w:r>
    </w:p>
    <w:p>
      <w:pPr>
        <w:pStyle w:val="Normal"/>
        <w:bidi w:val="0"/>
        <w:spacing w:before="122" w:after="0"/>
        <w:contextualSpacing/>
        <w:jc w:val="left"/>
        <w:rPr/>
      </w:pPr>
      <w:r>
        <w:rPr>
          <w:b/>
          <w:i w:val="false"/>
          <w:u w:val="none"/>
        </w:rPr>
        <w:t>Maison Blanche</w:t>
      </w:r>
    </w:p>
    <w:p>
      <w:pPr>
        <w:pStyle w:val="Normal"/>
        <w:bidi w:val="0"/>
        <w:spacing w:before="122" w:after="0"/>
        <w:contextualSpacing/>
        <w:jc w:val="left"/>
        <w:rPr/>
      </w:pPr>
      <w:r>
        <w:rPr>
          <w:b/>
          <w:i w:val="false"/>
          <w:u w:val="none"/>
        </w:rPr>
        <w:t>150, BD Paul Claudel</w:t>
      </w:r>
    </w:p>
    <w:p>
      <w:pPr>
        <w:pStyle w:val="Normal"/>
        <w:bidi w:val="0"/>
        <w:spacing w:before="122" w:after="0"/>
        <w:contextualSpacing/>
        <w:jc w:val="left"/>
        <w:rPr/>
      </w:pPr>
      <w:r>
        <w:rPr>
          <w:b/>
          <w:i w:val="false"/>
          <w:u w:val="none"/>
        </w:rPr>
        <w:t>CS 20155</w:t>
      </w:r>
    </w:p>
    <w:p>
      <w:pPr>
        <w:pStyle w:val="Normal"/>
        <w:bidi w:val="0"/>
        <w:spacing w:before="122" w:after="0"/>
        <w:contextualSpacing/>
        <w:jc w:val="left"/>
        <w:rPr>
          <w:b w:val="false"/>
          <w:b w:val="false"/>
          <w:i w:val="false"/>
          <w:i w:val="false"/>
          <w:u w:val="none"/>
        </w:rPr>
      </w:pPr>
      <w:r>
        <w:rPr>
          <w:rFonts w:eastAsia="arial" w:cs="arial" w:ascii="arial" w:hAnsi="arial"/>
          <w:b/>
          <w:bCs/>
          <w:i w:val="false"/>
          <w:color w:val="000000"/>
          <w:sz w:val="20"/>
          <w:u w:val="none"/>
          <w:shd w:fill="FFFFFF" w:val="clear"/>
        </w:rPr>
        <w:t>13275 MARSEILLE CEDEX 09</w:t>
      </w:r>
    </w:p>
    <w:p>
      <w:pPr>
        <w:pStyle w:val="Normal"/>
        <w:rPr>
          <w:b w:val="false"/>
          <w:b w:val="false"/>
          <w:i w:val="false"/>
          <w:i w:val="false"/>
          <w:u w:val="none"/>
        </w:rPr>
      </w:pPr>
      <w:r>
        <w:rPr>
          <w:b w:val="false"/>
          <w:i w:val="false"/>
          <w:u w:val="none"/>
        </w:rPr>
      </w:r>
    </w:p>
    <w:p>
      <w:pPr>
        <w:pStyle w:val="Normal"/>
        <w:rPr>
          <w:b w:val="false"/>
          <w:b w:val="false"/>
          <w:i w:val="false"/>
          <w:i w:val="false"/>
          <w:u w:val="single"/>
        </w:rPr>
      </w:pPr>
      <w:r>
        <w:rPr>
          <w:rFonts w:eastAsia="arial" w:cs="arial" w:ascii="arial" w:hAnsi="arial"/>
          <w:b w:val="false"/>
          <w:i w:val="false"/>
          <w:color w:val="000000"/>
          <w:sz w:val="20"/>
          <w:u w:val="none"/>
          <w:shd w:fill="FFFFFF" w:val="clear"/>
        </w:rPr>
        <w:t xml:space="preserve">Par la suite, conformément à l'article 10.2.2 du CCAG FCS, les prix à payer sont ceux applicables à la date de la livraison. </w:t>
      </w:r>
    </w:p>
    <w:p>
      <w:pPr>
        <w:pStyle w:val="Default"/>
        <w:numPr>
          <w:ilvl w:val="0"/>
          <w:numId w:val="0"/>
        </w:numPr>
        <w:spacing w:before="120" w:after="0"/>
        <w:ind w:left="0" w:hanging="0"/>
        <w:rPr>
          <w:shd w:fill="FFFF00" w:val="clear"/>
        </w:rPr>
      </w:pPr>
      <w:r>
        <w:rPr>
          <w:shd w:fill="FFFF00" w:val="clear"/>
        </w:rPr>
      </w:r>
    </w:p>
    <w:p>
      <w:pPr>
        <w:pStyle w:val="Default"/>
        <w:numPr>
          <w:ilvl w:val="0"/>
          <w:numId w:val="0"/>
        </w:numPr>
        <w:spacing w:before="120" w:after="0"/>
        <w:ind w:left="0" w:hanging="0"/>
        <w:rPr>
          <w:highlight w:val="yellow"/>
        </w:rPr>
      </w:pPr>
      <w:r>
        <w:rPr>
          <w:rFonts w:eastAsia="arial" w:cs="arial" w:ascii="Times New Roman" w:hAnsi="Times New Roman"/>
          <w:b/>
          <w:bCs/>
          <w:i w:val="false"/>
          <w:color w:val="04648F"/>
          <w:sz w:val="22"/>
          <w:szCs w:val="22"/>
          <w:u w:val="none"/>
          <w:shd w:fill="FFFFFF" w:val="clear"/>
        </w:rPr>
        <w:tab/>
      </w:r>
      <w:r>
        <w:rPr>
          <w:rFonts w:eastAsia="arial" w:cs="arial" w:ascii="Times New Roman" w:hAnsi="Times New Roman"/>
          <w:b/>
          <w:bCs/>
          <w:i w:val="false"/>
          <w:color w:val="473A94"/>
          <w:sz w:val="22"/>
          <w:szCs w:val="22"/>
          <w:u w:val="single"/>
          <w:shd w:fill="FFFFFF" w:val="clear"/>
        </w:rPr>
        <w:t xml:space="preserve">11.3  </w:t>
      </w:r>
      <w:bookmarkStart w:id="66" w:name="__DdeLink__15575_3955681305"/>
      <w:bookmarkEnd w:id="66"/>
      <w:r>
        <w:rPr>
          <w:rFonts w:ascii="Times New Roman" w:hAnsi="Times New Roman"/>
          <w:b/>
          <w:color w:val="473A94"/>
          <w:sz w:val="21"/>
          <w:szCs w:val="21"/>
          <w:u w:val="single"/>
          <w:shd w:fill="FFFFFF" w:val="clear"/>
        </w:rPr>
        <w:t>Clause butoir et clause de sauvegarde</w:t>
      </w:r>
    </w:p>
    <w:p>
      <w:pPr>
        <w:pStyle w:val="Default"/>
        <w:numPr>
          <w:ilvl w:val="0"/>
          <w:numId w:val="0"/>
        </w:numPr>
        <w:spacing w:before="120" w:after="0"/>
        <w:ind w:left="0" w:hanging="0"/>
        <w:rPr>
          <w:shd w:fill="FFFF00" w:val="clear"/>
        </w:rPr>
      </w:pPr>
      <w:r>
        <w:rPr>
          <w:shd w:fill="FFFF00" w:val="clear"/>
        </w:rPr>
      </w:r>
    </w:p>
    <w:p>
      <w:pPr>
        <w:pStyle w:val="Default"/>
        <w:numPr>
          <w:ilvl w:val="0"/>
          <w:numId w:val="0"/>
        </w:numPr>
        <w:ind w:left="0" w:hanging="0"/>
        <w:jc w:val="both"/>
        <w:rPr/>
      </w:pPr>
      <w:r>
        <w:rPr>
          <w:rFonts w:ascii="Arial" w:hAnsi="Arial"/>
          <w:b w:val="false"/>
          <w:strike w:val="false"/>
          <w:dstrike w:val="false"/>
          <w:sz w:val="20"/>
          <w:szCs w:val="20"/>
          <w:u w:val="none"/>
          <w:shd w:fill="FFFFFF" w:val="clear"/>
        </w:rPr>
        <w:t xml:space="preserve">L’évolution du prix ne saurait en aucun cas conduire à une augmentation supérieure à </w:t>
      </w:r>
      <w:r>
        <w:rPr>
          <w:rFonts w:ascii="Arial" w:hAnsi="Arial"/>
          <w:b w:val="false"/>
          <w:strike w:val="false"/>
          <w:dstrike w:val="false"/>
          <w:sz w:val="20"/>
          <w:szCs w:val="20"/>
          <w:u w:val="none"/>
          <w:shd w:fill="FFFFFF" w:val="clear"/>
        </w:rPr>
        <w:t>7</w:t>
      </w:r>
      <w:r>
        <w:rPr>
          <w:rFonts w:ascii="Arial" w:hAnsi="Arial"/>
          <w:b w:val="false"/>
          <w:strike w:val="false"/>
          <w:dstrike w:val="false"/>
          <w:sz w:val="20"/>
          <w:szCs w:val="20"/>
          <w:u w:val="none"/>
          <w:shd w:fill="FFFFFF" w:val="clear"/>
        </w:rPr>
        <w:t xml:space="preserve">% résultant de l’application des prix unitaires au quantitatif estimatif annuel du bordereau de prix unitaire, sur la durée globale de l’accord-cadre (reconduction comprise). </w:t>
      </w:r>
    </w:p>
    <w:p>
      <w:pPr>
        <w:pStyle w:val="Normal"/>
        <w:numPr>
          <w:ilvl w:val="0"/>
          <w:numId w:val="0"/>
        </w:numPr>
        <w:spacing w:before="120" w:after="0"/>
        <w:ind w:left="0" w:hanging="0"/>
        <w:jc w:val="both"/>
        <w:rPr>
          <w:rFonts w:ascii="Arial" w:hAnsi="Arial"/>
          <w:sz w:val="20"/>
          <w:szCs w:val="20"/>
          <w:highlight w:val="white"/>
        </w:rPr>
      </w:pPr>
      <w:r>
        <w:rPr>
          <w:rFonts w:eastAsia="arial" w:cs="arial" w:ascii="arial" w:hAnsi="arial"/>
          <w:b w:val="false"/>
          <w:bCs w:val="false"/>
          <w:i w:val="false"/>
          <w:strike w:val="false"/>
          <w:dstrike w:val="false"/>
          <w:color w:val="000000"/>
          <w:sz w:val="20"/>
          <w:szCs w:val="20"/>
          <w:u w:val="none"/>
          <w:shd w:fill="FFFFFF" w:val="clear"/>
        </w:rPr>
        <w:t xml:space="preserve">La </w:t>
      </w:r>
      <w:r>
        <w:rPr>
          <w:rFonts w:eastAsia="Arial" w:cs="Arial" w:ascii="arial" w:hAnsi="arial"/>
          <w:b/>
          <w:bCs w:val="false"/>
          <w:i w:val="false"/>
          <w:strike w:val="false"/>
          <w:dstrike w:val="false"/>
          <w:color w:val="000000"/>
          <w:sz w:val="20"/>
          <w:szCs w:val="20"/>
          <w:u w:val="none"/>
          <w:shd w:fill="FFFFFF" w:val="clear"/>
        </w:rPr>
        <w:t xml:space="preserve">Mairie des 9ème et 10ème arrondissements </w:t>
      </w:r>
      <w:r>
        <w:rPr>
          <w:rFonts w:eastAsia="arial" w:cs="arial" w:ascii="arial" w:hAnsi="arial"/>
          <w:b w:val="false"/>
          <w:bCs w:val="false"/>
          <w:i w:val="false"/>
          <w:strike w:val="false"/>
          <w:dstrike w:val="false"/>
          <w:color w:val="000000"/>
          <w:sz w:val="20"/>
          <w:szCs w:val="20"/>
          <w:u w:val="none"/>
          <w:shd w:fill="FFFFFF" w:val="clear"/>
        </w:rPr>
        <w:t xml:space="preserve">se réserve le droit de résilier unilatéralement et sans indemnité le marché à la date d’application des nouveaux tarifs lorsque l’augmentation est supérieure à </w:t>
      </w:r>
      <w:r>
        <w:rPr>
          <w:rFonts w:eastAsia="arial" w:cs="arial" w:ascii="arial" w:hAnsi="arial"/>
          <w:b w:val="false"/>
          <w:bCs w:val="false"/>
          <w:i w:val="false"/>
          <w:strike w:val="false"/>
          <w:dstrike w:val="false"/>
          <w:color w:val="000000"/>
          <w:sz w:val="20"/>
          <w:szCs w:val="20"/>
          <w:u w:val="none"/>
          <w:shd w:fill="FFFFFF" w:val="clear"/>
        </w:rPr>
        <w:t>5</w:t>
      </w:r>
      <w:r>
        <w:rPr>
          <w:rFonts w:eastAsia="arial" w:cs="arial" w:ascii="arial" w:hAnsi="arial"/>
          <w:b w:val="false"/>
          <w:bCs w:val="false"/>
          <w:i w:val="false"/>
          <w:strike w:val="false"/>
          <w:dstrike w:val="false"/>
          <w:color w:val="000000"/>
          <w:sz w:val="20"/>
          <w:szCs w:val="20"/>
          <w:u w:val="none"/>
          <w:shd w:fill="FFFFFF" w:val="clear"/>
        </w:rPr>
        <w:t xml:space="preserve">% sur la durée globale de l’accord-cadre. </w:t>
      </w:r>
    </w:p>
    <w:p>
      <w:pPr>
        <w:pStyle w:val="Titre1"/>
        <w:numPr>
          <w:ilvl w:val="0"/>
          <w:numId w:val="2"/>
        </w:numPr>
        <w:rPr/>
      </w:pPr>
      <w:bookmarkStart w:id="67" w:name="__RefHeading___Toc15522_3955681305"/>
      <w:bookmarkStart w:id="68" w:name="_Toc3877"/>
      <w:bookmarkStart w:id="69" w:name="_Toc3876"/>
      <w:bookmarkEnd w:id="67"/>
      <w:bookmarkEnd w:id="68"/>
      <w:bookmarkEnd w:id="69"/>
      <w:r>
        <w:rPr/>
        <w:t>AVANCE</w:t>
      </w:r>
    </w:p>
    <w:p>
      <w:pPr>
        <w:pStyle w:val="Normal"/>
        <w:rPr/>
      </w:pPr>
      <w:r>
        <w:rPr>
          <w:rFonts w:eastAsia="arial" w:cs="arial" w:ascii="arial" w:hAnsi="arial"/>
          <w:b w:val="false"/>
          <w:i w:val="false"/>
          <w:color w:val="000000"/>
          <w:sz w:val="20"/>
          <w:u w:val="none"/>
          <w:shd w:fill="FFFFFF" w:val="clear"/>
        </w:rPr>
        <w:t>Le marché ne comporte pas d'avance.</w:t>
      </w:r>
    </w:p>
    <w:p>
      <w:pPr>
        <w:pStyle w:val="Titre1"/>
        <w:numPr>
          <w:ilvl w:val="0"/>
          <w:numId w:val="2"/>
        </w:numPr>
        <w:rPr/>
      </w:pPr>
      <w:bookmarkStart w:id="70" w:name="__RefHeading___Toc15524_3955681305"/>
      <w:bookmarkStart w:id="71" w:name="_Toc3879"/>
      <w:bookmarkEnd w:id="70"/>
      <w:bookmarkEnd w:id="71"/>
      <w:r>
        <w:rPr/>
        <w:t>MODALITÉS DE REGLEMENT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dispositions des articles R2191-20 à 22 du Code de la commande publique relatives aux acomptes sont applicables. Il n'est pas prévu de disposition complémentaire.</w:t>
      </w:r>
    </w:p>
    <w:p>
      <w:pPr>
        <w:pStyle w:val="Titre1"/>
        <w:numPr>
          <w:ilvl w:val="0"/>
          <w:numId w:val="2"/>
        </w:numPr>
        <w:rPr/>
      </w:pPr>
      <w:bookmarkStart w:id="72" w:name="__RefHeading___Toc15526_3955681305"/>
      <w:bookmarkStart w:id="73" w:name="_Toc3880"/>
      <w:bookmarkEnd w:id="72"/>
      <w:bookmarkEnd w:id="73"/>
      <w:r>
        <w:rPr/>
        <w:t>PAIEMENT ET ETABLISSEMENT DE LA FACTURE</w:t>
      </w:r>
    </w:p>
    <w:p>
      <w:pPr>
        <w:pStyle w:val="Titre2"/>
        <w:numPr>
          <w:ilvl w:val="1"/>
          <w:numId w:val="2"/>
        </w:numPr>
        <w:rPr/>
      </w:pPr>
      <w:bookmarkStart w:id="74" w:name="__RefHeading___Toc15528_3955681305"/>
      <w:bookmarkStart w:id="75" w:name="_Toc3881"/>
      <w:bookmarkEnd w:id="74"/>
      <w:bookmarkEnd w:id="75"/>
      <w:r>
        <w:rPr/>
        <w:t>Délais de paiements</w:t>
      </w:r>
    </w:p>
    <w:p>
      <w:pPr>
        <w:pStyle w:val="Normal"/>
        <w:rPr/>
      </w:pPr>
      <w:r>
        <w:rPr>
          <w:rFonts w:eastAsia="arial" w:cs="arial" w:ascii="arial" w:hAnsi="arial"/>
          <w:b w:val="false"/>
          <w:i w:val="false"/>
          <w:color w:val="000000"/>
          <w:sz w:val="20"/>
          <w:u w:val="none"/>
          <w:shd w:fill="FFFFFF" w:val="clear"/>
        </w:rPr>
        <w:t>En application des articles R2192-10 à 15 du Code de la commande publique, 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pPr>
        <w:pStyle w:val="Normal"/>
        <w:spacing w:before="120" w:after="0"/>
        <w:rPr/>
      </w:pPr>
      <w:r>
        <w:rPr>
          <w:rFonts w:eastAsia="arial" w:cs="arial" w:ascii="arial" w:hAnsi="arial"/>
          <w:b w:val="false"/>
          <w:i w:val="false"/>
          <w:color w:val="000000"/>
          <w:sz w:val="20"/>
          <w:u w:val="none"/>
          <w:shd w:fill="FFFFFF" w:val="clear"/>
        </w:rPr>
        <w:t>Le délai global de paiement pourra être suspendu dans les conditions prévues par la réglementation en vigueur.</w:t>
      </w:r>
    </w:p>
    <w:p>
      <w:pPr>
        <w:pStyle w:val="Titre2"/>
        <w:numPr>
          <w:ilvl w:val="1"/>
          <w:numId w:val="2"/>
        </w:numPr>
        <w:rPr/>
      </w:pPr>
      <w:bookmarkStart w:id="76" w:name="__RefHeading___Toc15530_3955681305"/>
      <w:bookmarkStart w:id="77" w:name="_Toc3882"/>
      <w:bookmarkEnd w:id="76"/>
      <w:bookmarkEnd w:id="77"/>
      <w:r>
        <w:rPr/>
        <w:t>Intérêts moratoires</w:t>
      </w:r>
    </w:p>
    <w:p>
      <w:pPr>
        <w:pStyle w:val="Normal"/>
        <w:rPr/>
      </w:pPr>
      <w:r>
        <w:rPr>
          <w:rFonts w:eastAsia="arial" w:cs="arial" w:ascii="arial" w:hAnsi="arial"/>
          <w:b w:val="false"/>
          <w:i w:val="false"/>
          <w:color w:val="000000"/>
          <w:sz w:val="20"/>
          <w:u w:val="none"/>
          <w:shd w:fill="FFFFFF" w:val="clear"/>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Normal"/>
        <w:spacing w:before="120" w:after="0"/>
        <w:rPr/>
      </w:pPr>
      <w:r>
        <w:rPr>
          <w:rFonts w:eastAsia="arial" w:cs="arial" w:ascii="arial" w:hAnsi="arial"/>
          <w:b w:val="false"/>
          <w:i w:val="false"/>
          <w:color w:val="000000"/>
          <w:sz w:val="20"/>
          <w:u w:val="none"/>
          <w:shd w:fill="FFFFFF" w:val="clear"/>
        </w:rPr>
        <w:t>Le montant de l'indemnité forfaitaire pour frais de recouvrement est fixé à 40 Euros conformément à l'article D2192-35 du Code de la commande publique.</w:t>
      </w:r>
    </w:p>
    <w:p>
      <w:pPr>
        <w:pStyle w:val="Titre2"/>
        <w:numPr>
          <w:ilvl w:val="1"/>
          <w:numId w:val="2"/>
        </w:numPr>
        <w:rPr/>
      </w:pPr>
      <w:bookmarkStart w:id="78" w:name="__RefHeading___Toc15532_3955681305"/>
      <w:bookmarkStart w:id="79" w:name="_Toc3883"/>
      <w:bookmarkEnd w:id="78"/>
      <w:bookmarkEnd w:id="79"/>
      <w:r>
        <w:rPr/>
        <w:t>Modalités de paiement direct des sous-traitants</w:t>
      </w:r>
    </w:p>
    <w:p>
      <w:pPr>
        <w:pStyle w:val="Normal"/>
        <w:spacing w:before="0" w:after="0"/>
        <w:ind w:left="0" w:right="0" w:hanging="0"/>
        <w:jc w:val="both"/>
        <w:rPr/>
      </w:pPr>
      <w:r>
        <w:rPr>
          <w:rFonts w:eastAsia="Arial" w:cs="Arial"/>
          <w:color w:val="000000"/>
          <w:sz w:val="20"/>
        </w:rPr>
        <w:t xml:space="preserve"> </w:t>
      </w:r>
      <w:r>
        <w:rPr>
          <w:rFonts w:eastAsia="Arial" w:cs="Arial"/>
          <w:color w:val="000000"/>
          <w:sz w:val="20"/>
        </w:rPr>
        <w:t xml:space="preserve">Le présent marché étant un marché de fournitures (sans prestations de "services" clairement identifiées par des postes ou des lots) la sous-traitance n'est pas autorisée. Il n'y a pas lieu de prévoir les modalités de paiement direct des sous-traitants. </w:t>
      </w:r>
    </w:p>
    <w:p>
      <w:pPr>
        <w:pStyle w:val="Titre2"/>
        <w:numPr>
          <w:ilvl w:val="1"/>
          <w:numId w:val="2"/>
        </w:numPr>
        <w:rPr/>
      </w:pPr>
      <w:bookmarkStart w:id="80" w:name="__RefHeading___Toc15534_3955681305"/>
      <w:bookmarkStart w:id="81" w:name="_Toc3884"/>
      <w:bookmarkEnd w:id="80"/>
      <w:bookmarkEnd w:id="81"/>
      <w:r>
        <w:rPr/>
        <w:t>Présentation des demandes de paiement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factures afférentes au marché sont établies en portant, outre les mentions légales, les indications suivantes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nom / la raison sociale et l'adresses du créancier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numéro de SIRET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numéro de son compte bancaire ou postal tel qu'il est précisé à l'acte d'engagement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numéro et la date du marché et de chaque avenant </w:t>
      </w:r>
    </w:p>
    <w:p>
      <w:pPr>
        <w:pStyle w:val="Normal"/>
        <w:bidi w:val="0"/>
        <w:spacing w:before="122" w:after="0"/>
        <w:contextualSpacing/>
        <w:jc w:val="left"/>
        <w:rPr>
          <w:rFonts w:ascii="arial" w:hAnsi="arial" w:eastAsia="arial" w:cs="arial"/>
          <w:color w:val="000000"/>
        </w:rPr>
      </w:pPr>
      <w:r>
        <w:rPr>
          <w:rFonts w:eastAsia="arial" w:cs="arial" w:ascii="arial" w:hAnsi="arial"/>
          <w:b/>
          <w:i w:val="false"/>
          <w:color w:val="000000"/>
          <w:sz w:val="20"/>
          <w:u w:val="none"/>
          <w:shd w:fill="FFFFFF" w:val="clear"/>
        </w:rPr>
        <w:t>- La date et le numéro du bon de commande</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La nature des prestations</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La quantité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prix de base hors révision et hors taxes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taux et le montant de la T.V.A.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Le montant total de la facture en euro HT et TTC</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La date et le numéro de facture.</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Tout rabais remise ristourne ou escompte acquis et chiffrable lors de l'opération et directement applicable à cette opération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Les factures dématérialisées indiquent l'adresse suivante : </w:t>
      </w:r>
    </w:p>
    <w:p>
      <w:pPr>
        <w:pStyle w:val="Normal"/>
        <w:spacing w:before="0" w:after="0"/>
        <w:ind w:left="0" w:right="0" w:hanging="0"/>
        <w:contextualSpacing/>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9ème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rPr>
          <w:rFonts w:ascii="arial" w:hAnsi="arial" w:eastAsia="arial" w:cs="arial"/>
          <w:color w:val="000000"/>
        </w:rPr>
      </w:pPr>
      <w:r>
        <w:rPr>
          <w:rFonts w:eastAsia="arial" w:cs="arial" w:ascii="arial" w:hAnsi="arial"/>
          <w:color w:val="000000"/>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paiement s'effectue suivant les règles de la comptabilité publique dans les conditions prévues aux articles 11 et 12 du C.C.A.G./F.C.S.</w:t>
      </w:r>
    </w:p>
    <w:p>
      <w:pPr>
        <w:pStyle w:val="Normal"/>
        <w:spacing w:before="120" w:after="0"/>
        <w:rPr/>
      </w:pPr>
      <w:r>
        <w:rPr/>
      </w:r>
    </w:p>
    <w:p>
      <w:pPr>
        <w:pStyle w:val="Normal"/>
        <w:spacing w:before="120" w:after="0"/>
        <w:rPr/>
      </w:pPr>
      <w:r>
        <w:rPr/>
      </w:r>
    </w:p>
    <w:p>
      <w:pPr>
        <w:pStyle w:val="Normal"/>
        <w:rPr/>
      </w:pPr>
      <w:r>
        <w:rPr/>
      </w:r>
    </w:p>
    <w:p>
      <w:pPr>
        <w:pStyle w:val="Normal"/>
        <w:spacing w:before="120" w:after="0"/>
        <w:rPr/>
      </w:pPr>
      <w:r>
        <w:rPr>
          <w:rFonts w:eastAsia="arial" w:cs="arial" w:ascii="arial" w:hAnsi="arial"/>
          <w:b w:val="false"/>
          <w:i w:val="false"/>
          <w:color w:val="000000"/>
          <w:sz w:val="20"/>
          <w:u w:val="single"/>
          <w:shd w:fill="FFFFFF" w:val="clear"/>
        </w:rPr>
        <w:t>Pour les candidats européens sans établissement en France</w:t>
      </w:r>
      <w:r>
        <w:rPr>
          <w:rFonts w:eastAsia="arial" w:cs="arial" w:ascii="arial" w:hAnsi="arial"/>
          <w:b w:val="false"/>
          <w:i w:val="false"/>
          <w:color w:val="000000"/>
          <w:sz w:val="20"/>
          <w:u w:val="none"/>
          <w:shd w:fill="FFFFFF" w:val="clear"/>
        </w:rPr>
        <w:t xml:space="preserve"> : en lieu et place du numéro de SIRET, indiquer le N° de TVA intracommunautaire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N° de TVA intracommunautaire de la Ville de Marseille : FR75211300553</w:t>
      </w:r>
    </w:p>
    <w:p>
      <w:pPr>
        <w:pStyle w:val="Normal"/>
        <w:spacing w:before="120" w:after="0"/>
        <w:rPr/>
      </w:pPr>
      <w:r>
        <w:rPr/>
      </w:r>
    </w:p>
    <w:p>
      <w:pPr>
        <w:pStyle w:val="Titre2"/>
        <w:numPr>
          <w:ilvl w:val="1"/>
          <w:numId w:val="2"/>
        </w:numPr>
        <w:rPr/>
      </w:pPr>
      <w:bookmarkStart w:id="82" w:name="__RefHeading___Toc15536_3955681305"/>
      <w:bookmarkStart w:id="83" w:name="_Toc3885"/>
      <w:bookmarkEnd w:id="82"/>
      <w:bookmarkEnd w:id="83"/>
      <w:r>
        <w:rPr/>
        <w:t>Dématérialisation des factures</w:t>
      </w:r>
    </w:p>
    <w:p>
      <w:pPr>
        <w:pStyle w:val="Normal"/>
        <w:rPr/>
      </w:pPr>
      <w:r>
        <w:rPr>
          <w:rFonts w:eastAsia="arial" w:cs="arial" w:ascii="arial" w:hAnsi="arial"/>
          <w:b w:val="false"/>
          <w:i w:val="false"/>
          <w:color w:val="000000"/>
          <w:sz w:val="20"/>
          <w:u w:val="none"/>
          <w:shd w:fill="FFFFFF" w:val="clear"/>
        </w:rPr>
        <w:t>Le titulaire, ainsi que ses éventuels sous-traitants admis au paiement direct, transmettent leurs factures sous forme électronique, conformément aux dispositions des articles L2192-1 à L2192-7 et R2192-1 à R2192-3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factures doivent être envoyées de façon dématérialisée et gratuite en utilisant le "portail public de facturation" sécurisé Chorus Pro à l'adresse suivante : https://chorus-pro.gouv.fr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Toutes les informations utiles aux modalités d'utilisation du portail et de transmission des factures sont </w:t>
      </w:r>
      <w:r>
        <w:rPr>
          <w:rFonts w:eastAsia="arial" w:cs="arial" w:ascii="arial" w:hAnsi="arial"/>
          <w:b/>
          <w:i w:val="false"/>
          <w:color w:val="000000"/>
          <w:sz w:val="20"/>
          <w:u w:val="single"/>
          <w:shd w:fill="FFFFFF" w:val="clear"/>
        </w:rPr>
        <w:t>disponibles directement sur le site</w:t>
      </w:r>
      <w:r>
        <w:rPr>
          <w:rFonts w:eastAsia="arial" w:cs="arial" w:ascii="arial" w:hAnsi="arial"/>
          <w:b w:val="false"/>
          <w:i w:val="false"/>
          <w:color w:val="000000"/>
          <w:sz w:val="20"/>
          <w:u w:val="none"/>
          <w:shd w:fill="FFFFFF" w:val="clear"/>
        </w:rPr>
        <w: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Pour accéder à la « structure »(au sens CHORUS PRO) Ville de Marseille adéquate, le titulaire sera informé du </w:t>
      </w:r>
      <w:r>
        <w:rPr>
          <w:rFonts w:eastAsia="arial" w:cs="arial" w:ascii="arial" w:hAnsi="arial"/>
          <w:b/>
          <w:i w:val="false"/>
          <w:color w:val="000000"/>
          <w:sz w:val="20"/>
          <w:u w:val="single"/>
          <w:shd w:fill="FFFFFF" w:val="clear"/>
        </w:rPr>
        <w:t>numéro SIRET</w:t>
      </w:r>
      <w:r>
        <w:rPr>
          <w:rFonts w:eastAsia="arial" w:cs="arial" w:ascii="arial" w:hAnsi="arial"/>
          <w:b w:val="false"/>
          <w:i w:val="false"/>
          <w:color w:val="000000"/>
          <w:sz w:val="20"/>
          <w:u w:val="none"/>
          <w:shd w:fill="FFFFFF" w:val="clear"/>
        </w:rPr>
        <w:t xml:space="preserve"> devant être utilisé.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De même, la Ville de Marseille a choisi de rendre obligatoire la </w:t>
      </w:r>
      <w:r>
        <w:rPr>
          <w:rFonts w:eastAsia="arial" w:cs="arial" w:ascii="arial" w:hAnsi="arial"/>
          <w:b/>
          <w:i w:val="false"/>
          <w:color w:val="000000"/>
          <w:sz w:val="20"/>
          <w:u w:val="single"/>
          <w:shd w:fill="FFFFFF" w:val="clear"/>
        </w:rPr>
        <w:t>référence à l'engagement</w:t>
      </w:r>
      <w:r>
        <w:rPr>
          <w:rFonts w:eastAsia="arial" w:cs="arial" w:ascii="arial" w:hAnsi="arial"/>
          <w:b w:val="false"/>
          <w:i w:val="false"/>
          <w:color w:val="000000"/>
          <w:sz w:val="20"/>
          <w:u w:val="none"/>
          <w:shd w:fill="FFFFFF" w:val="clear"/>
        </w:rPr>
        <w:t>. Le ou les numéros d'engagement seront communiqués au titulaire par le service gestionnaire du marché ou par le service acheteur.</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Sous peine d'irrecevabilité, les factures seront déposées dans CHORUS PRO en respectant l'obligation de renseignement exact des 2 numéros précités.</w:t>
      </w:r>
    </w:p>
    <w:p>
      <w:pPr>
        <w:pStyle w:val="Normal"/>
        <w:spacing w:before="120" w:after="0"/>
        <w:rPr/>
      </w:pPr>
      <w:r>
        <w:rPr/>
      </w:r>
    </w:p>
    <w:p>
      <w:pPr>
        <w:pStyle w:val="Normal"/>
        <w:spacing w:before="120" w:after="0"/>
        <w:rPr/>
      </w:pPr>
      <w:r>
        <w:rPr/>
      </w:r>
    </w:p>
    <w:p>
      <w:pPr>
        <w:pStyle w:val="Titre1"/>
        <w:numPr>
          <w:ilvl w:val="0"/>
          <w:numId w:val="2"/>
        </w:numPr>
        <w:rPr/>
      </w:pPr>
      <w:bookmarkStart w:id="84" w:name="__RefHeading___Toc15538_3955681305"/>
      <w:bookmarkStart w:id="85" w:name="_Toc3886"/>
      <w:bookmarkEnd w:id="84"/>
      <w:bookmarkEnd w:id="85"/>
      <w:r>
        <w:rPr/>
        <w:t>PENALITES</w:t>
      </w:r>
    </w:p>
    <w:p>
      <w:pPr>
        <w:pStyle w:val="Titre2"/>
        <w:numPr>
          <w:ilvl w:val="1"/>
          <w:numId w:val="2"/>
        </w:numPr>
        <w:rPr/>
      </w:pPr>
      <w:bookmarkStart w:id="86" w:name="__RefHeading___Toc15540_3955681305"/>
      <w:bookmarkStart w:id="87" w:name="_Toc3887"/>
      <w:bookmarkEnd w:id="86"/>
      <w:bookmarkEnd w:id="87"/>
      <w:r>
        <w:rPr/>
        <w:t>Pénalités de retard</w:t>
      </w:r>
    </w:p>
    <w:p>
      <w:pPr>
        <w:pStyle w:val="Normal"/>
        <w:rPr/>
      </w:pPr>
      <w:r>
        <w:rPr/>
        <w:t>Par dérogation à l'article 14.1.1 du C.C.A.G., le régime des pénalités applicables au marché est le suivant : lorsque le délai d'exécution contractualisé à l'acte d'engagement est dépassé, le titulaire encourt sans mise en demeure préalable, une pénalité calculée par application de la formule suivante :</w:t>
      </w:r>
    </w:p>
    <w:p>
      <w:pPr>
        <w:pStyle w:val="Normal"/>
        <w:rPr/>
      </w:pPr>
      <w:r>
        <w:rPr/>
      </w:r>
    </w:p>
    <w:p>
      <w:pPr>
        <w:pStyle w:val="Normal"/>
        <w:rPr/>
      </w:pPr>
      <w:r>
        <w:rPr/>
        <w:t>P = V x R / 100</w:t>
      </w:r>
    </w:p>
    <w:p>
      <w:pPr>
        <w:pStyle w:val="Normal"/>
        <w:rPr/>
      </w:pPr>
      <w:r>
        <w:rPr/>
        <w:t>dans laquelle :</w:t>
      </w:r>
    </w:p>
    <w:p>
      <w:pPr>
        <w:pStyle w:val="Normal"/>
        <w:rPr/>
      </w:pPr>
      <w:r>
        <w:rPr/>
        <w:t>P = le montant de la pénalité</w:t>
      </w:r>
    </w:p>
    <w:p>
      <w:pPr>
        <w:pStyle w:val="Normal"/>
        <w:rPr/>
      </w:pPr>
      <w:r>
        <w:rPr/>
        <w:t>R = le nombre d'heures de retard</w:t>
      </w:r>
    </w:p>
    <w:p>
      <w:pPr>
        <w:pStyle w:val="Normal"/>
        <w:rPr/>
      </w:pPr>
      <w:r>
        <w:rPr/>
        <w:t>V = valeur des prestations sur laquelle est calculée la pénalité, cette valeur étant égale au montant, hors champ d'application de la TVA, de la partie des prestations en retard (ou de l'ensemble des prestations si le retard d'exécution d'une partie rend l'ensemble inutilisable).</w:t>
      </w:r>
    </w:p>
    <w:p>
      <w:pPr>
        <w:pStyle w:val="Normal"/>
        <w:rPr/>
      </w:pPr>
      <w:r>
        <w:rPr/>
      </w:r>
    </w:p>
    <w:p>
      <w:pPr>
        <w:pStyle w:val="Normal"/>
        <w:rPr/>
      </w:pPr>
      <w:r>
        <w:rPr/>
        <w:t>Toutefois, le montant des pénalités de retard ne peut dépasser le montant total du bon de commande.</w:t>
      </w:r>
    </w:p>
    <w:p>
      <w:pPr>
        <w:pStyle w:val="Normal"/>
        <w:rPr/>
      </w:pPr>
      <w:r>
        <w:rPr/>
      </w:r>
    </w:p>
    <w:p>
      <w:pPr>
        <w:pStyle w:val="Normal"/>
        <w:rPr/>
      </w:pPr>
      <w:r>
        <w:rPr>
          <w:rFonts w:eastAsia="arial" w:cs="arial" w:ascii="arial" w:hAnsi="arial"/>
          <w:b/>
          <w:i w:val="false"/>
          <w:color w:val="000000"/>
          <w:sz w:val="20"/>
          <w:highlight w:val="white"/>
          <w:u w:val="none"/>
        </w:rPr>
        <w:t xml:space="preserve">En application de l'article 14.1.3 du CCAG FCS, le titulaire est exonéré des pénalités dont le montant ne dépasse pas 300 euros HT pour l'ensemble du marché. </w:t>
      </w:r>
    </w:p>
    <w:p>
      <w:pPr>
        <w:pStyle w:val="Normal"/>
        <w:spacing w:before="120" w:after="0"/>
        <w:rPr/>
      </w:pPr>
      <w:r>
        <w:rPr/>
      </w:r>
    </w:p>
    <w:p>
      <w:pPr>
        <w:pStyle w:val="Titre2"/>
        <w:numPr>
          <w:ilvl w:val="1"/>
          <w:numId w:val="2"/>
        </w:numPr>
        <w:rPr/>
      </w:pPr>
      <w:bookmarkStart w:id="88" w:name="__RefHeading___Toc15542_3955681305"/>
      <w:bookmarkStart w:id="89" w:name="_Toc4545"/>
      <w:bookmarkEnd w:id="88"/>
      <w:bookmarkEnd w:id="89"/>
      <w:r>
        <w:rPr/>
        <w:t>Pénalités pour non respect des obligations environnementales du titulaire</w:t>
      </w:r>
    </w:p>
    <w:p>
      <w:pPr>
        <w:pStyle w:val="Corpsdetexte"/>
        <w:bidi w:val="0"/>
        <w:spacing w:before="0" w:after="140"/>
        <w:contextualSpacing/>
        <w:jc w:val="left"/>
        <w:rPr/>
      </w:pPr>
      <w:r>
        <w:rPr>
          <w:rFonts w:eastAsia="arial" w:cs="arial" w:ascii="arial" w:hAnsi="arial"/>
          <w:b w:val="false"/>
          <w:i w:val="false"/>
          <w:color w:val="000000"/>
          <w:sz w:val="20"/>
          <w:u w:val="none"/>
        </w:rPr>
        <w:t>En application de l'article 16.2 du CCAG FCS,</w:t>
      </w:r>
      <w:r>
        <w:rPr>
          <w:rStyle w:val="Accentuationforte"/>
          <w:rFonts w:eastAsia="arial" w:cs="arial" w:ascii="arial" w:hAnsi="arial"/>
          <w:i w:val="false"/>
          <w:color w:val="000000"/>
          <w:sz w:val="20"/>
          <w:u w:val="none"/>
        </w:rPr>
        <w:t xml:space="preserve"> le mémoire technique</w:t>
      </w:r>
      <w:r>
        <w:rPr>
          <w:rFonts w:eastAsia="arial" w:cs="arial" w:ascii="arial" w:hAnsi="arial"/>
          <w:b w:val="false"/>
          <w:i w:val="false"/>
          <w:color w:val="000000"/>
          <w:sz w:val="20"/>
          <w:u w:val="none"/>
        </w:rPr>
        <w:t xml:space="preserve"> précise les obligations environnementales du titulaire dans l'exécution du marché.</w:t>
      </w:r>
    </w:p>
    <w:p>
      <w:pPr>
        <w:pStyle w:val="Corpsdetexte"/>
        <w:bidi w:val="0"/>
        <w:spacing w:before="0" w:after="140"/>
        <w:contextualSpacing/>
        <w:jc w:val="left"/>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Corpsdetexte"/>
        <w:bidi w:val="0"/>
        <w:spacing w:before="0" w:after="140"/>
        <w:contextualSpacing/>
        <w:jc w:val="left"/>
        <w:rPr/>
      </w:pPr>
      <w:r>
        <w:rPr/>
        <w:t>Le pouvoir adjudicateur procédera à des contrôles afin de s'assurer de la mise en oeuvre des engagements du titulaire, et se réserve la possibilité d'opérer par contrôle inopiné.</w:t>
      </w:r>
    </w:p>
    <w:p>
      <w:pPr>
        <w:pStyle w:val="Corpsdetexte"/>
        <w:bidi w:val="0"/>
        <w:spacing w:before="0" w:after="140"/>
        <w:contextualSpacing/>
        <w:jc w:val="left"/>
        <w:rPr/>
      </w:pPr>
      <w:r>
        <w:rPr/>
        <w:t>En cas de non-respect des obligations prévues en la matière, et conformément à l'article 16.2.3 du CCAG FCS,le titulaire se voit appliquer pour chaque manquement, après mise en demeure restée infructueuse, une pénalité dont le montant est fixé à</w:t>
      </w:r>
      <w:r>
        <w:rPr>
          <w:rStyle w:val="Accentuationforte"/>
        </w:rPr>
        <w:t xml:space="preserve"> 300 euros.</w:t>
      </w:r>
    </w:p>
    <w:p>
      <w:pPr>
        <w:pStyle w:val="Corpsdetexte"/>
        <w:bidi w:val="0"/>
        <w:spacing w:before="0" w:after="140"/>
        <w:contextualSpacing/>
        <w:jc w:val="left"/>
        <w:rPr/>
      </w:pPr>
      <w:r>
        <w:rPr/>
        <w:t>En outre, conformément à l'article 20.4 du CCAG FCS, la valorisation ou l'élimination des déchets créés lors de l'exécution des prestations est de la responsabilité du titulaire pendant la durée du marché.</w:t>
      </w:r>
    </w:p>
    <w:p>
      <w:pPr>
        <w:pStyle w:val="Corpsdetexte"/>
        <w:bidi w:val="0"/>
        <w:spacing w:before="0" w:after="140"/>
        <w:contextualSpacing/>
        <w:jc w:val="left"/>
        <w:rPr/>
      </w:pPr>
      <w:r>
        <w:rPr/>
      </w:r>
    </w:p>
    <w:p>
      <w:pPr>
        <w:pStyle w:val="Corpsdetexte"/>
        <w:bidi w:val="0"/>
        <w:spacing w:before="0" w:after="140"/>
        <w:contextualSpacing/>
        <w:jc w:val="left"/>
        <w:rPr/>
      </w:pPr>
      <w:r>
        <w:rPr/>
        <w:t>Le titulaire veille à ce que soient effectuées les opérations, de collecte, transport, entreposage, tris éventuels et de l'évacuation des déchets créés par les prestations objet du marché vers les sites susceptibles de les recevoir, conformément à la réglementation en vigueur.</w:t>
      </w:r>
    </w:p>
    <w:p>
      <w:pPr>
        <w:pStyle w:val="Corpsdetexte"/>
        <w:bidi w:val="0"/>
        <w:spacing w:before="0" w:after="140"/>
        <w:contextualSpacing/>
        <w:jc w:val="left"/>
        <w:rPr/>
      </w:pPr>
      <w:r>
        <w:rPr/>
        <w:t>Le titulaire est tenu de produire, à la demande de l'acheteur, tout justificatif de traçabilité du traitement des déchets issus de l'exécution de la prestation, qui fasse apparaître une gestion des déchets conforme aux exigences réglementaires, notamment en ce qui concerne les déchets dangereux.</w:t>
      </w:r>
    </w:p>
    <w:p>
      <w:pPr>
        <w:pStyle w:val="Corpsdetexte"/>
        <w:bidi w:val="0"/>
        <w:spacing w:before="0" w:after="140"/>
        <w:contextualSpacing/>
        <w:jc w:val="left"/>
        <w:rPr/>
      </w:pPr>
      <w:r>
        <w:rPr/>
      </w:r>
    </w:p>
    <w:p>
      <w:pPr>
        <w:pStyle w:val="Corpsdetexte"/>
        <w:bidi w:val="0"/>
        <w:spacing w:before="0" w:after="140"/>
        <w:contextualSpacing/>
        <w:jc w:val="left"/>
        <w:rPr/>
      </w:pPr>
      <w:r>
        <w:rPr>
          <w:rFonts w:eastAsia="arial" w:cs="arial" w:ascii="arial" w:hAnsi="arial"/>
          <w:b w:val="false"/>
          <w:i w:val="false"/>
          <w:color w:val="000000"/>
          <w:sz w:val="20"/>
          <w:u w:val="none"/>
          <w:shd w:fill="FFFFFF" w:val="clear"/>
        </w:rPr>
        <w:t>En cas d'absence de production des éléments attestant la traçabilité des déchets, et en application de l'article 20.4 du CCAG FCS, le titulaire se voit appliquer, après mise en demeure restée infructueuse, une pénalité dont le montant est fixé à 300</w:t>
      </w:r>
      <w:r>
        <w:rPr>
          <w:rStyle w:val="Accentuationforte"/>
          <w:rFonts w:eastAsia="arial" w:cs="arial" w:ascii="arial" w:hAnsi="arial"/>
          <w:i w:val="false"/>
          <w:color w:val="000000"/>
          <w:sz w:val="20"/>
          <w:u w:val="none"/>
          <w:shd w:fill="FFFFFF" w:val="clear"/>
        </w:rPr>
        <w:t xml:space="preserve"> euros.</w:t>
      </w:r>
    </w:p>
    <w:p>
      <w:pPr>
        <w:pStyle w:val="Titre2"/>
        <w:numPr>
          <w:ilvl w:val="1"/>
          <w:numId w:val="2"/>
        </w:numPr>
        <w:rPr/>
      </w:pPr>
      <w:bookmarkStart w:id="90" w:name="__RefHeading___Toc15544_3955681305"/>
      <w:bookmarkStart w:id="91" w:name="_Toc3888"/>
      <w:bookmarkEnd w:id="90"/>
      <w:bookmarkEnd w:id="91"/>
      <w:r>
        <w:rPr/>
        <w:t>Pénalités pour non respect des dispositions du Code du Travail</w:t>
      </w:r>
    </w:p>
    <w:p>
      <w:pPr>
        <w:pStyle w:val="Normal"/>
        <w:rPr/>
      </w:pPr>
      <w:r>
        <w:rPr>
          <w:rFonts w:eastAsia="arial" w:cs="arial" w:ascii="arial" w:hAnsi="arial"/>
          <w:b w:val="false"/>
          <w:i w:val="false"/>
          <w:color w:val="000000"/>
          <w:sz w:val="20"/>
          <w:u w:val="none"/>
          <w:shd w:fill="FFFFFF" w:val="clear"/>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w:t>
      </w:r>
      <w:r>
        <w:rPr>
          <w:rFonts w:eastAsia="arial" w:cs="arial" w:ascii="arial" w:hAnsi="arial"/>
          <w:b/>
          <w:i w:val="false"/>
          <w:color w:val="000000"/>
          <w:sz w:val="20"/>
          <w:u w:val="none"/>
          <w:shd w:fill="FFFFFF" w:val="clear"/>
        </w:rPr>
        <w:t>de</w:t>
      </w:r>
      <w:r>
        <w:rPr>
          <w:rFonts w:eastAsia="arial" w:cs="arial" w:ascii="arial" w:hAnsi="arial"/>
          <w:b w:val="false"/>
          <w:i w:val="false"/>
          <w:color w:val="000000"/>
          <w:sz w:val="20"/>
          <w:u w:val="none"/>
          <w:shd w:fill="FFFFFF" w:val="clear"/>
        </w:rPr>
        <w:t xml:space="preserve"> 50 </w:t>
      </w:r>
      <w:r>
        <w:rPr>
          <w:rFonts w:eastAsia="arial" w:cs="arial" w:ascii="arial" w:hAnsi="arial"/>
          <w:b/>
          <w:i w:val="false"/>
          <w:color w:val="000000"/>
          <w:sz w:val="20"/>
          <w:u w:val="none"/>
          <w:shd w:fill="FFFFFF" w:val="clear"/>
        </w:rPr>
        <w:t>euros par jour de retard.</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montant de cette pénalité sera au plus égal à 10% du montant du présent contrat et ne pourra excéder le montant des amendes encourues en application des articles L.8224-1, L.8224-2 et L.8224-5 du Code du Travail.</w:t>
      </w:r>
    </w:p>
    <w:p>
      <w:pPr>
        <w:pStyle w:val="Titre2"/>
        <w:numPr>
          <w:ilvl w:val="1"/>
          <w:numId w:val="2"/>
        </w:numPr>
        <w:rPr/>
      </w:pPr>
      <w:bookmarkStart w:id="92" w:name="__RefHeading___Toc15546_3955681305"/>
      <w:bookmarkStart w:id="93" w:name="_Toc3889"/>
      <w:bookmarkEnd w:id="92"/>
      <w:bookmarkEnd w:id="93"/>
      <w:r>
        <w:rPr/>
        <w:t>Autres pénalités</w:t>
      </w:r>
    </w:p>
    <w:p>
      <w:pPr>
        <w:pStyle w:val="Normal"/>
        <w:rPr/>
      </w:pPr>
      <w:r>
        <w:rPr>
          <w:rFonts w:eastAsia="arial" w:cs="arial" w:ascii="arial" w:hAnsi="arial"/>
          <w:b w:val="false"/>
          <w:i w:val="false"/>
          <w:color w:val="000000"/>
          <w:sz w:val="20"/>
          <w:u w:val="none"/>
          <w:shd w:fill="FFFFFF" w:val="clear"/>
        </w:rPr>
        <w:t>Il n'est pas prévu d'autres pénalités.</w:t>
      </w:r>
    </w:p>
    <w:p>
      <w:pPr>
        <w:pStyle w:val="Titre1"/>
        <w:numPr>
          <w:ilvl w:val="0"/>
          <w:numId w:val="2"/>
        </w:numPr>
        <w:rPr/>
      </w:pPr>
      <w:bookmarkStart w:id="94" w:name="__RefHeading___Toc15548_3955681305"/>
      <w:bookmarkStart w:id="95" w:name="_Toc3890"/>
      <w:bookmarkEnd w:id="94"/>
      <w:bookmarkEnd w:id="95"/>
      <w:r>
        <w:rPr/>
        <w:t>RESILIATION ET EXECUTION DES PRESTATIONS AUX FRAIS ET RISQUES DU TITULAIRE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L'ensemble des dispositions du CCAG/FCS (chapitre 7) est applicable.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d'inexécution par le titulaire d'une prestation qui, par sa nature, ne peut souffrir d'aucun retard, ou en cas de résiliation du marché prononcée aux torts du titulaire, le pouvoir adjudicateur peut faire procéder par un tiers à l'exécution des prestations prévues par le marché, aux frais et risques du titulaire (article 45 du CCAG FCS).</w:t>
      </w:r>
    </w:p>
    <w:p>
      <w:pPr>
        <w:pStyle w:val="Normal"/>
        <w:rPr/>
      </w:pPr>
      <w:r>
        <w:rPr>
          <w:rFonts w:eastAsia="arial" w:cs="arial" w:ascii="arial" w:hAnsi="arial"/>
          <w:b w:val="false"/>
          <w:i w:val="false"/>
          <w:color w:val="000000"/>
          <w:sz w:val="20"/>
          <w:u w:val="none"/>
          <w:shd w:fill="FFFFFF" w:val="clear"/>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pPr>
        <w:pStyle w:val="Titre1"/>
        <w:numPr>
          <w:ilvl w:val="0"/>
          <w:numId w:val="2"/>
        </w:numPr>
        <w:rPr/>
      </w:pPr>
      <w:bookmarkStart w:id="96" w:name="__RefHeading___Toc15550_3955681305"/>
      <w:bookmarkStart w:id="97" w:name="_Toc3891"/>
      <w:bookmarkEnd w:id="96"/>
      <w:bookmarkEnd w:id="97"/>
      <w:r>
        <w:rPr/>
        <w:t>CLAUSES DE GESTION DES DONNEES</w:t>
      </w:r>
    </w:p>
    <w:p>
      <w:pPr>
        <w:pStyle w:val="Titre2"/>
        <w:numPr>
          <w:ilvl w:val="1"/>
          <w:numId w:val="2"/>
        </w:numPr>
        <w:rPr/>
      </w:pPr>
      <w:bookmarkStart w:id="98" w:name="__RefHeading___Toc15552_3955681305"/>
      <w:bookmarkStart w:id="99" w:name="_Toc3892"/>
      <w:bookmarkEnd w:id="98"/>
      <w:bookmarkEnd w:id="99"/>
      <w:r>
        <w:rPr/>
        <w:t xml:space="preserve">Les contraintes réglementaires </w:t>
      </w:r>
    </w:p>
    <w:p>
      <w:pPr>
        <w:pStyle w:val="Titre3"/>
        <w:numPr>
          <w:ilvl w:val="2"/>
          <w:numId w:val="2"/>
        </w:numPr>
        <w:rPr/>
      </w:pPr>
      <w:bookmarkStart w:id="100" w:name="__RefHeading___Toc15554_3955681305"/>
      <w:bookmarkStart w:id="101" w:name="_Toc3893"/>
      <w:bookmarkEnd w:id="100"/>
      <w:bookmarkEnd w:id="101"/>
      <w:r>
        <w:rPr/>
        <w:t>Le RGS</w:t>
      </w:r>
    </w:p>
    <w:p>
      <w:pPr>
        <w:pStyle w:val="Normal"/>
        <w:rPr/>
      </w:pPr>
      <w:r>
        <w:rPr>
          <w:rFonts w:eastAsia="arial" w:cs="arial" w:ascii="arial" w:hAnsi="arial"/>
          <w:b w:val="false"/>
          <w:i w:val="false"/>
          <w:color w:val="000000"/>
          <w:sz w:val="20"/>
          <w:u w:val="none"/>
          <w:shd w:fill="FFFFFF" w:val="clear"/>
        </w:rPr>
        <w:t xml:space="preserve">Le décret </w:t>
      </w:r>
      <w:r>
        <w:rPr>
          <w:rFonts w:eastAsia="arial" w:cs="arial" w:ascii="arial" w:hAnsi="arial"/>
          <w:b/>
          <w:i w:val="false"/>
          <w:color w:val="000000"/>
          <w:sz w:val="20"/>
          <w:u w:val="none"/>
          <w:shd w:fill="FFFFFF" w:val="clear"/>
        </w:rPr>
        <w:t>RGS</w:t>
      </w:r>
      <w:r>
        <w:rPr>
          <w:rFonts w:eastAsia="arial" w:cs="arial" w:ascii="arial" w:hAnsi="arial"/>
          <w:b w:val="false"/>
          <w:i/>
          <w:color w:val="000000"/>
          <w:sz w:val="20"/>
          <w:u w:val="none"/>
          <w:shd w:fill="FFFFFF" w:val="clear"/>
        </w:rPr>
        <w:t>(Référentiel Général de Sécurité)</w:t>
      </w:r>
      <w:r>
        <w:rPr>
          <w:rFonts w:eastAsia="arial" w:cs="arial" w:ascii="arial" w:hAnsi="arial"/>
          <w:b w:val="false"/>
          <w:i w:val="false"/>
          <w:color w:val="000000"/>
          <w:sz w:val="20"/>
          <w:u w:val="none"/>
          <w:shd w:fill="FFFFFF" w:val="clear"/>
        </w:rPr>
        <w:t>, pris en application de</w:t>
      </w:r>
      <w:r>
        <w:rPr>
          <w:rFonts w:eastAsia="arial" w:cs="arial" w:ascii="arial" w:hAnsi="arial"/>
          <w:b/>
          <w:i w:val="false"/>
          <w:color w:val="000000"/>
          <w:sz w:val="20"/>
          <w:u w:val="none"/>
          <w:shd w:fill="FFFFFF" w:val="clear"/>
        </w:rPr>
        <w:t xml:space="preserve"> l'ordonnance n° 2005-1516 du 8 Décembre 2005</w:t>
      </w:r>
      <w:r>
        <w:rPr>
          <w:rFonts w:eastAsia="arial" w:cs="arial" w:ascii="arial" w:hAnsi="arial"/>
          <w:b w:val="false"/>
          <w:i w:val="false"/>
          <w:color w:val="000000"/>
          <w:sz w:val="20"/>
          <w:u w:val="none"/>
          <w:shd w:fill="FFFFFF" w:val="clear"/>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rFonts w:eastAsia="arial" w:cs="arial" w:ascii="arial" w:hAnsi="arial"/>
          <w:b/>
          <w:i w:val="false"/>
          <w:color w:val="000000"/>
          <w:sz w:val="20"/>
          <w:u w:val="none"/>
          <w:shd w:fill="FFFFFF" w:val="clear"/>
        </w:rPr>
        <w:t xml:space="preserve"> télé-services</w:t>
      </w:r>
      <w:r>
        <w:rPr>
          <w:rFonts w:eastAsia="arial" w:cs="arial" w:ascii="arial" w:hAnsi="arial"/>
          <w:b w:val="false"/>
          <w:i w:val="false"/>
          <w:color w:val="000000"/>
          <w:sz w:val="20"/>
          <w:u w:val="none"/>
          <w:shd w:fill="FFFFFF" w:val="clear"/>
        </w:rPr>
        <w:t>.</w:t>
      </w:r>
    </w:p>
    <w:p>
      <w:pPr>
        <w:pStyle w:val="Titre3"/>
        <w:numPr>
          <w:ilvl w:val="2"/>
          <w:numId w:val="2"/>
        </w:numPr>
        <w:rPr/>
      </w:pPr>
      <w:bookmarkStart w:id="102" w:name="__RefHeading___Toc15556_3955681305"/>
      <w:bookmarkStart w:id="103" w:name="_Toc3894"/>
      <w:bookmarkEnd w:id="102"/>
      <w:bookmarkEnd w:id="103"/>
      <w:r>
        <w:rPr/>
        <w:t>Le Règlement Général sur la Protection des Données (RGPD)</w:t>
      </w:r>
    </w:p>
    <w:p>
      <w:pPr>
        <w:pStyle w:val="Normal"/>
        <w:rPr/>
      </w:pPr>
      <w:r>
        <w:rPr>
          <w:rFonts w:eastAsia="arial" w:cs="arial" w:ascii="arial" w:hAnsi="arial"/>
          <w:b w:val="false"/>
          <w:i w:val="false"/>
          <w:color w:val="000000"/>
          <w:sz w:val="20"/>
          <w:u w:val="none"/>
          <w:shd w:fill="FFFFFF" w:val="clear"/>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L'ensemble des conditions sont définies dans l'annexe « Protection des données et Politique de sécurité » de l'acte d'engagement, le cas échéant.</w:t>
      </w:r>
    </w:p>
    <w:p>
      <w:pPr>
        <w:pStyle w:val="Titre3"/>
        <w:numPr>
          <w:ilvl w:val="2"/>
          <w:numId w:val="2"/>
        </w:numPr>
        <w:rPr/>
      </w:pPr>
      <w:bookmarkStart w:id="104" w:name="__RefHeading___Toc15558_3955681305"/>
      <w:bookmarkStart w:id="105" w:name="_Toc3895"/>
      <w:bookmarkEnd w:id="104"/>
      <w:bookmarkEnd w:id="105"/>
      <w:r>
        <w:rPr/>
        <w:t>Le Code du Patrimoine</w:t>
      </w:r>
    </w:p>
    <w:p>
      <w:pPr>
        <w:pStyle w:val="Normal"/>
        <w:rPr/>
      </w:pPr>
      <w:r>
        <w:rPr>
          <w:rFonts w:eastAsia="arial" w:cs="arial" w:ascii="arial" w:hAnsi="arial"/>
          <w:b w:val="false"/>
          <w:i w:val="false"/>
          <w:color w:val="000000"/>
          <w:sz w:val="20"/>
          <w:u w:val="none"/>
          <w:shd w:fill="FFFFFF" w:val="clear"/>
        </w:rPr>
        <w:t>Les documents et données produits ou reçus par la Ville de Marseille constituent des archives publiques.</w:t>
      </w:r>
    </w:p>
    <w:p>
      <w:pPr>
        <w:pStyle w:val="Normal"/>
        <w:spacing w:before="120" w:after="0"/>
        <w:rPr/>
      </w:pPr>
      <w:r>
        <w:rPr>
          <w:rFonts w:eastAsia="arial" w:cs="arial" w:ascii="arial" w:hAnsi="arial"/>
          <w:b w:val="false"/>
          <w:i w:val="false"/>
          <w:color w:val="000000"/>
          <w:sz w:val="20"/>
          <w:u w:val="none"/>
          <w:shd w:fill="FFFFFF" w:val="clear"/>
        </w:rPr>
        <w:t xml:space="preserve">Or, la </w:t>
      </w:r>
      <w:r>
        <w:rPr>
          <w:rFonts w:eastAsia="arial" w:cs="arial" w:ascii="arial" w:hAnsi="arial"/>
          <w:b/>
          <w:i w:val="false"/>
          <w:color w:val="000000"/>
          <w:sz w:val="20"/>
          <w:u w:val="none"/>
          <w:shd w:fill="FFFFFF" w:val="clear"/>
        </w:rPr>
        <w:t>loi n°2015-195</w:t>
      </w:r>
      <w:r>
        <w:rPr>
          <w:rFonts w:eastAsia="arial" w:cs="arial" w:ascii="arial" w:hAnsi="arial"/>
          <w:b w:val="false"/>
          <w:i w:val="false"/>
          <w:color w:val="000000"/>
          <w:sz w:val="20"/>
          <w:u w:val="none"/>
          <w:shd w:fill="FFFFFF" w:val="clear"/>
        </w:rPr>
        <w:t xml:space="preserve"> promulguée le 20 février 2015 et modifiant</w:t>
      </w:r>
      <w:r>
        <w:rPr>
          <w:rFonts w:eastAsia="arial" w:cs="arial" w:ascii="arial" w:hAnsi="arial"/>
          <w:b/>
          <w:i w:val="false"/>
          <w:color w:val="000000"/>
          <w:sz w:val="20"/>
          <w:u w:val="none"/>
          <w:shd w:fill="FFFFFF" w:val="clear"/>
        </w:rPr>
        <w:t xml:space="preserve"> l'article L.111-1 du Code du Patrimoine</w:t>
      </w:r>
      <w:r>
        <w:rPr>
          <w:rFonts w:eastAsia="arial" w:cs="arial" w:ascii="arial" w:hAnsi="arial"/>
          <w:b w:val="false"/>
          <w:i w:val="false"/>
          <w:color w:val="000000"/>
          <w:sz w:val="20"/>
          <w:u w:val="none"/>
          <w:shd w:fill="FFFFFF" w:val="clear"/>
        </w:rPr>
        <w:t>, qualifie les archives publiques de "</w:t>
      </w:r>
      <w:r>
        <w:rPr>
          <w:rFonts w:eastAsia="arial" w:cs="arial" w:ascii="arial" w:hAnsi="arial"/>
          <w:b w:val="false"/>
          <w:i w:val="false"/>
          <w:color w:val="000000"/>
          <w:sz w:val="20"/>
          <w:u w:val="single"/>
          <w:shd w:fill="FFFFFF" w:val="clear"/>
        </w:rPr>
        <w:t>Trésors nationaux</w:t>
      </w:r>
      <w:r>
        <w:rPr>
          <w:rFonts w:eastAsia="arial" w:cs="arial" w:ascii="arial" w:hAnsi="arial"/>
          <w:b w:val="false"/>
          <w:i w:val="false"/>
          <w:color w:val="000000"/>
          <w:sz w:val="20"/>
          <w:u w:val="none"/>
          <w:shd w:fill="FFFFFF" w:val="clear"/>
        </w:rPr>
        <w:t>" et ne peuvent donc sortir du territoire douanier qu'après autorisation du Service inter-ministériel des Archives de France (SIAF) et seulement dans certains cas précis.</w:t>
      </w:r>
    </w:p>
    <w:p>
      <w:pPr>
        <w:pStyle w:val="Titre2"/>
        <w:numPr>
          <w:ilvl w:val="1"/>
          <w:numId w:val="2"/>
        </w:numPr>
        <w:rPr/>
      </w:pPr>
      <w:bookmarkStart w:id="106" w:name="__RefHeading___Toc15560_3955681305"/>
      <w:bookmarkStart w:id="107" w:name="_Toc3896"/>
      <w:bookmarkEnd w:id="106"/>
      <w:bookmarkEnd w:id="107"/>
      <w:r>
        <w:rPr/>
        <w:t>Les clauses générales de confidentialité</w:t>
      </w:r>
    </w:p>
    <w:p>
      <w:pPr>
        <w:pStyle w:val="Normal"/>
        <w:rPr/>
      </w:pPr>
      <w:r>
        <w:rPr>
          <w:rFonts w:eastAsia="arial" w:cs="arial" w:ascii="arial" w:hAnsi="arial"/>
          <w:b w:val="false"/>
          <w:i w:val="false"/>
          <w:color w:val="000000"/>
          <w:sz w:val="20"/>
          <w:u w:val="none"/>
          <w:shd w:fill="FFFFFF" w:val="clear"/>
        </w:rPr>
        <w:t xml:space="preserve">Les supports informatiques physiques et documents fournis par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 xml:space="preserve"> à la société prestataire restent la propriété de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Les données</w:t>
      </w:r>
      <w:r>
        <w:rPr>
          <w:rFonts w:eastAsia="arial" w:cs="arial" w:ascii="arial" w:hAnsi="arial"/>
          <w:b w:val="false"/>
          <w:i w:val="false"/>
          <w:color w:val="000000"/>
          <w:sz w:val="20"/>
          <w:u w:val="none"/>
          <w:shd w:fill="FFFFFF" w:val="clear"/>
        </w:rPr>
        <w:t xml:space="preserve"> contenues dans ces supports et documents sont </w:t>
      </w:r>
      <w:r>
        <w:rPr>
          <w:rFonts w:eastAsia="arial" w:cs="arial" w:ascii="arial" w:hAnsi="arial"/>
          <w:b/>
          <w:i w:val="false"/>
          <w:color w:val="000000"/>
          <w:sz w:val="20"/>
          <w:u w:val="none"/>
          <w:shd w:fill="FFFFFF" w:val="clear"/>
        </w:rPr>
        <w:t>strictement couvertes par le secret professionnel</w:t>
      </w:r>
      <w:r>
        <w:rPr>
          <w:rFonts w:eastAsia="arial" w:cs="arial" w:ascii="arial" w:hAnsi="arial"/>
          <w:b w:val="false"/>
          <w:i w:val="false"/>
          <w:color w:val="000000"/>
          <w:sz w:val="20"/>
          <w:u w:val="none"/>
          <w:shd w:fill="FFFFFF" w:val="clear"/>
        </w:rPr>
        <w:t xml:space="preserve"> (article 226-13 du Code pénal), il en va de même pour toutes les données dont la société prestataire prendra connaissance à l'occasion de l'exécution de ce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La société</w:t>
      </w:r>
      <w:r>
        <w:rPr>
          <w:rFonts w:eastAsia="arial" w:cs="arial" w:ascii="arial" w:hAnsi="arial"/>
          <w:b w:val="false"/>
          <w:i w:val="false"/>
          <w:color w:val="000000"/>
          <w:sz w:val="20"/>
          <w:u w:val="none"/>
          <w:shd w:fill="FFFFFF" w:val="clear"/>
        </w:rPr>
        <w:t xml:space="preserve"> prestataire s'engage donc à respecter les obligations suivantes et à les faire respecter par son personnel :</w:t>
      </w:r>
    </w:p>
    <w:p>
      <w:pPr>
        <w:pStyle w:val="Normal"/>
        <w:spacing w:before="120" w:after="0"/>
        <w:rPr/>
      </w:pPr>
      <w:r>
        <w:rPr/>
      </w:r>
    </w:p>
    <w:p>
      <w:pPr>
        <w:pStyle w:val="Normal"/>
        <w:spacing w:before="120" w:after="0"/>
        <w:rPr/>
      </w:pPr>
      <w:r>
        <w:rPr/>
      </w:r>
    </w:p>
    <w:p>
      <w:pPr>
        <w:pStyle w:val="Normal"/>
        <w:numPr>
          <w:ilvl w:val="0"/>
          <w:numId w:val="3"/>
        </w:numPr>
        <w:rPr/>
      </w:pPr>
      <w:r>
        <w:rPr>
          <w:rFonts w:eastAsia="arial" w:cs="arial" w:ascii="arial" w:hAnsi="arial"/>
          <w:b w:val="false"/>
          <w:i w:val="false"/>
          <w:color w:val="000000"/>
          <w:sz w:val="20"/>
          <w:u w:val="none"/>
          <w:shd w:fill="FFFFFF" w:val="clear"/>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numPr>
          <w:ilvl w:val="0"/>
          <w:numId w:val="3"/>
        </w:numPr>
        <w:rPr/>
      </w:pPr>
      <w:r>
        <w:rPr>
          <w:rFonts w:eastAsia="arial" w:cs="arial" w:ascii="arial" w:hAnsi="arial"/>
          <w:b w:val="false"/>
          <w:i w:val="false"/>
          <w:color w:val="000000"/>
          <w:sz w:val="20"/>
          <w:u w:val="none"/>
          <w:shd w:fill="FFFFFF" w:val="clear"/>
        </w:rPr>
        <w:t>ne pas utiliser les documents et informations traités à des fins autres que celles spécifiées dans ce marché ;</w:t>
      </w:r>
    </w:p>
    <w:p>
      <w:pPr>
        <w:pStyle w:val="Normal"/>
        <w:numPr>
          <w:ilvl w:val="0"/>
          <w:numId w:val="3"/>
        </w:numPr>
        <w:rPr/>
      </w:pPr>
      <w:r>
        <w:rPr>
          <w:rFonts w:eastAsia="arial" w:cs="arial" w:ascii="arial" w:hAnsi="arial"/>
          <w:b w:val="false"/>
          <w:i w:val="false"/>
          <w:color w:val="000000"/>
          <w:sz w:val="20"/>
          <w:u w:val="none"/>
          <w:shd w:fill="FFFFFF" w:val="clear"/>
        </w:rPr>
        <w:t>ne pas divulguer ces documents ou informations à d'autres personnes, qu'il s'agisse de personnes privées ou publiques, physiques ou morales ;</w:t>
      </w:r>
    </w:p>
    <w:p>
      <w:pPr>
        <w:pStyle w:val="Normal"/>
        <w:numPr>
          <w:ilvl w:val="0"/>
          <w:numId w:val="3"/>
        </w:numPr>
        <w:rPr/>
      </w:pPr>
      <w:r>
        <w:rPr>
          <w:rFonts w:eastAsia="arial" w:cs="arial" w:ascii="arial" w:hAnsi="arial"/>
          <w:b w:val="false"/>
          <w:i w:val="false"/>
          <w:color w:val="000000"/>
          <w:sz w:val="20"/>
          <w:u w:val="none"/>
          <w:shd w:fill="FFFFFF" w:val="clear"/>
        </w:rPr>
        <w:t>prendre toutes mesures permettant d'éviter toute utilisation détournée ou frauduleuse des fichiers informatiques en cours d'exécution du marché ;</w:t>
      </w:r>
    </w:p>
    <w:p>
      <w:pPr>
        <w:pStyle w:val="Normal"/>
        <w:numPr>
          <w:ilvl w:val="0"/>
          <w:numId w:val="3"/>
        </w:numPr>
        <w:rPr/>
      </w:pPr>
      <w:r>
        <w:rPr>
          <w:rFonts w:eastAsia="arial" w:cs="arial" w:ascii="arial" w:hAnsi="arial"/>
          <w:b w:val="false"/>
          <w:i w:val="false"/>
          <w:color w:val="000000"/>
          <w:sz w:val="20"/>
          <w:u w:val="none"/>
          <w:shd w:fill="FFFFFF" w:val="clear"/>
        </w:rPr>
        <w:t>prendre toutes mesures de sécurité, notamment matérielle, pour assurer la conservation et l'intégrité des documents et informations traités pendant la durée du marché ;</w:t>
      </w:r>
    </w:p>
    <w:p>
      <w:pPr>
        <w:pStyle w:val="Normal"/>
        <w:numPr>
          <w:ilvl w:val="0"/>
          <w:numId w:val="3"/>
        </w:numPr>
        <w:rPr/>
      </w:pPr>
      <w:r>
        <w:rPr>
          <w:rFonts w:eastAsia="arial" w:cs="arial" w:ascii="arial" w:hAnsi="arial"/>
          <w:b w:val="false"/>
          <w:i w:val="false"/>
          <w:color w:val="000000"/>
          <w:sz w:val="20"/>
          <w:u w:val="none"/>
          <w:shd w:fill="FFFFFF" w:val="clear"/>
        </w:rPr>
        <w:t>échanger des informations personnelles, sensibles ou des authentifications/identifications uniquement de manière chiffrée ;</w:t>
      </w:r>
    </w:p>
    <w:p>
      <w:pPr>
        <w:pStyle w:val="Normal"/>
        <w:numPr>
          <w:ilvl w:val="0"/>
          <w:numId w:val="3"/>
        </w:numPr>
        <w:rPr/>
      </w:pPr>
      <w:r>
        <w:rPr>
          <w:rFonts w:eastAsia="arial" w:cs="arial" w:ascii="arial" w:hAnsi="arial"/>
          <w:b w:val="false"/>
          <w:i w:val="false"/>
          <w:color w:val="000000"/>
          <w:sz w:val="20"/>
          <w:u w:val="none"/>
          <w:shd w:fill="FFFFFF" w:val="clear"/>
        </w:rPr>
        <w:t>en fin de marché à procéder à la mise à disposition de toutes les données appartenant à la Ville de Marseille ;</w:t>
      </w:r>
    </w:p>
    <w:p>
      <w:pPr>
        <w:pStyle w:val="Normal"/>
        <w:numPr>
          <w:ilvl w:val="0"/>
          <w:numId w:val="3"/>
        </w:numPr>
        <w:rPr/>
      </w:pPr>
      <w:r>
        <w:rPr>
          <w:rFonts w:eastAsia="arial" w:cs="arial" w:ascii="arial" w:hAnsi="arial"/>
          <w:b w:val="false"/>
          <w:i w:val="false"/>
          <w:color w:val="000000"/>
          <w:sz w:val="20"/>
          <w:u w:val="none"/>
          <w:shd w:fill="FFFFFF" w:val="clear"/>
        </w:rPr>
        <w:t>et en fin de marché à procéder à la destruction de tous fichiers manuels ou informatisés stockant les informations saisies.</w:t>
      </w:r>
    </w:p>
    <w:p>
      <w:pPr>
        <w:pStyle w:val="Titre2"/>
        <w:numPr>
          <w:ilvl w:val="1"/>
          <w:numId w:val="2"/>
        </w:numPr>
        <w:rPr/>
      </w:pPr>
      <w:bookmarkStart w:id="108" w:name="__RefHeading___Toc15562_3955681305"/>
      <w:bookmarkStart w:id="109" w:name="_Toc3897"/>
      <w:bookmarkEnd w:id="108"/>
      <w:bookmarkEnd w:id="109"/>
      <w:r>
        <w:rPr/>
        <w:t>Les contrôles</w:t>
      </w:r>
    </w:p>
    <w:p>
      <w:pPr>
        <w:pStyle w:val="Normal"/>
        <w:rPr/>
      </w:pPr>
      <w:r>
        <w:rPr>
          <w:rFonts w:eastAsia="arial" w:cs="arial" w:ascii="arial" w:hAnsi="arial"/>
          <w:b/>
          <w:i w:val="false"/>
          <w:color w:val="000000"/>
          <w:sz w:val="20"/>
          <w:u w:val="none"/>
          <w:shd w:fill="FFFFFF" w:val="clear"/>
        </w:rPr>
        <w:t>La Ville de Marseille</w:t>
      </w:r>
      <w:r>
        <w:rPr>
          <w:rFonts w:eastAsia="arial" w:cs="arial" w:ascii="arial" w:hAnsi="arial"/>
          <w:b w:val="false"/>
          <w:i w:val="false"/>
          <w:color w:val="000000"/>
          <w:sz w:val="20"/>
          <w:u w:val="none"/>
          <w:shd w:fill="FFFFFF" w:val="clear"/>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non-respect des dispositions précitées, la responsabilité du titulaire peut également être engagée sur la base des dispositions des articles 226-5 et 226-17 du nouveau code pénal.</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La Ville de Marseille</w:t>
      </w:r>
      <w:r>
        <w:rPr>
          <w:rFonts w:eastAsia="arial" w:cs="arial" w:ascii="arial" w:hAnsi="arial"/>
          <w:b w:val="false"/>
          <w:i w:val="false"/>
          <w:color w:val="000000"/>
          <w:sz w:val="20"/>
          <w:u w:val="none"/>
          <w:shd w:fill="FFFFFF" w:val="clear"/>
        </w:rPr>
        <w:t xml:space="preserve"> pourra prononcer la résiliation du marché, sans indemnisation du titulaire, en cas de violation du secret professionnel ou de non-respect des dispositions précitées.</w:t>
      </w:r>
    </w:p>
    <w:p>
      <w:pPr>
        <w:pStyle w:val="Titre2"/>
        <w:numPr>
          <w:ilvl w:val="1"/>
          <w:numId w:val="2"/>
        </w:numPr>
        <w:rPr/>
      </w:pPr>
      <w:bookmarkStart w:id="110" w:name="__RefHeading___Toc15564_3955681305"/>
      <w:bookmarkStart w:id="111" w:name="_Toc3898"/>
      <w:bookmarkEnd w:id="110"/>
      <w:bookmarkEnd w:id="111"/>
      <w:r>
        <w:rPr/>
        <w:t>Phase de réversibilité</w:t>
      </w:r>
    </w:p>
    <w:p>
      <w:pPr>
        <w:pStyle w:val="Normal"/>
        <w:rPr/>
      </w:pPr>
      <w:r>
        <w:rPr>
          <w:rFonts w:eastAsia="arial" w:cs="arial" w:ascii="arial" w:hAnsi="arial"/>
          <w:b w:val="false"/>
          <w:i w:val="false"/>
          <w:color w:val="000000"/>
          <w:sz w:val="20"/>
          <w:u w:val="none"/>
          <w:shd w:fill="FFFFFF" w:val="clear"/>
        </w:rPr>
        <w:t xml:space="preserve">Au terme du marché, le prestataire s'engage à faciliter la réversibilité selon les modalités choisies par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 xml:space="preserve"> et à fournir toutes les informations et prestations utiles à sa mise en oeuvre.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fourniture de toutes les</w:t>
      </w:r>
      <w:r>
        <w:rPr>
          <w:rFonts w:eastAsia="arial" w:cs="arial" w:ascii="arial" w:hAnsi="arial"/>
          <w:b/>
          <w:i w:val="false"/>
          <w:color w:val="000000"/>
          <w:sz w:val="20"/>
          <w:u w:val="none"/>
          <w:shd w:fill="FFFFFF" w:val="clear"/>
        </w:rPr>
        <w:t xml:space="preserve"> informations relatives à l'exécution du marché</w:t>
      </w:r>
      <w:r>
        <w:rPr>
          <w:rFonts w:eastAsia="arial" w:cs="arial" w:ascii="arial" w:hAnsi="arial"/>
          <w:b w:val="false"/>
          <w:i w:val="false"/>
          <w:color w:val="000000"/>
          <w:sz w:val="20"/>
          <w:u w:val="none"/>
          <w:shd w:fill="FFFFFF" w:val="clear"/>
        </w:rPr>
        <w:t xml:space="preserve">, la </w:t>
      </w:r>
      <w:r>
        <w:rPr>
          <w:rFonts w:eastAsia="arial" w:cs="arial" w:ascii="arial" w:hAnsi="arial"/>
          <w:b/>
          <w:i w:val="false"/>
          <w:color w:val="000000"/>
          <w:sz w:val="20"/>
          <w:u w:val="none"/>
          <w:shd w:fill="FFFFFF" w:val="clear"/>
        </w:rPr>
        <w:t>documentation</w:t>
      </w:r>
      <w:r>
        <w:rPr>
          <w:rFonts w:eastAsia="arial" w:cs="arial" w:ascii="arial" w:hAnsi="arial"/>
          <w:b w:val="false"/>
          <w:i w:val="false"/>
          <w:color w:val="000000"/>
          <w:sz w:val="20"/>
          <w:u w:val="none"/>
          <w:shd w:fill="FFFFFF" w:val="clear"/>
        </w:rPr>
        <w:t xml:space="preserve"> constituée durant la prestation, sous forme électronique mise à jour, ainsi que le</w:t>
      </w:r>
      <w:r>
        <w:rPr>
          <w:rFonts w:eastAsia="arial" w:cs="arial" w:ascii="arial" w:hAnsi="arial"/>
          <w:b/>
          <w:i w:val="false"/>
          <w:color w:val="000000"/>
          <w:sz w:val="20"/>
          <w:u w:val="none"/>
          <w:shd w:fill="FFFFFF" w:val="clear"/>
        </w:rPr>
        <w:t xml:space="preserve"> transfert de connaissance</w:t>
      </w:r>
      <w:r>
        <w:rPr>
          <w:rFonts w:eastAsia="arial" w:cs="arial" w:ascii="arial" w:hAnsi="arial"/>
          <w:b w:val="false"/>
          <w:i w:val="false"/>
          <w:color w:val="000000"/>
          <w:sz w:val="20"/>
          <w:u w:val="none"/>
          <w:shd w:fill="FFFFFF" w:val="clear"/>
        </w:rPr>
        <w:t xml:space="preserve"> sont inclus dans le présent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 transfert se fera directement aux équipes de la Ville de Marseille.</w:t>
      </w:r>
    </w:p>
    <w:p>
      <w:pPr>
        <w:pStyle w:val="Titre1"/>
        <w:numPr>
          <w:ilvl w:val="0"/>
          <w:numId w:val="2"/>
        </w:numPr>
        <w:rPr/>
      </w:pPr>
      <w:bookmarkStart w:id="112" w:name="__RefHeading___Toc15566_3955681305"/>
      <w:bookmarkStart w:id="113" w:name="_Toc3899"/>
      <w:bookmarkEnd w:id="112"/>
      <w:bookmarkEnd w:id="113"/>
      <w:r>
        <w:rPr/>
        <w:t>LOGICIEL E-ATTESTATIONS</w:t>
      </w:r>
    </w:p>
    <w:p>
      <w:pPr>
        <w:pStyle w:val="Normal"/>
        <w:rPr/>
      </w:pPr>
      <w:r>
        <w:rPr>
          <w:rFonts w:eastAsia="arial" w:cs="arial" w:ascii="arial" w:hAnsi="arial"/>
          <w:b w:val="false"/>
          <w:i w:val="false"/>
          <w:color w:val="000000"/>
          <w:sz w:val="20"/>
          <w:u w:val="none"/>
          <w:shd w:fill="FFFFFF" w:val="clear"/>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pPr>
        <w:pStyle w:val="Normal"/>
        <w:spacing w:before="120" w:after="0"/>
        <w:rPr/>
      </w:pPr>
      <w:r>
        <w:rPr>
          <w:rFonts w:eastAsia="arial" w:cs="arial" w:ascii="arial" w:hAnsi="arial"/>
          <w:b w:val="false"/>
          <w:i w:val="false"/>
          <w:color w:val="000000"/>
          <w:sz w:val="20"/>
          <w:u w:val="none"/>
          <w:shd w:fill="FFFFFF" w:val="clear"/>
        </w:rPr>
        <w:t>- les attestations fiscales et sociales,</w:t>
      </w:r>
    </w:p>
    <w:p>
      <w:pPr>
        <w:pStyle w:val="Normal"/>
        <w:spacing w:before="120" w:after="0"/>
        <w:rPr/>
      </w:pPr>
      <w:r>
        <w:rPr>
          <w:rFonts w:eastAsia="arial" w:cs="arial" w:ascii="arial" w:hAnsi="arial"/>
          <w:b w:val="false"/>
          <w:i w:val="false"/>
          <w:color w:val="000000"/>
          <w:sz w:val="20"/>
          <w:u w:val="none"/>
          <w:shd w:fill="FFFFFF" w:val="clear"/>
        </w:rPr>
        <w:t>- l'inscription au RCS (K ou K Bis),</w:t>
      </w:r>
    </w:p>
    <w:p>
      <w:pPr>
        <w:pStyle w:val="Normal"/>
        <w:spacing w:before="120" w:after="0"/>
        <w:rPr/>
      </w:pPr>
      <w:r>
        <w:rPr>
          <w:rFonts w:eastAsia="arial" w:cs="arial" w:ascii="arial" w:hAnsi="arial"/>
          <w:b w:val="false"/>
          <w:i w:val="false"/>
          <w:color w:val="000000"/>
          <w:sz w:val="20"/>
          <w:u w:val="none"/>
          <w:shd w:fill="FFFFFF" w:val="clear"/>
        </w:rPr>
        <w:t>- la garantie décennale pour les marchés de travaux,</w:t>
      </w:r>
    </w:p>
    <w:p>
      <w:pPr>
        <w:pStyle w:val="Normal"/>
        <w:spacing w:before="120" w:after="0"/>
        <w:rPr/>
      </w:pPr>
      <w:r>
        <w:rPr>
          <w:rFonts w:eastAsia="arial" w:cs="arial" w:ascii="arial" w:hAnsi="arial"/>
          <w:b w:val="false"/>
          <w:i w:val="false"/>
          <w:color w:val="000000"/>
          <w:sz w:val="20"/>
          <w:u w:val="none"/>
          <w:shd w:fill="FFFFFF" w:val="clear"/>
        </w:rPr>
        <w:t>- la liste nominative des travailleurs étrangers</w:t>
      </w:r>
    </w:p>
    <w:p>
      <w:pPr>
        <w:pStyle w:val="Normal"/>
        <w:spacing w:before="120" w:after="0"/>
        <w:rPr/>
      </w:pPr>
      <w:r>
        <w:rPr>
          <w:rFonts w:eastAsia="arial" w:cs="arial" w:ascii="arial" w:hAnsi="arial"/>
          <w:b w:val="false"/>
          <w:i w:val="false"/>
          <w:color w:val="000000"/>
          <w:sz w:val="20"/>
          <w:u w:val="none"/>
          <w:shd w:fill="FFFFFF" w:val="clear"/>
        </w:rPr>
        <w:t>- l'attestation sur l'honneur relative à l'égalité réelle entre les femmes et les hommes</w:t>
      </w:r>
    </w:p>
    <w:p>
      <w:pPr>
        <w:pStyle w:val="Normal"/>
        <w:spacing w:before="120" w:after="0"/>
        <w:rPr/>
      </w:pPr>
      <w:r>
        <w:rPr>
          <w:rFonts w:eastAsia="arial" w:cs="arial" w:ascii="arial" w:hAnsi="arial"/>
          <w:b w:val="false"/>
          <w:i w:val="false"/>
          <w:color w:val="000000"/>
          <w:sz w:val="20"/>
          <w:u w:val="none"/>
          <w:shd w:fill="FFFFFF" w:val="clear"/>
        </w:rPr>
        <w:t>Cette démarche présente l'avantage de limiter les échanges administratifs lors de la notification et de l'exécution des marchés. Par ailleurs, le logiciel garantit la confidentialité des documents déposés.</w:t>
      </w:r>
    </w:p>
    <w:p>
      <w:pPr>
        <w:pStyle w:val="Normal"/>
        <w:spacing w:before="120" w:after="0"/>
        <w:rPr/>
      </w:pPr>
      <w:r>
        <w:rPr>
          <w:rFonts w:eastAsia="arial" w:cs="arial" w:ascii="arial" w:hAnsi="arial"/>
          <w:b w:val="false"/>
          <w:i w:val="false"/>
          <w:color w:val="000000"/>
          <w:sz w:val="20"/>
          <w:u w:val="none"/>
          <w:shd w:fill="FFFFFF" w:val="clear"/>
        </w:rPr>
        <w:t xml:space="preserve">L'interface e-attestations est une solution </w:t>
      </w:r>
      <w:r>
        <w:rPr>
          <w:rFonts w:eastAsia="arial" w:cs="arial" w:ascii="arial" w:hAnsi="arial"/>
          <w:b/>
          <w:i w:val="false"/>
          <w:color w:val="000000"/>
          <w:sz w:val="20"/>
          <w:u w:val="none"/>
          <w:shd w:fill="FFFFFF" w:val="clear"/>
        </w:rPr>
        <w:t>gratuite</w:t>
      </w:r>
      <w:r>
        <w:rPr>
          <w:rFonts w:eastAsia="arial" w:cs="arial" w:ascii="arial" w:hAnsi="arial"/>
          <w:b w:val="false"/>
          <w:i w:val="false"/>
          <w:color w:val="000000"/>
          <w:sz w:val="20"/>
          <w:u w:val="none"/>
          <w:shd w:fill="FFFFFF" w:val="clear"/>
        </w:rPr>
        <w:t xml:space="preserve"> de dépôt et de mise à jour, l'adresse du site est la suivante : http://www.e-attestations.com/</w:t>
      </w:r>
    </w:p>
    <w:p>
      <w:pPr>
        <w:pStyle w:val="Normal"/>
        <w:spacing w:before="120" w:after="0"/>
        <w:rPr/>
      </w:pPr>
      <w:r>
        <w:rPr/>
      </w:r>
    </w:p>
    <w:p>
      <w:pPr>
        <w:pStyle w:val="Titre1"/>
        <w:numPr>
          <w:ilvl w:val="0"/>
          <w:numId w:val="2"/>
        </w:numPr>
        <w:rPr/>
      </w:pPr>
      <w:bookmarkStart w:id="114" w:name="__RefHeading___Toc15568_3955681305"/>
      <w:bookmarkStart w:id="115" w:name="_Toc3900"/>
      <w:bookmarkEnd w:id="114"/>
      <w:bookmarkEnd w:id="115"/>
      <w:r>
        <w:rPr/>
        <w:t>LOI APPLICABLE</w:t>
      </w:r>
    </w:p>
    <w:p>
      <w:pPr>
        <w:pStyle w:val="Normal"/>
        <w:rPr/>
      </w:pPr>
      <w:r>
        <w:rPr>
          <w:rFonts w:eastAsia="arial" w:cs="arial" w:ascii="arial" w:hAnsi="arial"/>
          <w:b w:val="false"/>
          <w:i w:val="false"/>
          <w:color w:val="000000"/>
          <w:sz w:val="20"/>
          <w:u w:val="none"/>
          <w:shd w:fill="FFFFFF" w:val="clear"/>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p>
    <w:p>
      <w:pPr>
        <w:pStyle w:val="Titre1"/>
        <w:numPr>
          <w:ilvl w:val="0"/>
          <w:numId w:val="2"/>
        </w:numPr>
        <w:rPr/>
      </w:pPr>
      <w:bookmarkStart w:id="116" w:name="__RefHeading___Toc15570_3955681305"/>
      <w:bookmarkStart w:id="117" w:name="_Toc3901"/>
      <w:bookmarkEnd w:id="116"/>
      <w:bookmarkEnd w:id="117"/>
      <w:r>
        <w:rPr/>
        <w:t>CONFORMITE AUX NORMES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fournitures seront conformes aux normes en vigueur, normes homologuées ou autres normes reconnues équivalentes, en vertu de l'article R2111-11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Toute norme décrite dans le présent marché, dont l'usage n'est pas rendu obligatoire par une réglementation, est entendue comme comprenant la mention "ou équivalent" même si elle n'est pas expressément suivie de cette mention.</w:t>
      </w:r>
    </w:p>
    <w:p>
      <w:pPr>
        <w:pStyle w:val="Titre1"/>
        <w:numPr>
          <w:ilvl w:val="0"/>
          <w:numId w:val="2"/>
        </w:numPr>
        <w:rPr/>
      </w:pPr>
      <w:bookmarkStart w:id="118" w:name="__RefHeading___Toc15572_3955681305"/>
      <w:bookmarkStart w:id="119" w:name="_Toc3902"/>
      <w:bookmarkEnd w:id="118"/>
      <w:bookmarkEnd w:id="119"/>
      <w:r>
        <w:rPr/>
        <w:t>ASSURANCES</w:t>
      </w:r>
    </w:p>
    <w:p>
      <w:pPr>
        <w:pStyle w:val="Normal"/>
        <w:rPr/>
      </w:pPr>
      <w:r>
        <w:rPr>
          <w:rFonts w:eastAsia="arial" w:cs="arial" w:ascii="arial" w:hAnsi="arial"/>
          <w:b w:val="false"/>
          <w:i w:val="false"/>
          <w:color w:val="000000"/>
          <w:sz w:val="20"/>
          <w:u w:val="none"/>
          <w:shd w:fill="FFFFFF" w:val="clear"/>
        </w:rPr>
        <w:t>Conformément à l'article 9 du CCAG FCS, le titulaire doit contracter les assurances permettant de garantir sa responsabilité à l'égard du pouvoir adjudicateur et des tiers, victimes d'accidents ou de dommages causés par l'exécution des prestations.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tout moment durant l'exécution du marché, le titulaire doit être en mesure de produire cette attestation, sur demande du pouvoir adjudicateur et dans un délai de quinze jours à compter de la réception de la demande.</w:t>
      </w:r>
    </w:p>
    <w:p>
      <w:pPr>
        <w:pStyle w:val="Titre1"/>
        <w:numPr>
          <w:ilvl w:val="0"/>
          <w:numId w:val="2"/>
        </w:numPr>
        <w:rPr/>
      </w:pPr>
      <w:bookmarkStart w:id="120" w:name="__RefHeading___Toc15574_3955681305"/>
      <w:bookmarkStart w:id="121" w:name="_Toc3903"/>
      <w:bookmarkEnd w:id="120"/>
      <w:bookmarkEnd w:id="121"/>
      <w:r>
        <w:rPr/>
        <w:t>DEROGATIONS AUX DOCUMENTS GENERAUX</w:t>
      </w:r>
    </w:p>
    <w:p>
      <w:pPr>
        <w:pStyle w:val="Normal"/>
        <w:rPr/>
      </w:pPr>
      <w:r>
        <w:rPr>
          <w:rFonts w:eastAsia="arial" w:cs="arial" w:ascii="arial" w:hAnsi="arial"/>
          <w:b w:val="false"/>
          <w:i w:val="false"/>
          <w:color w:val="000000"/>
          <w:sz w:val="20"/>
          <w:u w:val="none"/>
          <w:shd w:fill="FFFFFF" w:val="clear"/>
        </w:rPr>
        <w:t>Les dérogations explicitées dans les articles désignés ci-après du C.C.A.P. sont apportées aux articles suivants des documents et des normes françaises homologuées ci-après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Dérogations au CCAG-FCS:</w:t>
      </w:r>
    </w:p>
    <w:p>
      <w:pPr>
        <w:pStyle w:val="Normal"/>
        <w:bidi w:val="0"/>
        <w:spacing w:before="122" w:after="0"/>
        <w:contextualSpacing/>
        <w:jc w:val="left"/>
        <w:rPr/>
      </w:pPr>
      <w:r>
        <w:rPr/>
        <w:t>- l'article 2 déroge à l'article 4.1 du CCAG</w:t>
      </w:r>
    </w:p>
    <w:p>
      <w:pPr>
        <w:pStyle w:val="Normal"/>
        <w:bidi w:val="0"/>
        <w:spacing w:before="122" w:after="0"/>
        <w:contextualSpacing/>
        <w:jc w:val="left"/>
        <w:rPr/>
      </w:pPr>
      <w:r>
        <w:rPr/>
        <w:t>- l'article 7.1 déroge à l'article 27.3 du CCAG</w:t>
      </w:r>
    </w:p>
    <w:p>
      <w:pPr>
        <w:pStyle w:val="Normal"/>
        <w:bidi w:val="0"/>
        <w:spacing w:before="122" w:after="0"/>
        <w:contextualSpacing/>
        <w:jc w:val="left"/>
        <w:rPr/>
      </w:pPr>
      <w:r>
        <w:rPr/>
        <w:t>- l'article 12.1 déroge à l'article 14.1.1 du CCAG</w:t>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CCAP</w:t>
    </w:r>
  </w:p>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MAPA DENRÉES ALIMENTAIRES.docx</w:t>
    </w:r>
    <w:r>
      <w:rPr/>
      <w:tab/>
      <w:tab/>
    </w:r>
    <w:r>
      <w:rPr/>
      <w:fldChar w:fldCharType="begin"/>
    </w:r>
    <w:r>
      <w:instrText> PAGE </w:instrText>
    </w:r>
    <w:r>
      <w:fldChar w:fldCharType="separate"/>
    </w:r>
    <w:r>
      <w:t>17</w:t>
    </w:r>
    <w:r>
      <w:fldChar w:fldCharType="end"/>
    </w:r>
    <w:r>
      <w:rPr/>
      <w:t>/</w:t>
    </w:r>
    <w:r>
      <w:rPr/>
      <w:fldChar w:fldCharType="begin"/>
    </w:r>
    <w:r>
      <w:instrText> NUMPAGES </w:instrText>
    </w:r>
    <w:r>
      <w:fldChar w:fldCharType="separate"/>
    </w:r>
    <w:r>
      <w:t>17</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Cahier des charges administratives particulières</w:t>
    </w:r>
    <w:r>
      <w:rPr>
        <w:rStyle w:val="Policepardfaut"/>
        <w:rFonts w:cs="Arial"/>
        <w:b w:val="false"/>
        <w:bCs w:val="false"/>
        <w:i/>
        <w:color w:val="000000"/>
        <w:sz w:val="18"/>
        <w:szCs w:val="18"/>
        <w:highlight w:val="white"/>
        <w:lang w:val="fr-FR"/>
      </w:rPr>
      <w:t xml:space="preserve">  consultation : 2</w:t>
    </w:r>
    <w:r>
      <w:rPr>
        <w:rStyle w:val="Policepardfaut"/>
        <w:rFonts w:cs="Arial"/>
        <w:b w:val="false"/>
        <w:bCs w:val="false"/>
        <w:i/>
        <w:color w:val="4472C4" w:themeColor="accent1"/>
        <w:sz w:val="18"/>
        <w:szCs w:val="18"/>
        <w:highlight w:val="white"/>
        <w:lang w:val="fr-FR"/>
      </w:rPr>
      <w:t>3_1289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fr-FR"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843"/>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44"/>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45"/>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46"/>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47"/>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48"/>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49"/>
    <w:qFormat/>
    <w:pPr>
      <w:numPr>
        <w:ilvl w:val="6"/>
        <w:numId w:val="1"/>
      </w:numPr>
      <w:spacing w:before="283" w:after="57"/>
      <w:jc w:val="both"/>
      <w:outlineLvl w:val="6"/>
    </w:pPr>
    <w:rPr>
      <w:bCs/>
      <w:sz w:val="22"/>
    </w:rPr>
  </w:style>
  <w:style w:type="paragraph" w:styleId="Titre8">
    <w:name w:val="Heading 8"/>
    <w:basedOn w:val="Titre"/>
    <w:link w:val="850"/>
    <w:qFormat/>
    <w:pPr>
      <w:numPr>
        <w:ilvl w:val="7"/>
        <w:numId w:val="1"/>
      </w:numPr>
      <w:spacing w:before="283" w:after="57"/>
      <w:jc w:val="both"/>
      <w:outlineLvl w:val="7"/>
    </w:pPr>
    <w:rPr>
      <w:bCs/>
      <w:sz w:val="21"/>
    </w:rPr>
  </w:style>
  <w:style w:type="paragraph" w:styleId="Titre9">
    <w:name w:val="Heading 9"/>
    <w:basedOn w:val="Titre"/>
    <w:link w:val="851"/>
    <w:qFormat/>
    <w:pPr>
      <w:numPr>
        <w:ilvl w:val="8"/>
        <w:numId w:val="1"/>
      </w:numPr>
      <w:spacing w:before="283" w:after="57"/>
      <w:jc w:val="both"/>
      <w:outlineLvl w:val="8"/>
    </w:pPr>
    <w:rPr>
      <w:bCs/>
      <w:sz w:val="21"/>
    </w:rPr>
  </w:style>
  <w:style w:type="character" w:styleId="Heading1Char">
    <w:name w:val="Heading 1 Char"/>
    <w:basedOn w:val="DefaultParagraphFont"/>
    <w:link w:val="833"/>
    <w:uiPriority w:val="9"/>
    <w:qFormat/>
    <w:rPr>
      <w:rFonts w:ascii="Arial" w:hAnsi="Arial" w:eastAsia="Arial" w:cs="Arial"/>
      <w:sz w:val="40"/>
      <w:szCs w:val="40"/>
    </w:rPr>
  </w:style>
  <w:style w:type="character" w:styleId="Heading2Char">
    <w:name w:val="Heading 2 Char"/>
    <w:basedOn w:val="DefaultParagraphFont"/>
    <w:link w:val="834"/>
    <w:uiPriority w:val="9"/>
    <w:qFormat/>
    <w:rPr>
      <w:rFonts w:ascii="Arial" w:hAnsi="Arial" w:eastAsia="Arial" w:cs="Arial"/>
      <w:sz w:val="34"/>
    </w:rPr>
  </w:style>
  <w:style w:type="character" w:styleId="Heading3Char">
    <w:name w:val="Heading 3 Char"/>
    <w:basedOn w:val="DefaultParagraphFont"/>
    <w:link w:val="835"/>
    <w:uiPriority w:val="9"/>
    <w:qFormat/>
    <w:rPr>
      <w:rFonts w:ascii="Arial" w:hAnsi="Arial" w:eastAsia="Arial" w:cs="Arial"/>
      <w:sz w:val="30"/>
      <w:szCs w:val="30"/>
    </w:rPr>
  </w:style>
  <w:style w:type="character" w:styleId="Heading4Char">
    <w:name w:val="Heading 4 Char"/>
    <w:basedOn w:val="DefaultParagraphFont"/>
    <w:link w:val="836"/>
    <w:uiPriority w:val="9"/>
    <w:qFormat/>
    <w:rPr>
      <w:rFonts w:ascii="Arial" w:hAnsi="Arial" w:eastAsia="Arial" w:cs="Arial"/>
      <w:b/>
      <w:bCs/>
      <w:sz w:val="26"/>
      <w:szCs w:val="26"/>
    </w:rPr>
  </w:style>
  <w:style w:type="character" w:styleId="Heading5Char">
    <w:name w:val="Heading 5 Char"/>
    <w:basedOn w:val="DefaultParagraphFont"/>
    <w:link w:val="837"/>
    <w:uiPriority w:val="9"/>
    <w:qFormat/>
    <w:rPr>
      <w:rFonts w:ascii="Arial" w:hAnsi="Arial" w:eastAsia="Arial" w:cs="Arial"/>
      <w:b/>
      <w:bCs/>
      <w:sz w:val="24"/>
      <w:szCs w:val="24"/>
    </w:rPr>
  </w:style>
  <w:style w:type="character" w:styleId="Heading6Char">
    <w:name w:val="Heading 6 Char"/>
    <w:basedOn w:val="DefaultParagraphFont"/>
    <w:link w:val="838"/>
    <w:uiPriority w:val="9"/>
    <w:qFormat/>
    <w:rPr>
      <w:rFonts w:ascii="Arial" w:hAnsi="Arial" w:eastAsia="Arial" w:cs="Arial"/>
      <w:b/>
      <w:bCs/>
      <w:sz w:val="22"/>
      <w:szCs w:val="22"/>
    </w:rPr>
  </w:style>
  <w:style w:type="character" w:styleId="Heading7Char">
    <w:name w:val="Heading 7 Char"/>
    <w:basedOn w:val="DefaultParagraphFont"/>
    <w:link w:val="839"/>
    <w:uiPriority w:val="9"/>
    <w:qFormat/>
    <w:rPr>
      <w:rFonts w:ascii="Arial" w:hAnsi="Arial" w:eastAsia="Arial" w:cs="Arial"/>
      <w:b/>
      <w:bCs/>
      <w:i/>
      <w:iCs/>
      <w:sz w:val="22"/>
      <w:szCs w:val="22"/>
    </w:rPr>
  </w:style>
  <w:style w:type="character" w:styleId="Heading8Char">
    <w:name w:val="Heading 8 Char"/>
    <w:basedOn w:val="DefaultParagraphFont"/>
    <w:link w:val="840"/>
    <w:uiPriority w:val="9"/>
    <w:qFormat/>
    <w:rPr>
      <w:rFonts w:ascii="Arial" w:hAnsi="Arial" w:eastAsia="Arial" w:cs="Arial"/>
      <w:i/>
      <w:iCs/>
      <w:sz w:val="22"/>
      <w:szCs w:val="22"/>
    </w:rPr>
  </w:style>
  <w:style w:type="character" w:styleId="Heading9Char">
    <w:name w:val="Heading 9 Char"/>
    <w:basedOn w:val="DefaultParagraphFont"/>
    <w:link w:val="841"/>
    <w:uiPriority w:val="9"/>
    <w:qFormat/>
    <w:rPr>
      <w:rFonts w:ascii="Arial" w:hAnsi="Arial" w:eastAsia="Arial" w:cs="Arial"/>
      <w:i/>
      <w:iCs/>
      <w:sz w:val="21"/>
      <w:szCs w:val="21"/>
    </w:rPr>
  </w:style>
  <w:style w:type="character" w:styleId="TitleChar">
    <w:name w:val="Title Char"/>
    <w:basedOn w:val="DefaultParagraphFont"/>
    <w:link w:val="876"/>
    <w:uiPriority w:val="10"/>
    <w:qFormat/>
    <w:rPr>
      <w:sz w:val="48"/>
      <w:szCs w:val="48"/>
    </w:rPr>
  </w:style>
  <w:style w:type="character" w:styleId="SubtitleChar">
    <w:name w:val="Subtitle Char"/>
    <w:basedOn w:val="DefaultParagraphFont"/>
    <w:link w:val="877"/>
    <w:uiPriority w:val="11"/>
    <w:qFormat/>
    <w:rPr>
      <w:sz w:val="24"/>
      <w:szCs w:val="24"/>
    </w:rPr>
  </w:style>
  <w:style w:type="character" w:styleId="QuoteChar">
    <w:name w:val="Quote Char"/>
    <w:link w:val="878"/>
    <w:uiPriority w:val="29"/>
    <w:qFormat/>
    <w:rPr>
      <w:i/>
    </w:rPr>
  </w:style>
  <w:style w:type="character" w:styleId="IntenseQuoteChar">
    <w:name w:val="Intense Quote Char"/>
    <w:link w:val="879"/>
    <w:uiPriority w:val="30"/>
    <w:qFormat/>
    <w:rPr>
      <w:i/>
    </w:rPr>
  </w:style>
  <w:style w:type="character" w:styleId="HeaderChar">
    <w:name w:val="Header Char"/>
    <w:basedOn w:val="DefaultParagraphFont"/>
    <w:link w:val="894"/>
    <w:uiPriority w:val="99"/>
    <w:qFormat/>
    <w:rPr/>
  </w:style>
  <w:style w:type="character" w:styleId="CaptionChar">
    <w:name w:val="Caption Char"/>
    <w:link w:val="902"/>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80"/>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81"/>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833"/>
    <w:uiPriority w:val="9"/>
    <w:qFormat/>
    <w:rPr>
      <w:rFonts w:ascii="Arial" w:hAnsi="Arial" w:eastAsia="Arial" w:cs="Arial"/>
      <w:sz w:val="40"/>
      <w:szCs w:val="40"/>
    </w:rPr>
  </w:style>
  <w:style w:type="character" w:styleId="Titre2Car" w:customStyle="1">
    <w:name w:val="Titre 2 Car"/>
    <w:basedOn w:val="DefaultParagraphFont"/>
    <w:link w:val="834"/>
    <w:uiPriority w:val="9"/>
    <w:qFormat/>
    <w:rPr>
      <w:rFonts w:ascii="Arial" w:hAnsi="Arial"/>
      <w:b/>
      <w:bCs/>
      <w:iCs/>
      <w:color w:val="666699"/>
      <w:sz w:val="22"/>
      <w:szCs w:val="28"/>
      <w:u w:val="single"/>
    </w:rPr>
  </w:style>
  <w:style w:type="character" w:styleId="Titre3Car" w:customStyle="1">
    <w:name w:val="Titre 3 Car"/>
    <w:basedOn w:val="DefaultParagraphFont"/>
    <w:link w:val="835"/>
    <w:uiPriority w:val="9"/>
    <w:qFormat/>
    <w:rPr>
      <w:rFonts w:ascii="Arial" w:hAnsi="Arial" w:eastAsia="Arial" w:cs="Arial"/>
      <w:sz w:val="30"/>
      <w:szCs w:val="30"/>
    </w:rPr>
  </w:style>
  <w:style w:type="character" w:styleId="Titre4Car" w:customStyle="1">
    <w:name w:val="Titre 4 Car"/>
    <w:basedOn w:val="DefaultParagraphFont"/>
    <w:link w:val="836"/>
    <w:uiPriority w:val="9"/>
    <w:qFormat/>
    <w:rPr>
      <w:rFonts w:ascii="Arial" w:hAnsi="Arial" w:eastAsia="Arial" w:cs="Arial"/>
      <w:b/>
      <w:bCs/>
      <w:sz w:val="26"/>
      <w:szCs w:val="26"/>
    </w:rPr>
  </w:style>
  <w:style w:type="character" w:styleId="Titre5Car" w:customStyle="1">
    <w:name w:val="Titre 5 Car"/>
    <w:basedOn w:val="DefaultParagraphFont"/>
    <w:link w:val="837"/>
    <w:uiPriority w:val="9"/>
    <w:qFormat/>
    <w:rPr>
      <w:rFonts w:ascii="Arial" w:hAnsi="Arial" w:eastAsia="Arial" w:cs="Arial"/>
      <w:b/>
      <w:bCs/>
      <w:sz w:val="24"/>
      <w:szCs w:val="24"/>
    </w:rPr>
  </w:style>
  <w:style w:type="character" w:styleId="Titre6Car" w:customStyle="1">
    <w:name w:val="Titre 6 Car"/>
    <w:basedOn w:val="DefaultParagraphFont"/>
    <w:link w:val="838"/>
    <w:uiPriority w:val="9"/>
    <w:qFormat/>
    <w:rPr>
      <w:rFonts w:ascii="Arial" w:hAnsi="Arial" w:eastAsia="Arial" w:cs="Arial"/>
      <w:b/>
      <w:bCs/>
      <w:sz w:val="22"/>
      <w:szCs w:val="22"/>
    </w:rPr>
  </w:style>
  <w:style w:type="character" w:styleId="Titre7Car" w:customStyle="1">
    <w:name w:val="Titre 7 Car"/>
    <w:basedOn w:val="DefaultParagraphFont"/>
    <w:link w:val="839"/>
    <w:uiPriority w:val="9"/>
    <w:qFormat/>
    <w:rPr>
      <w:rFonts w:ascii="Arial" w:hAnsi="Arial" w:eastAsia="Arial" w:cs="Arial"/>
      <w:b/>
      <w:bCs/>
      <w:i/>
      <w:iCs/>
      <w:sz w:val="22"/>
      <w:szCs w:val="22"/>
    </w:rPr>
  </w:style>
  <w:style w:type="character" w:styleId="Titre8Car" w:customStyle="1">
    <w:name w:val="Titre 8 Car"/>
    <w:basedOn w:val="DefaultParagraphFont"/>
    <w:link w:val="840"/>
    <w:uiPriority w:val="9"/>
    <w:qFormat/>
    <w:rPr>
      <w:rFonts w:ascii="Arial" w:hAnsi="Arial" w:eastAsia="Arial" w:cs="Arial"/>
      <w:i/>
      <w:iCs/>
      <w:sz w:val="22"/>
      <w:szCs w:val="22"/>
    </w:rPr>
  </w:style>
  <w:style w:type="character" w:styleId="Titre9Car" w:customStyle="1">
    <w:name w:val="Titre 9 Car"/>
    <w:basedOn w:val="DefaultParagraphFont"/>
    <w:link w:val="841"/>
    <w:uiPriority w:val="9"/>
    <w:qFormat/>
    <w:rPr>
      <w:rFonts w:ascii="Arial" w:hAnsi="Arial" w:eastAsia="Arial" w:cs="Arial"/>
      <w:i/>
      <w:iCs/>
      <w:sz w:val="21"/>
      <w:szCs w:val="21"/>
    </w:rPr>
  </w:style>
  <w:style w:type="character" w:styleId="TitreCar" w:customStyle="1">
    <w:name w:val="Titre Car"/>
    <w:basedOn w:val="DefaultParagraphFont"/>
    <w:link w:val="869"/>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902"/>
    <w:uiPriority w:val="99"/>
    <w:qFormat/>
    <w:rPr/>
  </w:style>
  <w:style w:type="character" w:styleId="NotedebasdepageCar" w:customStyle="1">
    <w:name w:val="Note de bas de page Car"/>
    <w:link w:val="880"/>
    <w:uiPriority w:val="99"/>
    <w:qFormat/>
    <w:rPr>
      <w:sz w:val="18"/>
    </w:rPr>
  </w:style>
  <w:style w:type="character" w:styleId="NotedefinCar" w:customStyle="1">
    <w:name w:val="Note de fin Car"/>
    <w:link w:val="881"/>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88"/>
    <w:qFormat/>
    <w:rPr>
      <w:rFonts w:ascii="Arial" w:hAnsi="Arial"/>
      <w:sz w:val="20"/>
    </w:rPr>
  </w:style>
  <w:style w:type="character" w:styleId="Policepardfaut">
    <w:name w:val="Police par défaut"/>
    <w:qFormat/>
    <w:rPr/>
  </w:style>
  <w:style w:type="character" w:styleId="Accentuationforte">
    <w:name w:val="Accentuation forte"/>
    <w:qFormat/>
    <w:rPr>
      <w:b/>
      <w:bCs/>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Sautdindex">
    <w:name w:val="Saut d'index"/>
    <w:qFormat/>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overflowPunct w:val="false"/>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852"/>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54"/>
    <w:uiPriority w:val="29"/>
    <w:qFormat/>
    <w:pPr>
      <w:ind w:left="720" w:right="720" w:hanging="0"/>
    </w:pPr>
    <w:rPr>
      <w:i/>
    </w:rPr>
  </w:style>
  <w:style w:type="paragraph" w:styleId="IntenseQuote">
    <w:name w:val="Intense Quote"/>
    <w:basedOn w:val="Normal"/>
    <w:link w:val="855"/>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59"/>
    <w:uiPriority w:val="99"/>
    <w:semiHidden/>
    <w:unhideWhenUsed/>
    <w:qFormat/>
    <w:pPr>
      <w:spacing w:before="120" w:after="40"/>
    </w:pPr>
    <w:rPr>
      <w:sz w:val="18"/>
    </w:rPr>
  </w:style>
  <w:style w:type="paragraph" w:styleId="EndnoteSymbol">
    <w:name w:val="Endnote Symbol"/>
    <w:basedOn w:val="Normal"/>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67"/>
    <w:qFormat/>
    <w:pPr>
      <w:widowControl/>
      <w:suppressAutoHyphens w:val="true"/>
      <w:overflowPunct w:val="false"/>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bidi w:val="0"/>
      <w:spacing w:before="120" w:after="120"/>
      <w:jc w:val="left"/>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858"/>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right" w:pos="9241" w:leader="dot"/>
      </w:tabs>
      <w:spacing w:before="0" w:after="0"/>
      <w:ind w:left="482" w:hanging="0"/>
    </w:pPr>
    <w:rPr>
      <w:rFonts w:ascii="Arial" w:hAnsi="Arial"/>
      <w:sz w:val="16"/>
    </w:rPr>
  </w:style>
  <w:style w:type="paragraph" w:styleId="Titre11" w:customStyle="1">
    <w:name w:val="Titre1"/>
    <w:qFormat/>
    <w:pPr>
      <w:widowControl/>
      <w:shd w:val="clear" w:color="FFFFFF" w:fill="FFFFFF"/>
      <w:suppressAutoHyphens w:val="true"/>
      <w:overflowPunct w:val="false"/>
      <w:bidi w:val="0"/>
      <w:spacing w:before="0" w:after="0"/>
      <w:jc w:val="center"/>
    </w:pPr>
    <w:rPr>
      <w:rFonts w:ascii="Arial" w:hAnsi="Arial" w:eastAsia="simsun, 宋体" w:cs="Times New Roman"/>
      <w:b/>
      <w:color w:val="00000A"/>
      <w:sz w:val="40"/>
      <w:szCs w:val="24"/>
      <w:lang w:val="fr-FR" w:eastAsia="zh-CN" w:bidi="ar-SA"/>
    </w:rPr>
  </w:style>
  <w:style w:type="paragraph" w:styleId="Default">
    <w:name w:val="Default"/>
    <w:qFormat/>
    <w:pPr>
      <w:widowControl/>
      <w:suppressAutoHyphens w:val="true"/>
      <w:bidi w:val="0"/>
      <w:spacing w:before="0" w:after="0"/>
      <w:jc w:val="left"/>
    </w:pPr>
    <w:rPr>
      <w:rFonts w:ascii="Calibri" w:hAnsi="Calibri" w:eastAsia="Andale Sans UI" w:cs="Tahoma"/>
      <w:color w:val="000000"/>
      <w:sz w:val="24"/>
      <w:szCs w:val="24"/>
      <w:lang w:val="fr-FR" w:eastAsia="ja-JP" w:bidi="fa-IR"/>
    </w:rPr>
  </w:style>
  <w:style w:type="paragraph" w:styleId="TOAHeading">
    <w:name w:val="TOA Heading"/>
    <w:basedOn w:val="Titre"/>
    <w:qFormat/>
    <w:pPr/>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456</TotalTime>
  <Application>LibreOffice/5.3.6.1$Windows_x86 LibreOffice_project/686f202eff87ef707079aeb7f485847613344eb7</Application>
  <Pages>17</Pages>
  <Words>4928</Words>
  <Characters>26409</Characters>
  <CharactersWithSpaces>31128</CharactersWithSpaces>
  <Paragraphs>331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2023-05-04T14:01:35Z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