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left"/>
        <w:rPr>
          <w:rFonts w:cs="Arial"/>
          <w:color w:val="4472C4" w:themeColor="accent1"/>
          <w:sz w:val="36"/>
          <w:szCs w:val="36"/>
        </w:rPr>
      </w:pPr>
      <w:r>
        <w:rPr>
          <w:rFonts w:cs="Arial"/>
          <w:color w:val="4472C4" w:themeColor="accent1"/>
          <w:sz w:val="36"/>
          <w:szCs w:val="36"/>
        </w:rPr>
      </w:r>
    </w:p>
    <w:p>
      <w:pPr>
        <w:pStyle w:val="Standard"/>
        <w:jc w:val="center"/>
        <w:rPr>
          <w:rFonts w:cs="Arial"/>
          <w:b/>
          <w:b/>
          <w:bCs/>
          <w:color w:val="4472C4" w:themeColor="accent1"/>
          <w:sz w:val="36"/>
          <w:szCs w:val="36"/>
          <w:highlight w:val="none"/>
        </w:rPr>
      </w:pPr>
      <w:r>
        <w:rPr>
          <w:rFonts w:cs="Arial"/>
          <w:b/>
          <w:bCs/>
          <w:color w:val="4472C4" w:themeColor="accent1"/>
          <w:sz w:val="36"/>
          <w:szCs w:val="36"/>
        </w:rPr>
      </w:r>
    </w:p>
    <w:p>
      <w:pPr>
        <w:pStyle w:val="Standard"/>
        <w:jc w:val="center"/>
        <w:rPr>
          <w:rFonts w:cs="Arial"/>
          <w:b/>
          <w:b/>
          <w:bCs/>
          <w:color w:val="4472C4" w:themeColor="accent1"/>
          <w:sz w:val="36"/>
          <w:szCs w:val="36"/>
          <w:highlight w:val="none"/>
        </w:rPr>
      </w:pPr>
      <w:r>
        <w:rPr>
          <w:rFonts w:cs="Arial"/>
          <w:color w:val="4472C4" w:themeColor="accent1"/>
          <w:sz w:val="36"/>
          <w:szCs w:val="36"/>
        </w:rPr>
        <w:t>Mairie de Marseille</w:t>
      </w:r>
    </w:p>
    <w:p>
      <w:pPr>
        <w:pStyle w:val="Standard"/>
        <w:jc w:val="center"/>
        <w:rPr>
          <w:sz w:val="36"/>
          <w:szCs w:val="36"/>
        </w:rPr>
      </w:pPr>
      <w:r>
        <w:rPr>
          <w:sz w:val="36"/>
          <w:szCs w:val="36"/>
        </w:rPr>
      </w:r>
    </w:p>
    <w:p>
      <w:pPr>
        <w:pStyle w:val="Normal"/>
        <w:spacing w:lineRule="atLeast" w:line="56" w:before="0" w:after="198"/>
        <w:ind w:left="0" w:right="-283" w:hanging="0"/>
        <w:jc w:val="center"/>
        <w:rPr>
          <w:rFonts w:ascii="Arial" w:hAnsi="Arial" w:eastAsia="Arial" w:cs="Arial"/>
          <w:sz w:val="20"/>
        </w:rPr>
      </w:pPr>
      <w:r>
        <w:rPr>
          <w:rFonts w:eastAsia="Arial" w:cs="Arial"/>
          <w:b/>
          <w:color w:val="000000"/>
          <w:sz w:val="28"/>
        </w:rPr>
        <w:t xml:space="preserve">Direction Générale Adjointe "Ville plus Verte et plus Durable" </w:t>
      </w:r>
      <w:r>
        <w:rPr/>
        <w:br/>
      </w:r>
    </w:p>
    <w:p>
      <w:pPr>
        <w:pStyle w:val="Normal"/>
        <w:spacing w:lineRule="atLeast" w:line="56" w:before="198" w:after="198"/>
        <w:ind w:left="0" w:right="-283" w:hanging="0"/>
        <w:jc w:val="center"/>
        <w:rPr>
          <w:rFonts w:ascii="Arial" w:hAnsi="Arial" w:eastAsia="Arial" w:cs="Arial"/>
          <w:b/>
          <w:b/>
          <w:bCs/>
          <w:color w:val="000000"/>
          <w:sz w:val="28"/>
          <w:szCs w:val="28"/>
        </w:rPr>
      </w:pPr>
      <w:r>
        <w:rPr>
          <w:rFonts w:eastAsia="Arial" w:cs="Arial"/>
          <w:b/>
          <w:color w:val="000000"/>
          <w:sz w:val="28"/>
        </w:rPr>
        <w:t xml:space="preserve">Direction de l'Architecture et de la Valorisation des Équipements et de leurs Usages </w:t>
      </w:r>
      <w:r>
        <w:rPr/>
        <w:br/>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POLE ENTRETIEN ET TRAVAUX TOUS BÂTIMENTS</w:t>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9 Rue Paul Brutus – 13015 MARSEILLE</w:t>
      </w:r>
    </w:p>
    <w:p>
      <w:pPr>
        <w:pStyle w:val="Titre11"/>
        <w:shd w:val="clear" w:color="auto" w:fill="FFFFFF"/>
        <w:jc w:val="left"/>
        <w:rPr>
          <w:color w:val="5B9BD5" w:themeColor="accent5"/>
          <w:sz w:val="44"/>
          <w:szCs w:val="44"/>
          <w:highlight w:val="white"/>
        </w:rPr>
      </w:pPr>
      <w:r>
        <w:rPr>
          <w:color w:val="5B9BD5" w:themeColor="accent5"/>
          <w:sz w:val="44"/>
          <w:szCs w:val="44"/>
          <w:highlight w:val="white"/>
        </w:rPr>
      </w:r>
    </w:p>
    <w:p>
      <w:pPr>
        <w:pStyle w:val="Titre11"/>
        <w:shd w:val="clear" w:color="auto" w:fill="FFFFFF"/>
        <w:jc w:val="center"/>
        <w:rPr>
          <w:rFonts w:cs="Arial"/>
          <w:color w:val="5B9BD5" w:themeColor="accent5"/>
          <w:sz w:val="44"/>
          <w:szCs w:val="44"/>
          <w:highlight w:val="none"/>
        </w:rPr>
      </w:pPr>
      <w:r>
        <w:rPr>
          <w:rFonts w:cs="Arial"/>
          <w:color w:val="5B9BD5" w:themeColor="accent5"/>
          <w:sz w:val="44"/>
          <w:szCs w:val="44"/>
          <w:shd w:fill="FFFFFF" w:val="clear"/>
        </w:rPr>
        <w:t>Acte d'engagement</w:t>
      </w:r>
    </w:p>
    <w:p>
      <w:pPr>
        <w:pStyle w:val="Titre11"/>
        <w:shd w:val="clear" w:color="auto" w:fill="FFFFFF"/>
        <w:jc w:val="center"/>
        <w:rPr/>
      </w:pPr>
      <w:r>
        <w:rPr/>
      </w:r>
    </w:p>
    <w:p>
      <w:pPr>
        <w:pStyle w:val="Titre11"/>
        <w:shd w:val="clear" w:color="auto" w:fill="FFFFFF"/>
        <w:jc w:val="center"/>
        <w:rPr>
          <w:sz w:val="32"/>
          <w:szCs w:val="32"/>
        </w:rPr>
      </w:pPr>
      <w:r>
        <w:rPr>
          <w:color w:val="5B9BD5" w:themeColor="accent5"/>
          <w:sz w:val="32"/>
          <w:szCs w:val="32"/>
        </w:rPr>
        <w:t xml:space="preserve">LOT 3 - </w:t>
      </w:r>
      <w:r>
        <w:rPr>
          <w:i w:val="false"/>
          <w:color w:val="5B9BD5" w:themeColor="accent5"/>
          <w:sz w:val="32"/>
          <w:szCs w:val="32"/>
          <w:highlight w:val="white"/>
          <w:u w:val="none"/>
          <w:lang w:val="zxx" w:eastAsia="zxx" w:bidi="zxx"/>
        </w:rPr>
        <w:t>Ascenseurs, appareils élévateurs, appareils mécanisés (portes, portails) et bornes voirie</w:t>
      </w:r>
    </w:p>
    <w:p>
      <w:pPr>
        <w:pStyle w:val="Standard"/>
        <w:jc w:val="center"/>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tabs>
          <w:tab w:val="clear" w:pos="706"/>
          <w:tab w:val="left" w:pos="5249" w:leader="none"/>
        </w:tabs>
        <w:rPr>
          <w:sz w:val="36"/>
          <w:szCs w:val="36"/>
        </w:rPr>
      </w:pPr>
      <w:r>
        <w:rPr>
          <w:rFonts w:cs="Arial"/>
          <w:color w:val="5B9BD5" w:themeColor="accent5"/>
          <w:sz w:val="36"/>
          <w:szCs w:val="36"/>
          <w:highlight w:val="white"/>
          <w:shd w:fill="FFFFFF" w:val="clear"/>
        </w:rPr>
        <w:t xml:space="preserve">EXPLOITATION ET MAINTENANCE MULTITECHNIQUES DES INSTALLATIONS ET EQUIPEMENTS DU SITE DE L'HOTEL DE VILLE -  </w:t>
      </w:r>
      <w:r>
        <w:rPr>
          <w:rFonts w:cs="Arial"/>
          <w:color w:val="5B9BD5" w:themeColor="accent5"/>
          <w:sz w:val="36"/>
          <w:szCs w:val="36"/>
          <w:shd w:fill="FFFFFF" w:val="clear"/>
        </w:rPr>
        <w:t>3 lots</w:t>
      </w:r>
    </w:p>
    <w:p>
      <w:pPr>
        <w:pStyle w:val="Standard"/>
        <w:rPr>
          <w:rFonts w:cs="Arial"/>
          <w:szCs w:val="20"/>
        </w:rPr>
      </w:pPr>
      <w:r>
        <w:rPr>
          <w:rFonts w:cs="Arial"/>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23_0946</w:t>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t>Article 1 - INFORMATIONS ADMINISTRATIVES (RENSEIGNE PAR LA COLLECTIVITE)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_Toc3964 \h</w:instrText>
        </w:r>
        <w:r>
          <w:rPr>
            <w:webHidden/>
          </w:rPr>
          <w:fldChar w:fldCharType="separate"/>
        </w:r>
        <w:r>
          <w:rPr/>
          <w:fldChar w:fldCharType="begin"/>
        </w:r>
        <w:r>
          <w:rPr>
            <w:webHidden/>
          </w:rPr>
          <w:fldChar w:fldCharType="end"/>
        </w:r>
        <w:r>
          <w:rPr/>
          <w:instrText> PAGEREF _Toc3964 \h </w:instrText>
        </w:r>
        <w:r>
          <w:rPr/>
          <w:fldChar w:fldCharType="separate"/>
        </w:r>
        <w:r>
          <w:rPr/>
          <w:t>3</w:t>
        </w:r>
        <w:r>
          <w:rPr/>
          <w:fldChar w:fldCharType="end"/>
        </w:r>
      </w:hyperlink>
    </w:p>
    <w:p>
      <w:pPr>
        <w:pStyle w:val="Tabledesmatiresniveau2"/>
        <w:tabs>
          <w:tab w:val="clear" w:pos="706"/>
          <w:tab w:val="right" w:pos="8290" w:leader="dot"/>
        </w:tabs>
        <w:rPr/>
      </w:pPr>
      <w:hyperlink w:anchor="_Toc3965" w:tgtFrame="#_Toc3965">
        <w:r>
          <w:rPr/>
          <w:t>1.1 Marché</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_Toc3965 \h</w:instrText>
        </w:r>
        <w:r>
          <w:rPr>
            <w:webHidden/>
          </w:rPr>
          <w:fldChar w:fldCharType="separate"/>
        </w:r>
        <w:r>
          <w:rPr/>
          <w:fldChar w:fldCharType="begin"/>
        </w:r>
        <w:r>
          <w:rPr>
            <w:webHidden/>
          </w:rPr>
          <w:fldChar w:fldCharType="end"/>
        </w:r>
        <w:r>
          <w:rPr/>
          <w:instrText> PAGEREF _Toc3965 \h </w:instrText>
        </w:r>
        <w:r>
          <w:rPr/>
          <w:fldChar w:fldCharType="separate"/>
        </w:r>
        <w:r>
          <w:rPr/>
          <w:t>3</w:t>
        </w:r>
        <w:r>
          <w:rPr/>
          <w:fldChar w:fldCharType="end"/>
        </w:r>
      </w:hyperlink>
    </w:p>
    <w:p>
      <w:pPr>
        <w:pStyle w:val="Tabledesmatiresniveau2"/>
        <w:tabs>
          <w:tab w:val="clear" w:pos="706"/>
          <w:tab w:val="right" w:pos="8290" w:leader="dot"/>
        </w:tabs>
        <w:rPr/>
      </w:pPr>
      <w:hyperlink w:anchor="_Toc3966" w:tgtFrame="#_Toc3966">
        <w:r>
          <w:rPr/>
          <w:t>1.2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_Toc3966 \h</w:instrText>
        </w:r>
        <w:r>
          <w:rPr>
            <w:webHidden/>
          </w:rPr>
          <w:fldChar w:fldCharType="separate"/>
        </w:r>
        <w:r>
          <w:rPr/>
          <w:fldChar w:fldCharType="begin"/>
        </w:r>
        <w:r>
          <w:rPr>
            <w:webHidden/>
          </w:rPr>
          <w:fldChar w:fldCharType="end"/>
        </w:r>
        <w:r>
          <w:rPr/>
          <w:instrText> PAGEREF _Toc3966 \h </w:instrText>
        </w:r>
        <w:r>
          <w:rPr/>
          <w:fldChar w:fldCharType="separate"/>
        </w:r>
        <w:r>
          <w:rPr/>
          <w:t>3</w:t>
        </w:r>
        <w:r>
          <w:rPr/>
          <w:fldChar w:fldCharType="end"/>
        </w:r>
      </w:hyperlink>
    </w:p>
    <w:p>
      <w:pPr>
        <w:pStyle w:val="Tabledesmatiresniveau2"/>
        <w:tabs>
          <w:tab w:val="clear" w:pos="706"/>
          <w:tab w:val="right" w:pos="8290" w:leader="dot"/>
        </w:tabs>
        <w:rPr/>
      </w:pPr>
      <w:hyperlink w:anchor="_Toc3967" w:tgtFrame="#_Toc3967">
        <w:r>
          <w:rPr/>
          <w:t>1.3 Informations comptables et financières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_Toc3967 \h</w:instrText>
        </w:r>
        <w:r>
          <w:rPr>
            <w:webHidden/>
          </w:rPr>
          <w:fldChar w:fldCharType="separate"/>
        </w:r>
        <w:r>
          <w:rPr/>
          <w:fldChar w:fldCharType="begin"/>
        </w:r>
        <w:r>
          <w:rPr>
            <w:webHidden/>
          </w:rPr>
          <w:fldChar w:fldCharType="end"/>
        </w:r>
        <w:r>
          <w:rPr/>
          <w:instrText> PAGEREF _Toc3967 \h </w:instrText>
        </w:r>
        <w:r>
          <w:rPr/>
          <w:fldChar w:fldCharType="separate"/>
        </w:r>
        <w:r>
          <w:rPr/>
          <w:t>3</w:t>
        </w:r>
        <w:r>
          <w:rPr/>
          <w:fldChar w:fldCharType="end"/>
        </w:r>
      </w:hyperlink>
    </w:p>
    <w:p>
      <w:pPr>
        <w:pStyle w:val="Tabledesmatiresniveau2"/>
        <w:tabs>
          <w:tab w:val="clear" w:pos="706"/>
          <w:tab w:val="right" w:pos="8290" w:leader="dot"/>
        </w:tabs>
        <w:rPr/>
      </w:pPr>
      <w:hyperlink w:anchor="_Toc3968" w:tgtFrame="#_Toc3968">
        <w:r>
          <w:rPr/>
          <w:t>1.4 Code CPV</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_Toc3968 \h</w:instrText>
        </w:r>
        <w:r>
          <w:rPr>
            <w:webHidden/>
          </w:rPr>
          <w:fldChar w:fldCharType="separate"/>
        </w:r>
        <w:r>
          <w:rPr/>
          <w:fldChar w:fldCharType="begin"/>
        </w:r>
        <w:r>
          <w:rPr>
            <w:webHidden/>
          </w:rPr>
          <w:fldChar w:fldCharType="end"/>
        </w:r>
        <w:r>
          <w:rPr/>
          <w:instrText> PAGEREF _Toc3968 \h </w:instrText>
        </w:r>
        <w:r>
          <w:rPr/>
          <w:fldChar w:fldCharType="separate"/>
        </w:r>
        <w:r>
          <w:rPr/>
          <w:t>3</w:t>
        </w:r>
        <w:r>
          <w:rPr/>
          <w:fldChar w:fldCharType="end"/>
        </w:r>
      </w:hyperlink>
    </w:p>
    <w:p>
      <w:pPr>
        <w:pStyle w:val="Tabledesmatiresniveau2"/>
        <w:tabs>
          <w:tab w:val="clear" w:pos="706"/>
          <w:tab w:val="right" w:pos="8290" w:leader="dot"/>
        </w:tabs>
        <w:rPr/>
      </w:pPr>
      <w:hyperlink w:anchor="_Toc3969" w:tgtFrame="#_Toc3969">
        <w:r>
          <w:rPr/>
          <w:t>1.5 Réemploi, réutilisation ou intégration de matières recyclées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_Toc3969 \h</w:instrText>
        </w:r>
        <w:r>
          <w:rPr>
            <w:webHidden/>
          </w:rPr>
          <w:fldChar w:fldCharType="separate"/>
        </w:r>
        <w:r>
          <w:rPr/>
          <w:fldChar w:fldCharType="begin"/>
        </w:r>
        <w:r>
          <w:rPr>
            <w:webHidden/>
          </w:rPr>
          <w:fldChar w:fldCharType="end"/>
        </w:r>
        <w:r>
          <w:rPr/>
          <w:instrText> PAGEREF _Toc3969 \h </w:instrText>
        </w:r>
        <w:r>
          <w:rPr/>
          <w:fldChar w:fldCharType="separate"/>
        </w:r>
        <w:r>
          <w:rPr/>
          <w:t>3</w:t>
        </w:r>
        <w:r>
          <w:rPr/>
          <w:fldChar w:fldCharType="end"/>
        </w:r>
      </w:hyperlink>
    </w:p>
    <w:p>
      <w:pPr>
        <w:pStyle w:val="Tabledesmatiresniveau1"/>
        <w:tabs>
          <w:tab w:val="right" w:pos="8290" w:leader="dot"/>
          <w:tab w:val="right" w:pos="9637" w:leader="dot"/>
        </w:tabs>
        <w:rPr/>
      </w:pPr>
      <w:hyperlink w:anchor="_Toc3970" w:tgtFrame="#_Toc3970">
        <w:r>
          <w:rPr/>
          <w:t>Article 2 - CONTRACTANT(S)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_Toc3970 \h</w:instrText>
        </w:r>
        <w:r>
          <w:rPr>
            <w:webHidden/>
          </w:rPr>
          <w:fldChar w:fldCharType="separate"/>
        </w:r>
        <w:r>
          <w:rPr/>
          <w:fldChar w:fldCharType="begin"/>
        </w:r>
        <w:r>
          <w:rPr>
            <w:webHidden/>
          </w:rPr>
          <w:fldChar w:fldCharType="end"/>
        </w:r>
        <w:r>
          <w:rPr/>
          <w:instrText> PAGEREF _Toc3970 \h </w:instrText>
        </w:r>
        <w:r>
          <w:rPr/>
          <w:fldChar w:fldCharType="separate"/>
        </w:r>
        <w:r>
          <w:rPr/>
          <w:t>4</w:t>
        </w:r>
        <w:r>
          <w:rPr/>
          <w:fldChar w:fldCharType="end"/>
        </w:r>
      </w:hyperlink>
    </w:p>
    <w:p>
      <w:pPr>
        <w:pStyle w:val="Tabledesmatiresniveau2"/>
        <w:tabs>
          <w:tab w:val="clear" w:pos="706"/>
          <w:tab w:val="right" w:pos="8290" w:leader="dot"/>
        </w:tabs>
        <w:rPr/>
      </w:pPr>
      <w:hyperlink w:anchor="_Toc3971" w:tgtFrame="#_Toc3971">
        <w:r>
          <w:rPr/>
          <w:t>2.1 Identification</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_Toc3971 \h</w:instrText>
        </w:r>
        <w:r>
          <w:rPr>
            <w:webHidden/>
          </w:rPr>
          <w:fldChar w:fldCharType="separate"/>
        </w:r>
        <w:r>
          <w:rPr/>
          <w:fldChar w:fldCharType="begin"/>
        </w:r>
        <w:r>
          <w:rPr>
            <w:webHidden/>
          </w:rPr>
          <w:fldChar w:fldCharType="end"/>
        </w:r>
        <w:r>
          <w:rPr/>
          <w:instrText> PAGEREF _Toc3971 \h </w:instrText>
        </w:r>
        <w:r>
          <w:rPr/>
          <w:fldChar w:fldCharType="separate"/>
        </w:r>
        <w:r>
          <w:rPr/>
          <w:t>4</w:t>
        </w:r>
        <w:r>
          <w:rPr/>
          <w:fldChar w:fldCharType="end"/>
        </w:r>
      </w:hyperlink>
    </w:p>
    <w:p>
      <w:pPr>
        <w:pStyle w:val="Tabledesmatiresniveau2"/>
        <w:tabs>
          <w:tab w:val="clear" w:pos="706"/>
          <w:tab w:val="right" w:pos="8290" w:leader="dot"/>
        </w:tabs>
        <w:rPr/>
      </w:pPr>
      <w:hyperlink w:anchor="_Toc3972" w:tgtFrame="#_Toc3972">
        <w:r>
          <w:rPr/>
          <w:t>2.2 Compte à créditer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_Toc3972 \h</w:instrText>
        </w:r>
        <w:r>
          <w:rPr>
            <w:webHidden/>
          </w:rPr>
          <w:fldChar w:fldCharType="separate"/>
        </w:r>
        <w:r>
          <w:rPr/>
          <w:fldChar w:fldCharType="begin"/>
        </w:r>
        <w:r>
          <w:rPr>
            <w:webHidden/>
          </w:rPr>
          <w:fldChar w:fldCharType="end"/>
        </w:r>
        <w:r>
          <w:rPr/>
          <w:instrText> PAGEREF _Toc3972 \h </w:instrText>
        </w:r>
        <w:r>
          <w:rPr/>
          <w:fldChar w:fldCharType="separate"/>
        </w:r>
        <w:r>
          <w:rPr/>
          <w:t>7</w:t>
        </w:r>
        <w:r>
          <w:rPr/>
          <w:fldChar w:fldCharType="end"/>
        </w:r>
      </w:hyperlink>
    </w:p>
    <w:p>
      <w:pPr>
        <w:pStyle w:val="Tabledesmatiresniveau1"/>
        <w:tabs>
          <w:tab w:val="right" w:pos="8290" w:leader="dot"/>
          <w:tab w:val="right" w:pos="9637" w:leader="dot"/>
        </w:tabs>
        <w:rPr/>
      </w:pPr>
      <w:hyperlink w:anchor="_Toc3973" w:tgtFrame="#_Toc3973">
        <w:r>
          <w:rPr/>
          <w:t>Article 3 - OBJET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_Toc3973 \h</w:instrText>
        </w:r>
        <w:r>
          <w:rPr>
            <w:webHidden/>
          </w:rPr>
          <w:fldChar w:fldCharType="separate"/>
        </w:r>
        <w:r>
          <w:rPr/>
          <w:fldChar w:fldCharType="begin"/>
        </w:r>
        <w:r>
          <w:rPr>
            <w:webHidden/>
          </w:rPr>
          <w:fldChar w:fldCharType="end"/>
        </w:r>
        <w:r>
          <w:rPr/>
          <w:instrText> PAGEREF _Toc3973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74" w:tgtFrame="#_Toc3974">
        <w:r>
          <w:rPr/>
          <w:t>Article 4 - MONTANT ET PRIX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_Toc3974 \h</w:instrText>
        </w:r>
        <w:r>
          <w:rPr>
            <w:webHidden/>
          </w:rPr>
          <w:fldChar w:fldCharType="separate"/>
        </w:r>
        <w:r>
          <w:rPr/>
          <w:fldChar w:fldCharType="begin"/>
        </w:r>
        <w:r>
          <w:rPr>
            <w:webHidden/>
          </w:rPr>
          <w:fldChar w:fldCharType="end"/>
        </w:r>
        <w:r>
          <w:rPr/>
          <w:instrText> PAGEREF _Toc3974 \h </w:instrText>
        </w:r>
        <w:r>
          <w:rPr/>
          <w:fldChar w:fldCharType="separate"/>
        </w:r>
        <w:r>
          <w:rPr/>
          <w:t>10</w:t>
        </w:r>
        <w:r>
          <w:rPr/>
          <w:fldChar w:fldCharType="end"/>
        </w:r>
      </w:hyperlink>
    </w:p>
    <w:p>
      <w:pPr>
        <w:pStyle w:val="Tabledesmatiresniveau2"/>
        <w:tabs>
          <w:tab w:val="clear" w:pos="706"/>
          <w:tab w:val="right" w:pos="8290" w:leader="dot"/>
        </w:tabs>
        <w:rPr/>
      </w:pPr>
      <w:hyperlink w:anchor="_Toc3975" w:tgtFrame="#_Toc3975">
        <w:r>
          <w:rPr/>
          <w:t>4.1 Forme du prix</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_Toc3975 \h</w:instrText>
        </w:r>
        <w:r>
          <w:rPr>
            <w:webHidden/>
          </w:rPr>
          <w:fldChar w:fldCharType="separate"/>
        </w:r>
        <w:r>
          <w:rPr/>
          <w:fldChar w:fldCharType="begin"/>
        </w:r>
        <w:r>
          <w:rPr>
            <w:webHidden/>
          </w:rPr>
          <w:fldChar w:fldCharType="end"/>
        </w:r>
        <w:r>
          <w:rPr/>
          <w:instrText> PAGEREF _Toc3975 \h </w:instrText>
        </w:r>
        <w:r>
          <w:rPr/>
          <w:fldChar w:fldCharType="separate"/>
        </w:r>
        <w:r>
          <w:rPr/>
          <w:t>10</w:t>
        </w:r>
        <w:r>
          <w:rPr/>
          <w:fldChar w:fldCharType="end"/>
        </w:r>
      </w:hyperlink>
    </w:p>
    <w:p>
      <w:pPr>
        <w:pStyle w:val="Tabledesmatiresniveau2"/>
        <w:tabs>
          <w:tab w:val="clear" w:pos="706"/>
          <w:tab w:val="right" w:pos="8290" w:leader="dot"/>
        </w:tabs>
        <w:rPr/>
      </w:pPr>
      <w:hyperlink w:anchor="_Toc3976" w:tgtFrame="#_Toc3976">
        <w:r>
          <w:rPr/>
          <w:t>4.2 Montant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_Toc3976 \h</w:instrText>
        </w:r>
        <w:r>
          <w:rPr>
            <w:webHidden/>
          </w:rPr>
          <w:fldChar w:fldCharType="separate"/>
        </w:r>
        <w:r>
          <w:rPr/>
          <w:fldChar w:fldCharType="begin"/>
        </w:r>
        <w:r>
          <w:rPr>
            <w:webHidden/>
          </w:rPr>
          <w:fldChar w:fldCharType="end"/>
        </w:r>
        <w:r>
          <w:rPr/>
          <w:instrText> PAGEREF _Toc3976 \h </w:instrText>
        </w:r>
        <w:r>
          <w:rPr/>
          <w:fldChar w:fldCharType="separate"/>
        </w:r>
        <w:r>
          <w:rPr/>
          <w:t>10</w:t>
        </w:r>
        <w:r>
          <w:rPr/>
          <w:fldChar w:fldCharType="end"/>
        </w:r>
      </w:hyperlink>
    </w:p>
    <w:p>
      <w:pPr>
        <w:pStyle w:val="Tabledesmatiresniveau2"/>
        <w:tabs>
          <w:tab w:val="clear" w:pos="706"/>
          <w:tab w:val="right" w:pos="8290" w:leader="dot"/>
        </w:tabs>
        <w:rPr/>
      </w:pPr>
      <w:hyperlink w:anchor="_Toc3977" w:tgtFrame="#_Toc3977">
        <w:r>
          <w:rPr/>
          <w:t>4.3 Sous traitance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_Toc3977 \h</w:instrText>
        </w:r>
        <w:r>
          <w:rPr>
            <w:webHidden/>
          </w:rPr>
          <w:fldChar w:fldCharType="separate"/>
        </w:r>
        <w:r>
          <w:rPr/>
          <w:fldChar w:fldCharType="begin"/>
        </w:r>
        <w:r>
          <w:rPr>
            <w:webHidden/>
          </w:rPr>
          <w:fldChar w:fldCharType="end"/>
        </w:r>
        <w:r>
          <w:rPr/>
          <w:instrText> PAGEREF _Toc3977 \h </w:instrText>
        </w:r>
        <w:r>
          <w:rPr/>
          <w:fldChar w:fldCharType="separate"/>
        </w:r>
        <w:r>
          <w:rPr/>
          <w:t>13</w:t>
        </w:r>
        <w:r>
          <w:rPr/>
          <w:fldChar w:fldCharType="end"/>
        </w:r>
      </w:hyperlink>
    </w:p>
    <w:p>
      <w:pPr>
        <w:pStyle w:val="Tabledesmatiresniveau1"/>
        <w:tabs>
          <w:tab w:val="right" w:pos="8290" w:leader="dot"/>
          <w:tab w:val="right" w:pos="9637" w:leader="dot"/>
        </w:tabs>
        <w:rPr/>
      </w:pPr>
      <w:hyperlink w:anchor="_Toc3978" w:tgtFrame="#_Toc3978">
        <w:r>
          <w:rPr/>
          <w:t>Article 5 - AVANCE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_Toc3978 \h</w:instrText>
        </w:r>
        <w:r>
          <w:rPr>
            <w:webHidden/>
          </w:rPr>
          <w:fldChar w:fldCharType="separate"/>
        </w:r>
        <w:r>
          <w:rPr/>
          <w:fldChar w:fldCharType="begin"/>
        </w:r>
        <w:r>
          <w:rPr>
            <w:webHidden/>
          </w:rPr>
          <w:fldChar w:fldCharType="end"/>
        </w:r>
        <w:r>
          <w:rPr/>
          <w:instrText> PAGEREF _Toc3978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79" w:tgtFrame="#_Toc3979">
        <w:r>
          <w:rPr/>
          <w:t>Article 6 - DUREE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_Toc3979 \h</w:instrText>
        </w:r>
        <w:r>
          <w:rPr>
            <w:webHidden/>
          </w:rPr>
          <w:fldChar w:fldCharType="separate"/>
        </w:r>
        <w:r>
          <w:rPr/>
          <w:fldChar w:fldCharType="begin"/>
        </w:r>
        <w:r>
          <w:rPr>
            <w:webHidden/>
          </w:rPr>
          <w:fldChar w:fldCharType="end"/>
        </w:r>
        <w:r>
          <w:rPr/>
          <w:instrText> PAGEREF _Toc3979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80" w:tgtFrame="#_Toc3980">
        <w:r>
          <w:rPr/>
          <w:t>Article 7 - PROVENANCE DES FOURNITURES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_Toc3980 \h</w:instrText>
        </w:r>
        <w:r>
          <w:rPr>
            <w:webHidden/>
          </w:rPr>
          <w:fldChar w:fldCharType="separate"/>
        </w:r>
        <w:r>
          <w:rPr/>
          <w:fldChar w:fldCharType="begin"/>
        </w:r>
        <w:r>
          <w:rPr>
            <w:webHidden/>
          </w:rPr>
          <w:fldChar w:fldCharType="end"/>
        </w:r>
        <w:r>
          <w:rPr/>
          <w:instrText> PAGEREF _Toc3980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1" w:tgtFrame="#_Toc3981">
        <w:r>
          <w:rPr/>
          <w:t>Article 8 - DELAI DE VALIDITE DES OFFRES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_Toc3981 \h</w:instrText>
        </w:r>
        <w:r>
          <w:rPr>
            <w:webHidden/>
          </w:rPr>
          <w:fldChar w:fldCharType="separate"/>
        </w:r>
        <w:r>
          <w:rPr/>
          <w:fldChar w:fldCharType="begin"/>
        </w:r>
        <w:r>
          <w:rPr>
            <w:webHidden/>
          </w:rPr>
          <w:fldChar w:fldCharType="end"/>
        </w:r>
        <w:r>
          <w:rPr/>
          <w:instrText> PAGEREF _Toc3981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2" w:tgtFrame="#_Toc3982">
        <w:r>
          <w:rPr/>
          <w:t>Article 9 - ENGAGEMENT ET SIGNATURE DU CANDIDAT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_Toc3982 \h</w:instrText>
        </w:r>
        <w:r>
          <w:rPr>
            <w:webHidden/>
          </w:rPr>
          <w:fldChar w:fldCharType="separate"/>
        </w:r>
        <w:r>
          <w:rPr/>
          <w:fldChar w:fldCharType="begin"/>
        </w:r>
        <w:r>
          <w:rPr>
            <w:webHidden/>
          </w:rPr>
          <w:fldChar w:fldCharType="end"/>
        </w:r>
        <w:r>
          <w:rPr/>
          <w:instrText> PAGEREF _Toc3982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3" w:tgtFrame="#_Toc3983">
        <w:r>
          <w:rPr/>
          <w:t>Article 10 - SIGNATURE DU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_Toc3983 \h</w:instrText>
        </w:r>
        <w:r>
          <w:rPr>
            <w:webHidden/>
          </w:rPr>
          <w:fldChar w:fldCharType="separate"/>
        </w:r>
        <w:r>
          <w:rPr/>
          <w:fldChar w:fldCharType="begin"/>
        </w:r>
        <w:r>
          <w:rPr>
            <w:webHidden/>
          </w:rPr>
          <w:fldChar w:fldCharType="end"/>
        </w:r>
        <w:r>
          <w:rPr/>
          <w:instrText> PAGEREF _Toc3983 \h </w:instrText>
        </w:r>
        <w:r>
          <w:rPr/>
          <w:fldChar w:fldCharType="separate"/>
        </w:r>
        <w:r>
          <w:rPr/>
          <w:t>16</w:t>
        </w:r>
        <w:r>
          <w:rPr/>
          <w:fldChar w:fldCharType="end"/>
        </w:r>
      </w:hyperlink>
    </w:p>
    <w:p>
      <w:pPr>
        <w:pStyle w:val="Tabledesmatiresniveau1"/>
        <w:tabs>
          <w:tab w:val="right" w:pos="8290" w:leader="dot"/>
          <w:tab w:val="right" w:pos="9637" w:leader="dot"/>
        </w:tabs>
        <w:rPr/>
      </w:pPr>
      <w:hyperlink w:anchor="_Toc3984" w:tgtFrame="#_Toc3984">
        <w:r>
          <w:rPr/>
          <w:t>Article 11 - NOTIFICATION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_Toc3984 \h</w:instrText>
        </w:r>
        <w:r>
          <w:rPr>
            <w:webHidden/>
          </w:rPr>
          <w:fldChar w:fldCharType="separate"/>
        </w:r>
        <w:r>
          <w:rPr/>
          <w:fldChar w:fldCharType="begin"/>
        </w:r>
        <w:r>
          <w:rPr>
            <w:webHidden/>
          </w:rPr>
          <w:fldChar w:fldCharType="end"/>
        </w:r>
        <w:r>
          <w:rPr/>
          <w:instrText> PAGEREF _Toc3984 \h </w:instrText>
        </w:r>
        <w:r>
          <w:rPr/>
          <w:fldChar w:fldCharType="separate"/>
        </w:r>
        <w:r>
          <w:rPr/>
          <w:t>17</w:t>
        </w:r>
        <w:r>
          <w:rPr/>
          <w:fldChar w:fldCharType="end"/>
        </w:r>
      </w:hyperlink>
    </w:p>
    <w:p>
      <w:pPr>
        <w:pStyle w:val="Tabledesmatiresniveau1"/>
        <w:tabs>
          <w:tab w:val="right" w:pos="8290" w:leader="dot"/>
          <w:tab w:val="right" w:pos="9637" w:leader="dot"/>
        </w:tabs>
        <w:rPr/>
      </w:pPr>
      <w:hyperlink w:anchor="_Toc3985" w:tgtFrame="#_Toc3985">
        <w:r>
          <w:rPr/>
          <w:t>Article 12 - EXEMPLAIRE UNIQUE ET NANTISSEMENT OU CESSION DE CREANCE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_Toc3985 \h</w:instrText>
        </w:r>
        <w:r>
          <w:rPr>
            <w:webHidden/>
          </w:rPr>
          <w:fldChar w:fldCharType="separate"/>
        </w:r>
        <w:r>
          <w:rPr/>
          <w:fldChar w:fldCharType="begin"/>
        </w:r>
        <w:r>
          <w:rPr>
            <w:webHidden/>
          </w:rPr>
          <w:fldChar w:fldCharType="end"/>
        </w:r>
        <w:r>
          <w:rPr/>
          <w:instrText> PAGEREF _Toc3985 \h </w:instrText>
        </w:r>
        <w:r>
          <w:rPr/>
          <w:fldChar w:fldCharType="separate"/>
        </w:r>
        <w:r>
          <w:rPr/>
          <w:t>18</w:t>
        </w:r>
        <w:r>
          <w:rPr/>
          <w:fldChar w:fldCharType="end"/>
        </w:r>
      </w:hyperlink>
      <w:r>
        <w:br w:type="page"/>
      </w:r>
    </w:p>
    <w:p>
      <w:pPr>
        <w:pStyle w:val="Titre1"/>
        <w:numPr>
          <w:ilvl w:val="0"/>
          <w:numId w:val="2"/>
        </w:numPr>
        <w:rPr/>
      </w:pPr>
      <w:bookmarkStart w:id="1" w:name="_Toc3964"/>
      <w:r>
        <w:rPr/>
        <w:t>INFORMATIONS ADMINISTRATIVES (RENSEIGNE PAR LA COLLECTIVITE)</w:t>
      </w:r>
      <w:bookmarkEnd w:id="1"/>
    </w:p>
    <w:p>
      <w:pPr>
        <w:pStyle w:val="Titre2"/>
        <w:numPr>
          <w:ilvl w:val="1"/>
          <w:numId w:val="2"/>
        </w:numPr>
        <w:rPr/>
      </w:pPr>
      <w:bookmarkStart w:id="2" w:name="_Toc3965"/>
      <w:r>
        <w:rPr/>
        <w:t>Marché</w:t>
      </w:r>
      <w:bookmarkEnd w:id="2"/>
    </w:p>
    <w:p>
      <w:pPr>
        <w:pStyle w:val="Normal"/>
        <w:rPr>
          <w:highlight w:val="none"/>
          <w:shd w:fill="auto" w:val="clear"/>
        </w:rPr>
      </w:pPr>
      <w:r>
        <w:rPr>
          <w:rFonts w:eastAsia="arial" w:cs="arial" w:ascii="arial" w:hAnsi="arial"/>
          <w:b w:val="false"/>
          <w:i w:val="false"/>
          <w:color w:val="000000"/>
          <w:sz w:val="20"/>
          <w:u w:val="none"/>
          <w:shd w:fill="auto" w:val="clear"/>
        </w:rPr>
        <w:t>Numéro du marché :</w:t>
      </w:r>
    </w:p>
    <w:p>
      <w:pPr>
        <w:pStyle w:val="Normal"/>
        <w:rPr>
          <w:highlight w:val="none"/>
          <w:shd w:fill="auto" w:val="clear"/>
        </w:rPr>
      </w:pPr>
      <w:r>
        <w:rPr>
          <w:rFonts w:eastAsia="arial" w:cs="arial" w:ascii="arial" w:hAnsi="arial"/>
          <w:b w:val="false"/>
          <w:i w:val="false"/>
          <w:color w:val="000000"/>
          <w:sz w:val="20"/>
          <w:u w:val="none"/>
          <w:shd w:fill="auto" w:val="clear"/>
        </w:rPr>
        <w:t>Absence de délibération spécifique au présent marché.</w:t>
      </w:r>
    </w:p>
    <w:p>
      <w:pPr>
        <w:pStyle w:val="Normal"/>
        <w:rPr>
          <w:highlight w:val="none"/>
          <w:shd w:fill="auto" w:val="clear"/>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Consultation allotie (articles R2113-1 à 3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Marché(s) à tranches optionnelles (articles R2113-4 à 6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Nature des prestations : Services</w:t>
      </w:r>
    </w:p>
    <w:p>
      <w:pPr>
        <w:pStyle w:val="Titre2"/>
        <w:numPr>
          <w:ilvl w:val="1"/>
          <w:numId w:val="2"/>
        </w:numPr>
        <w:rPr>
          <w:highlight w:val="none"/>
          <w:shd w:fill="auto" w:val="clear"/>
        </w:rPr>
      </w:pPr>
      <w:bookmarkStart w:id="3" w:name="_Toc3966"/>
      <w:r>
        <w:rPr>
          <w:shd w:fill="auto" w:val="clear"/>
        </w:rPr>
        <w:t>Pouvoir adjudicateur</w:t>
      </w:r>
      <w:bookmarkEnd w:id="3"/>
    </w:p>
    <w:p>
      <w:pPr>
        <w:pStyle w:val="Corpsdetexte"/>
        <w:jc w:val="left"/>
        <w:rPr>
          <w:rFonts w:ascii="Arial" w:hAnsi="Arial"/>
          <w:sz w:val="20"/>
          <w:szCs w:val="20"/>
        </w:rPr>
      </w:pPr>
      <w:r>
        <w:rPr>
          <w:sz w:val="20"/>
          <w:szCs w:val="20"/>
        </w:rPr>
        <w:t>Pouvoir adjudicateur : VILLE DE MARSEILLE</w:t>
        <w:br/>
        <w:t>Hôtel de ville - Quai du Port</w:t>
        <w:br/>
      </w:r>
      <w:r>
        <w:rPr>
          <w:rFonts w:eastAsia="arial" w:cs="arial"/>
          <w:b w:val="false"/>
          <w:i w:val="false"/>
          <w:color w:val="000000"/>
          <w:sz w:val="20"/>
          <w:szCs w:val="20"/>
          <w:u w:val="none"/>
          <w:shd w:fill="auto" w:val="clear"/>
        </w:rPr>
        <w:t xml:space="preserve">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Représentant du pouvoir adjudicateur : M. LE MAIRE</w:t>
      </w:r>
    </w:p>
    <w:p>
      <w:pPr>
        <w:pStyle w:val="Normal"/>
        <w:rPr>
          <w:highlight w:val="none"/>
          <w:shd w:fill="auto" w:val="clear"/>
        </w:rPr>
      </w:pPr>
      <w:r>
        <w:rPr>
          <w:rFonts w:eastAsia="arial" w:cs="arial" w:ascii="arial" w:hAnsi="arial"/>
          <w:b w:val="false"/>
          <w:i w:val="false"/>
          <w:color w:val="000000"/>
          <w:sz w:val="20"/>
          <w:u w:val="none"/>
          <w:shd w:fill="auto" w:val="clear"/>
        </w:rPr>
        <w:t xml:space="preserve">Personne habilitée à donner des renseignements prévus à l'article R2191-60 du Code de la commande publique : </w:t>
      </w:r>
      <w:r>
        <w:rPr>
          <w:rFonts w:eastAsia="arial" w:cs="arial" w:ascii="arial" w:hAnsi="arial"/>
          <w:b/>
          <w:i w:val="false"/>
          <w:color w:val="000000"/>
          <w:sz w:val="20"/>
          <w:u w:val="none"/>
          <w:shd w:fill="auto" w:val="clear"/>
        </w:rPr>
        <w:t>Monsieur le directeur du Pôle Entretien et Travaux Tous Bâtiments</w:t>
      </w:r>
    </w:p>
    <w:p>
      <w:pPr>
        <w:pStyle w:val="Normal"/>
        <w:rPr>
          <w:highlight w:val="none"/>
          <w:shd w:fill="auto" w:val="clear"/>
        </w:rPr>
      </w:pPr>
      <w:r>
        <w:rPr>
          <w:rFonts w:eastAsia="arial" w:cs="arial" w:ascii="arial" w:hAnsi="arial"/>
          <w:b w:val="false"/>
          <w:i w:val="false"/>
          <w:color w:val="000000"/>
          <w:sz w:val="20"/>
          <w:u w:val="none"/>
          <w:shd w:fill="auto" w:val="clear"/>
        </w:rPr>
        <w:t>Service responsable de l'exécution du marché : Division Hôtel de Ville.</w:t>
      </w:r>
    </w:p>
    <w:p>
      <w:pPr>
        <w:pStyle w:val="Titre2"/>
        <w:numPr>
          <w:ilvl w:val="1"/>
          <w:numId w:val="2"/>
        </w:numPr>
        <w:rPr>
          <w:highlight w:val="none"/>
          <w:shd w:fill="auto" w:val="clear"/>
        </w:rPr>
      </w:pPr>
      <w:bookmarkStart w:id="4" w:name="_Toc3967"/>
      <w:r>
        <w:rPr>
          <w:shd w:fill="auto" w:val="clear"/>
        </w:rPr>
        <w:t>Informations comptables et financières</w:t>
      </w:r>
      <w:bookmarkEnd w:id="4"/>
    </w:p>
    <w:p>
      <w:pPr>
        <w:pStyle w:val="Normal"/>
        <w:rPr>
          <w:highlight w:val="none"/>
          <w:shd w:fill="auto" w:val="clear"/>
        </w:rPr>
      </w:pPr>
      <w:r>
        <w:rPr>
          <w:rFonts w:eastAsia="arial" w:cs="arial" w:ascii="arial" w:hAnsi="arial"/>
          <w:b w:val="false"/>
          <w:i w:val="false"/>
          <w:color w:val="000000"/>
          <w:sz w:val="20"/>
          <w:u w:val="none"/>
          <w:shd w:fill="auto" w:val="clear"/>
        </w:rPr>
        <w:t>Comptable public assignataire des paiements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Monsieur l'Administrateur Finances Publiques de la Ville de Marseille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Trésorerie de Marseille Municipale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33 A rue Montgrand</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13251 MARSEILLE CEDEX 20</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Imputation budgétaire :</w:t>
      </w:r>
    </w:p>
    <w:p>
      <w:pPr>
        <w:pStyle w:val="Normal"/>
        <w:rPr>
          <w:highlight w:val="none"/>
          <w:shd w:fill="auto" w:val="clear"/>
        </w:rPr>
      </w:pPr>
      <w:r>
        <w:rPr>
          <w:rFonts w:eastAsia="arial" w:cs="arial" w:ascii="arial" w:hAnsi="arial"/>
          <w:b w:val="false"/>
          <w:i w:val="false"/>
          <w:color w:val="000000"/>
          <w:sz w:val="20"/>
          <w:u w:val="none"/>
          <w:shd w:fill="auto" w:val="clear"/>
        </w:rPr>
        <w:t>Fonctionnement</w:t>
      </w:r>
    </w:p>
    <w:p>
      <w:pPr>
        <w:pStyle w:val="Titre2"/>
        <w:numPr>
          <w:ilvl w:val="1"/>
          <w:numId w:val="2"/>
        </w:numPr>
        <w:rPr>
          <w:highlight w:val="none"/>
          <w:shd w:fill="auto" w:val="clear"/>
        </w:rPr>
      </w:pPr>
      <w:bookmarkStart w:id="5" w:name="_Toc3968"/>
      <w:r>
        <w:rPr>
          <w:shd w:fill="auto" w:val="clear"/>
        </w:rPr>
        <w:t>Code CPV</w:t>
      </w:r>
      <w:bookmarkEnd w:id="5"/>
    </w:p>
    <w:p>
      <w:pPr>
        <w:pStyle w:val="Normal"/>
        <w:rPr>
          <w:highlight w:val="none"/>
          <w:shd w:fill="auto" w:val="clear"/>
        </w:rPr>
      </w:pPr>
      <w:r>
        <w:rPr>
          <w:rFonts w:eastAsia="arial" w:cs="arial" w:ascii="arial" w:hAnsi="arial"/>
          <w:b w:val="false"/>
          <w:i w:val="false"/>
          <w:color w:val="000000"/>
          <w:sz w:val="20"/>
          <w:u w:val="single"/>
          <w:shd w:fill="auto" w:val="clear"/>
        </w:rPr>
        <w:t>Code CPV principal</w:t>
      </w: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i w:val="false"/>
          <w:color w:val="000000"/>
          <w:sz w:val="20"/>
          <w:u w:val="none"/>
          <w:shd w:fill="auto" w:val="clear"/>
        </w:rPr>
        <w:t>50750000</w:t>
      </w:r>
    </w:p>
    <w:p>
      <w:pPr>
        <w:pStyle w:val="Normal"/>
        <w:rPr>
          <w:highlight w:val="none"/>
          <w:shd w:fill="auto" w:val="clear"/>
        </w:rPr>
      </w:pPr>
      <w:r>
        <w:rPr>
          <w:shd w:fill="auto" w:val="clear"/>
        </w:rPr>
      </w:r>
    </w:p>
    <w:p>
      <w:pPr>
        <w:pStyle w:val="Titre2"/>
        <w:numPr>
          <w:ilvl w:val="1"/>
          <w:numId w:val="2"/>
        </w:numPr>
        <w:rPr>
          <w:highlight w:val="none"/>
          <w:shd w:fill="auto" w:val="clear"/>
        </w:rPr>
      </w:pPr>
      <w:bookmarkStart w:id="6" w:name="_Toc3969"/>
      <w:r>
        <w:rPr>
          <w:shd w:fill="auto" w:val="clear"/>
        </w:rPr>
        <w:t>Réemploi, réutilisation ou intégration de matières recyclées</w:t>
      </w:r>
      <w:bookmarkEnd w:id="6"/>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7" w:name="_Toc3970"/>
      <w:r>
        <w:rPr>
          <w:shd w:fill="auto" w:val="clear"/>
        </w:rPr>
        <w:t>CONTRACTANT(S)</w:t>
      </w:r>
      <w:bookmarkEnd w:id="7"/>
    </w:p>
    <w:p>
      <w:pPr>
        <w:pStyle w:val="Titre2"/>
        <w:numPr>
          <w:ilvl w:val="1"/>
          <w:numId w:val="2"/>
        </w:numPr>
        <w:rPr>
          <w:highlight w:val="none"/>
          <w:shd w:fill="auto" w:val="clear"/>
        </w:rPr>
      </w:pPr>
      <w:bookmarkStart w:id="8" w:name="_Toc3971"/>
      <w:r>
        <w:rPr>
          <w:shd w:fill="auto" w:val="clear"/>
        </w:rPr>
        <w:t>Identification</w:t>
      </w:r>
      <w:bookmarkEnd w:id="8"/>
    </w:p>
    <w:p>
      <w:pPr>
        <w:pStyle w:val="Normal"/>
        <w:rPr>
          <w:highlight w:val="none"/>
          <w:shd w:fill="auto" w:val="clear"/>
        </w:rPr>
      </w:pPr>
      <w:r>
        <w:rPr>
          <w:rFonts w:eastAsia="arial" w:cs="arial" w:ascii="arial" w:hAnsi="arial"/>
          <w:b/>
          <w:i w:val="false"/>
          <w:color w:val="000000"/>
          <w:sz w:val="20"/>
          <w:u w:val="single"/>
          <w:shd w:fill="auto" w:val="clear"/>
        </w:rPr>
        <w:t>EN CAS DE CANDIDATURE INDIVIDUELLE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Nom, prénom et qualité du signataire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75"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Tél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Courriel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 TVA intracommunautaire : .</w:t>
        <w:tab/>
      </w:r>
    </w:p>
    <w:p>
      <w:pPr>
        <w:pStyle w:val="Normal"/>
        <w:tabs>
          <w:tab w:val="clear" w:pos="706"/>
          <w:tab w:val="left" w:pos="8445" w:leader="none"/>
        </w:tabs>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N.B. Les informations (dénomination sociale, forme juridique, SIRET...) doivent correspondre à celles indiquées dans le Kbis de la société.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none"/>
          <w:shd w:fill="auto" w:val="clear"/>
        </w:rPr>
        <w:t>EN CAS DE CANDIDATURE SOUS FORME DE GROUPEMENT D'ENTREPRISES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1er co-contractant</w:t>
      </w:r>
      <w:r>
        <w:rPr>
          <w:rFonts w:eastAsia="arial" w:cs="arial" w:ascii="arial" w:hAnsi="arial"/>
          <w:b w:val="false"/>
          <w:i w:val="false"/>
          <w:color w:val="000000"/>
          <w:sz w:val="20"/>
          <w:u w:val="none"/>
          <w:shd w:fill="auto" w:val="clear"/>
        </w:rPr>
        <w:t xml:space="preserve"> :  </w:t>
      </w:r>
      <w:r>
        <w:rPr>
          <w:rFonts w:eastAsia="arial" w:cs="arial" w:ascii="arial" w:hAnsi="arial"/>
          <w:b/>
          <w:i w:val="false"/>
          <w:color w:val="000000"/>
          <w:sz w:val="20"/>
          <w:u w:val="none"/>
          <w:shd w:fill="auto" w:val="clear"/>
        </w:rPr>
        <w:t>MANDATAIRE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xml:space="preserve"> :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b/>
          <w:b/>
          <w:bCs/>
          <w:highlight w:val="none"/>
          <w:shd w:fill="auto" w:val="clear"/>
        </w:rPr>
      </w:pPr>
      <w:r>
        <w:rPr>
          <w:rFonts w:eastAsia="arial" w:cs="arial" w:ascii="arial" w:hAnsi="arial"/>
          <w:b/>
          <w:bCs/>
          <w:i w:val="false"/>
          <w:color w:val="000000"/>
          <w:sz w:val="20"/>
          <w:u w:val="single"/>
          <w:shd w:fill="auto" w:val="clear"/>
        </w:rPr>
        <w:t>agissant en tant que mandataire</w:t>
      </w:r>
      <w:r>
        <w:rPr>
          <w:rFonts w:eastAsia="arial" w:cs="arial" w:ascii="arial" w:hAnsi="arial"/>
          <w:b/>
          <w:bCs/>
          <w:i w:val="false"/>
          <w:color w:val="000000"/>
          <w:sz w:val="20"/>
          <w:u w:val="none"/>
          <w:shd w:fill="auto" w:val="clear"/>
        </w:rPr>
        <w:t xml:space="preserv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 pour lequel il est solidaire des cotraitants du groupement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solidaire</w:t>
      </w:r>
    </w:p>
    <w:p>
      <w:pPr>
        <w:pStyle w:val="Normal"/>
        <w:spacing w:before="120" w:after="0"/>
        <w:rPr>
          <w:b/>
          <w:b/>
          <w:bCs/>
          <w:highlight w:val="none"/>
          <w:shd w:fill="auto" w:val="clear"/>
        </w:rPr>
      </w:pPr>
      <w:r>
        <w:rPr>
          <w:rFonts w:eastAsia="arial" w:cs="arial" w:ascii="arial" w:hAnsi="arial"/>
          <w:b/>
          <w:bCs/>
          <w:i w:val="false"/>
          <w:color w:val="000000"/>
          <w:sz w:val="20"/>
          <w:u w:val="none"/>
          <w:shd w:fill="auto" w:val="clear"/>
        </w:rPr>
        <w:t>(Rayez ci-dessus les mentions inutiles)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 xml:space="preserve">2ème co-contractant </w:t>
      </w:r>
      <w:r>
        <w:rPr>
          <w:rFonts w:eastAsia="arial" w:cs="arial" w:ascii="arial" w:hAnsi="arial"/>
          <w:b w:val="false"/>
          <w:i w:val="false"/>
          <w:color w:val="000000"/>
          <w:sz w:val="20"/>
          <w:u w:val="none"/>
          <w:shd w:fill="auto" w:val="clear"/>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r>
        <w:br w:type="page"/>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i w:val="false"/>
          <w:color w:val="000000"/>
          <w:sz w:val="20"/>
          <w:u w:val="single"/>
          <w:shd w:fill="auto" w:val="clear"/>
        </w:rPr>
        <w:t xml:space="preserve"> 3ème co-contractant</w:t>
      </w:r>
      <w:r>
        <w:rPr>
          <w:rFonts w:eastAsia="arial" w:cs="arial" w:ascii="arial" w:hAnsi="arial"/>
          <w:b w:val="false"/>
          <w:i w:val="false"/>
          <w:color w:val="000000"/>
          <w:sz w:val="20"/>
          <w:u w:val="none"/>
          <w:shd w:fill="auto" w:val="clear"/>
        </w:rPr>
        <w:t xml:space="preserve">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9" w:name="_Toc3972"/>
      <w:r>
        <w:rPr>
          <w:shd w:fill="auto" w:val="clear"/>
        </w:rPr>
        <w:t>Compte à créditer</w:t>
      </w:r>
      <w:bookmarkEnd w:id="9"/>
    </w:p>
    <w:p>
      <w:pPr>
        <w:pStyle w:val="Normal"/>
        <w:rPr>
          <w:b/>
          <w:b/>
          <w:bCs/>
          <w:highlight w:val="none"/>
          <w:shd w:fill="auto" w:val="clear"/>
        </w:rPr>
      </w:pPr>
      <w:r>
        <w:rPr>
          <w:rFonts w:eastAsia="arial" w:cs="arial" w:ascii="arial" w:hAnsi="arial"/>
          <w:b/>
          <w:bCs/>
          <w:i w:val="false"/>
          <w:color w:val="000000"/>
          <w:sz w:val="20"/>
          <w:u w:val="single"/>
          <w:shd w:fill="auto" w:val="clear"/>
        </w:rPr>
        <w:t>Règlement sur un compte unique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candidat unique ou de groupement solidaire sans répartition de paiement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highlight w:val="none"/>
          <w:shd w:fill="auto" w:val="clear"/>
        </w:rPr>
      </w:pPr>
      <w:r>
        <w:rPr>
          <w:rFonts w:eastAsia="arial" w:cs="arial" w:ascii="arial" w:hAnsi="arial"/>
          <w:b/>
          <w:bCs/>
          <w:i w:val="false"/>
          <w:color w:val="000000"/>
          <w:sz w:val="20"/>
          <w:u w:val="single"/>
          <w:shd w:fill="auto" w:val="clear"/>
        </w:rPr>
        <w:t>Règlements sur des comptes séparés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groupement conjoint ou de groupement solidaire avec répartition de paiement :</w:t>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tabs>
          <w:tab w:val="clear" w:pos="706"/>
          <w:tab w:val="left" w:pos="8460" w:leader="dot"/>
        </w:tabs>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tabs>
          <w:tab w:val="clear" w:pos="706"/>
          <w:tab w:val="left" w:pos="8460" w:leader="dot"/>
        </w:tabs>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w:t>
      </w:r>
      <w:r>
        <w:rPr>
          <w:rFonts w:eastAsia="arial" w:cs="arial" w:ascii="arial" w:hAnsi="arial"/>
          <w:b/>
          <w:bCs/>
          <w:i w:val="false"/>
          <w:color w:val="000000"/>
          <w:sz w:val="20"/>
          <w:u w:val="none"/>
          <w:shd w:fill="auto" w:val="clear"/>
        </w:rPr>
        <w:t>ou</w:t>
      </w:r>
      <w:r>
        <w:rPr>
          <w:rFonts w:eastAsia="arial" w:cs="arial" w:ascii="arial" w:hAnsi="arial"/>
          <w:b w:val="false"/>
          <w:i w:val="false"/>
          <w:color w:val="000000"/>
          <w:sz w:val="20"/>
          <w:u w:val="none"/>
          <w:shd w:fill="auto" w:val="clear"/>
        </w:rPr>
        <w:t xml:space="preserve">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ce cas, les montants dus sont portés au crédit des comptes désignés ci-dessus. Joindre les relevés bancaires de chaque co-traitant.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Une répartition des paiements entre membres du groupement sera jointe au présent acte d'engagement (sauf exception type accord-cadre à bons de commande).</w:t>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single"/>
          <w:shd w:fill="auto" w:val="clear"/>
        </w:rPr>
        <w:t>Obligation du titulaire d'informer le Représentant du Pouvoir Adjudicateur de tout changement de sa situation</w:t>
      </w:r>
      <w:r>
        <w:rPr>
          <w:rFonts w:eastAsia="arial" w:cs="arial" w:ascii="arial" w:hAnsi="arial"/>
          <w:b/>
          <w:i w:val="false"/>
          <w:color w:val="000000"/>
          <w:sz w:val="20"/>
          <w:u w:val="none"/>
          <w:shd w:fill="auto" w:val="clear"/>
        </w:rPr>
        <w: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ce titre, il notifie toute modification survenant au cours de l'exécution du marché et se rapportant notamment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son statut (cession, fusion, changement de forme juridique, de raison sociale, de dénomination, de siège social,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d'adresse,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de domiciliation bancaire,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la mise en œuvre à son encontre d'une procédure de redressement judiciaire, de liquidation judiciaire ou de toute autre mesure d'interdiction de concourir.</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highlight w:val="none"/>
          <w:shd w:fill="auto" w:val="clear"/>
        </w:rPr>
      </w:pPr>
      <w:bookmarkStart w:id="10" w:name="_Toc3973"/>
      <w:r>
        <w:rPr>
          <w:shd w:fill="auto" w:val="clear"/>
        </w:rPr>
        <w:t>OBJET</w:t>
      </w:r>
      <w:bookmarkEnd w:id="1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EXPLOITATION ET MAINTENANCE MULTITECHNIQUES DES INSTALLATIONS ET EQUIPEMENTS DU SITE DE L'HOTEL DE VILLE - 3 LOTS</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N°</w:t>
            </w:r>
          </w:p>
        </w:tc>
        <w:tc>
          <w:tcPr>
            <w:tcW w:w="7769"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rFonts w:eastAsia="arial" w:cs="arial" w:ascii="arial" w:hAnsi="arial"/>
                <w:b w:val="false"/>
                <w:i w:val="false"/>
                <w:color w:val="000000"/>
                <w:sz w:val="20"/>
                <w:u w:val="none"/>
                <w:shd w:fill="auto" w:val="clear"/>
              </w:rPr>
              <w:t>LOT 3</w:t>
            </w:r>
          </w:p>
        </w:tc>
        <w:tc>
          <w:tcPr>
            <w:tcW w:w="7769" w:type="dxa"/>
            <w:tcBorders>
              <w:top w:val="single" w:sz="4" w:space="0" w:color="000000"/>
              <w:left w:val="single" w:sz="4" w:space="0" w:color="000000"/>
              <w:bottom w:val="single" w:sz="4" w:space="0" w:color="000000"/>
              <w:right w:val="single" w:sz="4" w:space="0" w:color="000000"/>
            </w:tcBorders>
            <w:shd w:color="auto" w:fill="FFFFFF" w:val="clear"/>
          </w:tcPr>
          <w:p>
            <w:pPr>
              <w:pStyle w:val="Tableau"/>
              <w:keepNext w:val="true"/>
              <w:keepLines/>
              <w:widowControl w:val="false"/>
              <w:spacing w:before="0" w:after="0"/>
              <w:ind w:left="0" w:right="0" w:hanging="0"/>
              <w:jc w:val="left"/>
              <w:textAlignment w:val="center"/>
              <w:rPr>
                <w:highlight w:val="none"/>
                <w:shd w:fill="auto" w:val="clear"/>
              </w:rPr>
            </w:pPr>
            <w:r>
              <w:rPr>
                <w:rFonts w:eastAsia="arial" w:cs="arial" w:ascii="arial" w:hAnsi="arial"/>
                <w:b w:val="false"/>
                <w:i w:val="false"/>
                <w:color w:val="000000"/>
                <w:sz w:val="20"/>
                <w:szCs w:val="24"/>
                <w:u w:val="none"/>
                <w:shd w:fill="auto" w:val="clear"/>
                <w:lang w:val="zxx" w:eastAsia="zxx" w:bidi="zxx"/>
              </w:rPr>
              <w:t>Ascenseurs, appareils élévateurs, appareils mécanisés (portes, portails) et bornes voirie</w:t>
            </w:r>
          </w:p>
        </w:tc>
      </w:tr>
    </w:tbl>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marché est réparti en plusieurs tranches définies comme suit :</w:t>
      </w:r>
    </w:p>
    <w:p>
      <w:pPr>
        <w:pStyle w:val="Normal"/>
        <w:rPr>
          <w:b w:val="false"/>
          <w:b w:val="false"/>
          <w:i w:val="false"/>
          <w:i w:val="false"/>
          <w:u w:val="none"/>
        </w:rPr>
      </w:pPr>
      <w:r>
        <w:rPr>
          <w:b/>
          <w:i w:val="false"/>
          <w:u w:val="single"/>
        </w:rPr>
        <w:t>LOT 3</w:t>
      </w:r>
      <w:r>
        <w:rPr>
          <w:b/>
          <w:i w:val="false"/>
          <w:u w:val="none"/>
        </w:rPr>
        <w:t xml:space="preserve"> : </w:t>
      </w:r>
    </w:p>
    <w:p>
      <w:pPr>
        <w:pStyle w:val="Normal"/>
        <w:spacing w:before="0" w:after="0"/>
        <w:ind w:left="0" w:right="0" w:hanging="0"/>
        <w:rPr>
          <w:sz w:val="20"/>
          <w:szCs w:val="20"/>
          <w:highlight w:val="none"/>
          <w:shd w:fill="auto" w:val="clear"/>
        </w:rPr>
      </w:pPr>
      <w:r>
        <w:rPr>
          <w:rFonts w:eastAsia="Arial" w:cs="Arial"/>
          <w:b/>
          <w:i w:val="false"/>
          <w:color w:val="000000"/>
          <w:sz w:val="20"/>
          <w:szCs w:val="20"/>
          <w:u w:val="none"/>
          <w:shd w:fill="auto" w:val="clear"/>
        </w:rPr>
        <w:t>ASCENSEURS, APPAREILS ELEVATEURS, APPAREILS MECANISES (PORTES, PORTAILS ET BORNES VOIRIES)</w:t>
      </w:r>
    </w:p>
    <w:p>
      <w:pPr>
        <w:pStyle w:val="Normal"/>
        <w:spacing w:lineRule="auto" w:line="240" w:before="0" w:after="0"/>
        <w:ind w:left="0" w:right="0" w:hanging="0"/>
        <w:jc w:val="left"/>
        <w:rPr>
          <w:sz w:val="20"/>
          <w:szCs w:val="20"/>
          <w:highlight w:val="none"/>
          <w:shd w:fill="auto" w:val="clear"/>
        </w:rPr>
      </w:pPr>
      <w:r>
        <w:rPr>
          <w:sz w:val="20"/>
          <w:szCs w:val="20"/>
          <w:shd w:fill="auto" w:val="clear"/>
        </w:rPr>
        <w:br/>
      </w:r>
      <w:r>
        <w:rPr>
          <w:rFonts w:eastAsia="Arial" w:cs="Arial"/>
          <w:color w:val="000000"/>
          <w:sz w:val="20"/>
          <w:szCs w:val="20"/>
          <w:shd w:fill="auto" w:val="clear"/>
        </w:rPr>
        <w:t>1ère année – Tranche ferme</w:t>
        <w:br/>
        <w:t>2ème année - Tranche optionnelle 1</w:t>
        <w:br/>
        <w:t>3ème année - Tranche optionnelle 2</w:t>
        <w:br/>
        <w:t>4ème année - Tranche optionnelle 3</w:t>
      </w:r>
    </w:p>
    <w:p>
      <w:pPr>
        <w:pStyle w:val="Normal"/>
        <w:spacing w:before="200" w:after="0"/>
        <w:ind w:left="0" w:right="0" w:hanging="0"/>
        <w:rPr>
          <w:sz w:val="20"/>
          <w:szCs w:val="20"/>
          <w:highlight w:val="none"/>
          <w:shd w:fill="auto" w:val="clear"/>
        </w:rPr>
      </w:pPr>
      <w:r>
        <w:rPr>
          <w:rFonts w:eastAsia="Arial" w:cs="Arial"/>
          <w:color w:val="000000"/>
          <w:sz w:val="20"/>
          <w:szCs w:val="20"/>
          <w:shd w:fill="auto" w:val="clear"/>
        </w:rPr>
        <w:t>Les prestations sont en outre découpées en postes, de la façon suivante :</w:t>
      </w:r>
    </w:p>
    <w:p>
      <w:pPr>
        <w:pStyle w:val="Normal"/>
        <w:spacing w:before="200" w:after="0"/>
        <w:ind w:left="0" w:right="0" w:hanging="0"/>
        <w:rPr>
          <w:sz w:val="20"/>
          <w:szCs w:val="20"/>
          <w:highlight w:val="none"/>
          <w:shd w:fill="auto" w:val="clear"/>
        </w:rPr>
      </w:pPr>
      <w:r>
        <w:rPr>
          <w:sz w:val="20"/>
          <w:szCs w:val="20"/>
          <w:shd w:fill="auto" w:val="clear"/>
        </w:rPr>
        <w:br/>
      </w:r>
      <w:r>
        <w:rPr>
          <w:b/>
          <w:sz w:val="20"/>
          <w:szCs w:val="20"/>
          <w:u w:val="single"/>
          <w:shd w:fill="auto" w:val="clear"/>
        </w:rPr>
        <w:t>1ère année – Tranche ferme</w:t>
      </w:r>
      <w:r>
        <w:rPr>
          <w:b w:val="false"/>
          <w:i w:val="false"/>
          <w:sz w:val="20"/>
          <w:szCs w:val="20"/>
          <w:u w:val="none"/>
          <w:shd w:fill="auto" w:val="clear"/>
        </w:rPr>
        <w:t xml:space="preserve"> :</w:t>
      </w:r>
    </w:p>
    <w:p>
      <w:pPr>
        <w:pStyle w:val="Normal"/>
        <w:spacing w:before="6" w:after="0"/>
        <w:rPr>
          <w:b w:val="false"/>
          <w:b w:val="false"/>
          <w:i w:val="false"/>
          <w:i w:val="false"/>
          <w:u w:val="none"/>
        </w:rPr>
      </w:pPr>
      <w:r>
        <w:rPr>
          <w:b w:val="false"/>
          <w:i w:val="false"/>
          <w:u w:val="none"/>
        </w:rPr>
        <w:t>Poste 1 : Prise en charge</w:t>
      </w:r>
    </w:p>
    <w:p>
      <w:pPr>
        <w:pStyle w:val="Normal"/>
        <w:spacing w:before="6" w:after="0"/>
        <w:rPr>
          <w:b w:val="false"/>
          <w:b w:val="false"/>
          <w:i w:val="false"/>
          <w:i w:val="false"/>
          <w:u w:val="none"/>
        </w:rPr>
      </w:pPr>
      <w:r>
        <w:rPr>
          <w:b w:val="false"/>
          <w:i w:val="false"/>
          <w:u w:val="none"/>
        </w:rPr>
        <w:t>Poste 2 : Ascenseurs, appareils élévateurs</w:t>
      </w:r>
    </w:p>
    <w:p>
      <w:pPr>
        <w:pStyle w:val="Normal"/>
        <w:spacing w:before="6" w:after="0"/>
        <w:rPr>
          <w:b w:val="false"/>
          <w:b w:val="false"/>
          <w:i w:val="false"/>
          <w:i w:val="false"/>
          <w:u w:val="none"/>
        </w:rPr>
      </w:pPr>
      <w:r>
        <w:rPr>
          <w:b w:val="false"/>
          <w:i w:val="false"/>
          <w:u w:val="none"/>
        </w:rPr>
        <w:t>Poste 3 : Appareils mécanisés (portes, portails)</w:t>
      </w:r>
    </w:p>
    <w:p>
      <w:pPr>
        <w:pStyle w:val="Normal"/>
        <w:spacing w:before="6" w:after="0"/>
        <w:rPr>
          <w:b w:val="false"/>
          <w:b w:val="false"/>
          <w:i w:val="false"/>
          <w:i w:val="false"/>
          <w:u w:val="none"/>
        </w:rPr>
      </w:pPr>
      <w:r>
        <w:rPr>
          <w:b w:val="false"/>
          <w:i w:val="false"/>
          <w:u w:val="none"/>
        </w:rPr>
        <w:t>Poste 4 : Bornes voirie</w:t>
      </w:r>
    </w:p>
    <w:p>
      <w:pPr>
        <w:pStyle w:val="Normal"/>
        <w:rPr>
          <w:b/>
          <w:b/>
          <w:i w:val="false"/>
          <w:i w:val="false"/>
          <w:u w:val="none"/>
        </w:rPr>
      </w:pPr>
      <w:r>
        <w:rPr>
          <w:b/>
          <w:i w:val="false"/>
          <w:u w:val="none"/>
        </w:rPr>
      </w:r>
    </w:p>
    <w:p>
      <w:pPr>
        <w:pStyle w:val="Normal"/>
        <w:rPr>
          <w:b w:val="false"/>
          <w:b w:val="false"/>
          <w:i w:val="false"/>
          <w:i w:val="false"/>
          <w:u w:val="single"/>
        </w:rPr>
      </w:pPr>
      <w:r>
        <w:rPr>
          <w:b/>
          <w:i w:val="false"/>
          <w:u w:val="single"/>
        </w:rPr>
        <w:t>2ème année - Tranche optionnelle 1</w:t>
      </w:r>
      <w:r>
        <w:rPr>
          <w:b w:val="false"/>
          <w:i w:val="false"/>
          <w:u w:val="none"/>
        </w:rPr>
        <w:t xml:space="preserve"> :</w:t>
      </w:r>
    </w:p>
    <w:p>
      <w:pPr>
        <w:pStyle w:val="Normal"/>
        <w:spacing w:before="6" w:after="0"/>
        <w:rPr>
          <w:b w:val="false"/>
          <w:b w:val="false"/>
          <w:i w:val="false"/>
          <w:i w:val="false"/>
          <w:u w:val="none"/>
        </w:rPr>
      </w:pPr>
      <w:r>
        <w:rPr>
          <w:b w:val="false"/>
          <w:i w:val="false"/>
          <w:u w:val="none"/>
        </w:rPr>
        <w:t>Poste 1 : Ascenseurs, appareils élévateurs</w:t>
      </w:r>
    </w:p>
    <w:p>
      <w:pPr>
        <w:pStyle w:val="Normal"/>
        <w:spacing w:before="6" w:after="0"/>
        <w:rPr>
          <w:b w:val="false"/>
          <w:b w:val="false"/>
          <w:i w:val="false"/>
          <w:i w:val="false"/>
          <w:u w:val="none"/>
        </w:rPr>
      </w:pPr>
      <w:r>
        <w:rPr>
          <w:b w:val="false"/>
          <w:i w:val="false"/>
          <w:u w:val="none"/>
        </w:rPr>
        <w:t>Poste 2 : Appareils mécanisés (portes, portails)</w:t>
      </w:r>
    </w:p>
    <w:p>
      <w:pPr>
        <w:pStyle w:val="Normal"/>
        <w:spacing w:before="6" w:after="0"/>
        <w:rPr>
          <w:b w:val="false"/>
          <w:b w:val="false"/>
          <w:i w:val="false"/>
          <w:i w:val="false"/>
          <w:u w:val="none"/>
        </w:rPr>
      </w:pPr>
      <w:r>
        <w:rPr>
          <w:b w:val="false"/>
          <w:i w:val="false"/>
          <w:u w:val="none"/>
        </w:rPr>
        <w:t>Poste 3 : Bornes voirie</w:t>
      </w:r>
    </w:p>
    <w:p>
      <w:pPr>
        <w:pStyle w:val="Normal"/>
        <w:rPr>
          <w:b/>
          <w:b/>
          <w:i w:val="false"/>
          <w:i w:val="false"/>
          <w:u w:val="none"/>
        </w:rPr>
      </w:pPr>
      <w:r>
        <w:rPr>
          <w:b/>
          <w:i w:val="false"/>
          <w:u w:val="none"/>
        </w:rPr>
      </w:r>
    </w:p>
    <w:p>
      <w:pPr>
        <w:pStyle w:val="Normal"/>
        <w:rPr>
          <w:b w:val="false"/>
          <w:b w:val="false"/>
          <w:i w:val="false"/>
          <w:i w:val="false"/>
          <w:u w:val="single"/>
        </w:rPr>
      </w:pPr>
      <w:r>
        <w:rPr>
          <w:b/>
          <w:i w:val="false"/>
          <w:u w:val="single"/>
        </w:rPr>
        <w:t>3ème année - Tranche optionnelle 2</w:t>
      </w:r>
      <w:r>
        <w:rPr>
          <w:b w:val="false"/>
          <w:i w:val="false"/>
          <w:u w:val="none"/>
        </w:rPr>
        <w:t xml:space="preserve"> :</w:t>
      </w:r>
    </w:p>
    <w:p>
      <w:pPr>
        <w:pStyle w:val="Normal"/>
        <w:spacing w:before="6" w:after="0"/>
        <w:rPr>
          <w:b w:val="false"/>
          <w:b w:val="false"/>
          <w:i w:val="false"/>
          <w:i w:val="false"/>
          <w:u w:val="none"/>
        </w:rPr>
      </w:pPr>
      <w:r>
        <w:rPr>
          <w:b w:val="false"/>
          <w:i w:val="false"/>
          <w:u w:val="none"/>
        </w:rPr>
        <w:t>Poste 1 : Ascenseurs, appareils élévateurs</w:t>
      </w:r>
    </w:p>
    <w:p>
      <w:pPr>
        <w:pStyle w:val="Normal"/>
        <w:spacing w:before="6" w:after="0"/>
        <w:rPr>
          <w:b w:val="false"/>
          <w:b w:val="false"/>
          <w:i w:val="false"/>
          <w:i w:val="false"/>
          <w:u w:val="none"/>
        </w:rPr>
      </w:pPr>
      <w:r>
        <w:rPr>
          <w:b w:val="false"/>
          <w:i w:val="false"/>
          <w:u w:val="none"/>
        </w:rPr>
        <w:t>Poste 2 : Appareils mécanisés (portes, portails)</w:t>
      </w:r>
    </w:p>
    <w:p>
      <w:pPr>
        <w:pStyle w:val="Normal"/>
        <w:spacing w:before="6" w:after="0"/>
        <w:rPr>
          <w:b w:val="false"/>
          <w:b w:val="false"/>
          <w:i w:val="false"/>
          <w:i w:val="false"/>
          <w:u w:val="none"/>
        </w:rPr>
      </w:pPr>
      <w:r>
        <w:rPr>
          <w:b w:val="false"/>
          <w:i w:val="false"/>
          <w:u w:val="none"/>
        </w:rPr>
        <w:t>Poste 3 : Bornes voirie</w:t>
      </w:r>
    </w:p>
    <w:p>
      <w:pPr>
        <w:pStyle w:val="Normal"/>
        <w:rPr>
          <w:b/>
          <w:b/>
          <w:i w:val="false"/>
          <w:i w:val="false"/>
          <w:u w:val="none"/>
        </w:rPr>
      </w:pPr>
      <w:r>
        <w:rPr>
          <w:b/>
          <w:i w:val="false"/>
          <w:u w:val="none"/>
        </w:rPr>
      </w:r>
    </w:p>
    <w:p>
      <w:pPr>
        <w:pStyle w:val="Normal"/>
        <w:rPr>
          <w:b w:val="false"/>
          <w:b w:val="false"/>
          <w:i w:val="false"/>
          <w:i w:val="false"/>
          <w:u w:val="single"/>
        </w:rPr>
      </w:pPr>
      <w:r>
        <w:rPr>
          <w:b/>
          <w:i w:val="false"/>
          <w:u w:val="single"/>
        </w:rPr>
        <w:t>4ème année - Tranche optionnelle 3</w:t>
      </w:r>
      <w:r>
        <w:rPr>
          <w:b w:val="false"/>
          <w:i w:val="false"/>
          <w:u w:val="none"/>
        </w:rPr>
        <w:t xml:space="preserve"> :</w:t>
      </w:r>
    </w:p>
    <w:p>
      <w:pPr>
        <w:pStyle w:val="Normal"/>
        <w:spacing w:before="6" w:after="0"/>
        <w:rPr>
          <w:b w:val="false"/>
          <w:b w:val="false"/>
          <w:i w:val="false"/>
          <w:i w:val="false"/>
          <w:u w:val="none"/>
        </w:rPr>
      </w:pPr>
      <w:r>
        <w:rPr>
          <w:b w:val="false"/>
          <w:i w:val="false"/>
          <w:u w:val="none"/>
        </w:rPr>
        <w:t>Poste 1 : Ascenseurs, appareils élévateurs</w:t>
      </w:r>
    </w:p>
    <w:p>
      <w:pPr>
        <w:pStyle w:val="Normal"/>
        <w:spacing w:before="6" w:after="0"/>
        <w:rPr>
          <w:b w:val="false"/>
          <w:b w:val="false"/>
          <w:i w:val="false"/>
          <w:i w:val="false"/>
          <w:u w:val="none"/>
        </w:rPr>
      </w:pPr>
      <w:r>
        <w:rPr>
          <w:b w:val="false"/>
          <w:i w:val="false"/>
          <w:u w:val="none"/>
        </w:rPr>
        <w:t>Poste 2 : Appareils mécanisés (portes, portails)</w:t>
      </w:r>
    </w:p>
    <w:p>
      <w:pPr>
        <w:pStyle w:val="Normal"/>
        <w:spacing w:before="6" w:after="0"/>
        <w:rPr>
          <w:b w:val="false"/>
          <w:b w:val="false"/>
          <w:i w:val="false"/>
          <w:i w:val="false"/>
          <w:u w:val="none"/>
        </w:rPr>
      </w:pPr>
      <w:r>
        <w:rPr>
          <w:b w:val="false"/>
          <w:i w:val="false"/>
          <w:u w:val="none"/>
        </w:rPr>
        <w:t>Poste 3 : Bornes voirie</w:t>
      </w:r>
    </w:p>
    <w:p>
      <w:pPr>
        <w:pStyle w:val="Normal"/>
        <w:spacing w:before="0" w:after="0"/>
        <w:ind w:left="0" w:right="0" w:hanging="0"/>
        <w:rPr>
          <w:b w:val="false"/>
          <w:b w:val="false"/>
          <w:i w:val="false"/>
          <w:i w:val="false"/>
          <w:u w:val="none"/>
        </w:rPr>
      </w:pPr>
      <w:r>
        <w:rPr>
          <w:rFonts w:eastAsia="Arial" w:cs="Arial"/>
          <w:b w:val="false"/>
          <w:i w:val="false"/>
          <w:color w:val="000000"/>
          <w:sz w:val="20"/>
          <w:szCs w:val="20"/>
          <w:u w:val="none"/>
          <w:shd w:fill="auto" w:val="clear"/>
        </w:rPr>
        <w:t xml:space="preserve">Poste 4 : Passation </w:t>
      </w:r>
    </w:p>
    <w:p>
      <w:pPr>
        <w:pStyle w:val="Normal"/>
        <w:spacing w:before="29" w:after="0"/>
        <w:ind w:left="0" w:right="0" w:hanging="0"/>
        <w:rPr>
          <w:sz w:val="20"/>
          <w:szCs w:val="20"/>
          <w:highlight w:val="none"/>
          <w:shd w:fill="auto" w:val="clear"/>
        </w:rPr>
      </w:pPr>
      <w:r>
        <w:rPr>
          <w:sz w:val="20"/>
          <w:szCs w:val="20"/>
          <w:shd w:fill="auto" w:val="clear"/>
        </w:rPr>
      </w:r>
    </w:p>
    <w:p>
      <w:pPr>
        <w:pStyle w:val="Normal"/>
        <w:spacing w:before="29" w:after="0"/>
        <w:ind w:left="0" w:right="0" w:hanging="0"/>
        <w:rPr>
          <w:sz w:val="20"/>
          <w:szCs w:val="20"/>
          <w:highlight w:val="none"/>
          <w:shd w:fill="auto" w:val="clear"/>
        </w:rPr>
      </w:pPr>
      <w:r>
        <w:rPr>
          <w:sz w:val="20"/>
          <w:szCs w:val="20"/>
          <w:shd w:fill="auto" w:val="clear"/>
        </w:rPr>
      </w:r>
    </w:p>
    <w:p>
      <w:pPr>
        <w:pStyle w:val="Titre1"/>
        <w:numPr>
          <w:ilvl w:val="0"/>
          <w:numId w:val="2"/>
        </w:numPr>
        <w:rPr>
          <w:highlight w:val="none"/>
          <w:shd w:fill="auto" w:val="clear"/>
        </w:rPr>
      </w:pPr>
      <w:bookmarkStart w:id="11" w:name="_Toc3974"/>
      <w:r>
        <w:rPr>
          <w:shd w:fill="auto" w:val="clear"/>
        </w:rPr>
        <w:t>MONTANT ET PRIX DU MARCHE</w:t>
      </w:r>
      <w:bookmarkEnd w:id="11"/>
    </w:p>
    <w:p>
      <w:pPr>
        <w:pStyle w:val="Titre2"/>
        <w:numPr>
          <w:ilvl w:val="1"/>
          <w:numId w:val="2"/>
        </w:numPr>
        <w:rPr>
          <w:highlight w:val="none"/>
          <w:shd w:fill="auto" w:val="clear"/>
        </w:rPr>
      </w:pPr>
      <w:bookmarkStart w:id="12" w:name="_Toc3975"/>
      <w:r>
        <w:rPr>
          <w:shd w:fill="auto" w:val="clear"/>
        </w:rPr>
        <w:t>Forme du prix</w:t>
      </w:r>
      <w:bookmarkEnd w:id="12"/>
    </w:p>
    <w:p>
      <w:pPr>
        <w:pStyle w:val="Normal"/>
        <w:rPr>
          <w:highlight w:val="none"/>
          <w:shd w:fill="auto" w:val="clear"/>
        </w:rPr>
      </w:pPr>
      <w:r>
        <w:rPr>
          <w:rFonts w:eastAsia="arial" w:cs="arial" w:ascii="arial" w:hAnsi="arial"/>
          <w:b w:val="false"/>
          <w:i w:val="false"/>
          <w:color w:val="000000"/>
          <w:sz w:val="20"/>
          <w:u w:val="none"/>
          <w:shd w:fill="auto" w:val="clear"/>
        </w:rPr>
        <w:t>Le marché est traité à prix global forfaitaire.</w:t>
      </w:r>
    </w:p>
    <w:p>
      <w:pPr>
        <w:pStyle w:val="Titre2"/>
        <w:numPr>
          <w:ilvl w:val="1"/>
          <w:numId w:val="2"/>
        </w:numPr>
        <w:rPr>
          <w:highlight w:val="none"/>
          <w:shd w:fill="auto" w:val="clear"/>
        </w:rPr>
      </w:pPr>
      <w:bookmarkStart w:id="13" w:name="_Toc3976"/>
      <w:r>
        <w:rPr>
          <w:shd w:fill="auto" w:val="clear"/>
        </w:rPr>
        <w:t>Montant</w:t>
      </w:r>
      <w:bookmarkEnd w:id="13"/>
    </w:p>
    <w:p>
      <w:pPr>
        <w:pStyle w:val="Normal"/>
        <w:rPr>
          <w:highlight w:val="none"/>
          <w:shd w:fill="auto" w:val="clear"/>
        </w:rPr>
      </w:pPr>
      <w:r>
        <w:rPr>
          <w:rFonts w:eastAsia="arial" w:cs="arial" w:ascii="arial" w:hAnsi="arial"/>
          <w:b w:val="false"/>
          <w:i w:val="false"/>
          <w:color w:val="000000"/>
          <w:sz w:val="20"/>
          <w:u w:val="none"/>
          <w:shd w:fill="auto" w:val="clear"/>
        </w:rPr>
        <w:t>Le montant du marché, rémunéré par application d'un prix global forfaitaire est de :</w:t>
      </w:r>
    </w:p>
    <w:p>
      <w:pPr>
        <w:pStyle w:val="Normal"/>
        <w:keepNext w:val="true"/>
        <w:keepLines/>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b/>
          <w:bCs/>
          <w:sz w:val="20"/>
          <w:szCs w:val="20"/>
          <w:shd w:fill="auto" w:val="clear"/>
          <w:lang w:val="zxx" w:eastAsia="zxx" w:bidi="zxx"/>
        </w:rPr>
        <w:t>Ce montant global comprend</w:t>
      </w:r>
      <w:r>
        <w:rPr>
          <w:sz w:val="20"/>
          <w:szCs w:val="20"/>
          <w:shd w:fill="auto" w:val="clear"/>
          <w:lang w:val="zxx" w:eastAsia="zxx" w:bidi="zxx"/>
        </w:rPr>
        <w:t xml:space="preserve"> </w:t>
      </w:r>
      <w:r>
        <w:rPr>
          <w:b/>
          <w:bCs/>
          <w:sz w:val="20"/>
          <w:szCs w:val="20"/>
          <w:shd w:fill="auto" w:val="clear"/>
          <w:lang w:val="zxx" w:eastAsia="zxx" w:bidi="zxx"/>
        </w:rPr>
        <w:t>les</w:t>
      </w:r>
      <w:r>
        <w:rPr>
          <w:sz w:val="20"/>
          <w:szCs w:val="20"/>
          <w:shd w:fill="auto" w:val="clear"/>
          <w:lang w:val="zxx" w:eastAsia="zxx" w:bidi="zxx"/>
        </w:rPr>
        <w:t xml:space="preserve"> </w:t>
      </w:r>
      <w:r>
        <w:rPr>
          <w:b/>
          <w:bCs/>
          <w:sz w:val="20"/>
          <w:szCs w:val="20"/>
          <w:shd w:fill="auto" w:val="clear"/>
          <w:lang w:val="zxx" w:eastAsia="zxx" w:bidi="zxx"/>
        </w:rPr>
        <w:t>4 tranches + la prise</w:t>
      </w:r>
      <w:r>
        <w:rPr>
          <w:sz w:val="20"/>
          <w:szCs w:val="20"/>
          <w:shd w:fill="auto" w:val="clear"/>
          <w:lang w:val="zxx" w:eastAsia="zxx" w:bidi="zxx"/>
        </w:rPr>
        <w:t xml:space="preserve"> </w:t>
      </w:r>
      <w:r>
        <w:rPr>
          <w:b/>
          <w:bCs/>
          <w:sz w:val="20"/>
          <w:szCs w:val="20"/>
          <w:shd w:fill="auto" w:val="clear"/>
          <w:lang w:val="zxx" w:eastAsia="zxx" w:bidi="zxx"/>
        </w:rPr>
        <w:t>en charge + la passation</w:t>
      </w:r>
      <w:r>
        <w:rPr>
          <w:sz w:val="20"/>
          <w:szCs w:val="20"/>
          <w:shd w:fill="auto" w:val="clear"/>
          <w:lang w:val="zxx" w:eastAsia="zxx" w:bidi="zxx"/>
        </w:rPr>
        <w:t xml:space="preserve">. </w:t>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sz w:val="20"/>
          <w:szCs w:val="20"/>
          <w:shd w:fill="auto" w:val="clear"/>
          <w:lang w:val="zxx" w:eastAsia="zxx" w:bidi="zxx"/>
        </w:rPr>
      </w:r>
    </w:p>
    <w:p>
      <w:pPr>
        <w:pStyle w:val="Normal"/>
        <w:spacing w:before="0" w:after="0"/>
        <w:ind w:left="0" w:right="0" w:hanging="0"/>
        <w:jc w:val="both"/>
        <w:textAlignment w:val="center"/>
        <w:rPr>
          <w:rFonts w:ascii="Arial" w:hAnsi="Arial"/>
          <w:b/>
          <w:b/>
          <w:bCs/>
          <w:sz w:val="20"/>
          <w:szCs w:val="20"/>
          <w:highlight w:val="none"/>
          <w:shd w:fill="auto" w:val="clear"/>
          <w:lang w:val="zxx" w:eastAsia="zxx" w:bidi="zxx"/>
        </w:rPr>
      </w:pPr>
      <w:r>
        <w:rPr>
          <w:b/>
          <w:bCs/>
          <w:sz w:val="20"/>
          <w:szCs w:val="20"/>
          <w:shd w:fill="auto" w:val="clear"/>
          <w:lang w:val="zxx" w:eastAsia="zxx" w:bidi="zxx"/>
        </w:rPr>
        <w:t>Il est égal au montant additionné des articles 1.3 – 2 – 3 et 4.3 de la DPGF et doit être égal au montant total global et forfaitaire de l'article 5 de la DPGF.</w:t>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rPr>
          <w:b/>
          <w:b/>
          <w:bCs/>
        </w:rPr>
      </w:pPr>
      <w:r>
        <w:rPr>
          <w:b/>
          <w:bCs/>
        </w:rPr>
      </w:r>
      <w:r>
        <w:br w:type="page"/>
      </w:r>
    </w:p>
    <w:p>
      <w:pPr>
        <w:pStyle w:val="Normal"/>
        <w:rPr>
          <w:highlight w:val="none"/>
          <w:shd w:fill="auto" w:val="clear"/>
        </w:rPr>
      </w:pPr>
      <w:r>
        <w:rPr>
          <w:b/>
          <w:bCs/>
          <w:shd w:fill="auto" w:val="clear"/>
        </w:rPr>
        <w:t xml:space="preserve">Les prestations sont divisées en tranches </w:t>
      </w:r>
      <w:r>
        <w:rPr>
          <w:shd w:fill="auto" w:val="clear"/>
        </w:rPr>
        <w:t>:</w:t>
      </w:r>
    </w:p>
    <w:p>
      <w:pPr>
        <w:pStyle w:val="Normal"/>
        <w:rPr>
          <w:highlight w:val="none"/>
          <w:shd w:fill="auto" w:val="clear"/>
        </w:rPr>
      </w:pPr>
      <w:r>
        <w:rPr>
          <w:shd w:fill="auto" w:val="clear"/>
        </w:rPr>
      </w:r>
    </w:p>
    <w:p>
      <w:pPr>
        <w:pStyle w:val="Normal"/>
        <w:keepNext w:val="true"/>
        <w:keepLines/>
        <w:spacing w:before="0" w:after="0"/>
        <w:ind w:left="0" w:right="0" w:hanging="0"/>
        <w:jc w:val="both"/>
        <w:textAlignment w:val="center"/>
        <w:rPr>
          <w:rFonts w:ascii="Arial" w:hAnsi="Arial"/>
          <w:highlight w:val="none"/>
          <w:shd w:fill="auto" w:val="clear"/>
          <w:lang w:val="zxx" w:eastAsia="zxx" w:bidi="zxx"/>
        </w:rPr>
      </w:pPr>
      <w:r>
        <w:rPr>
          <w:b/>
          <w:bCs/>
          <w:u w:val="single"/>
          <w:shd w:fill="auto" w:val="clear"/>
          <w:lang w:val="zxx" w:eastAsia="zxx" w:bidi="zxx"/>
        </w:rPr>
        <w:t>1ère année - TRANCHE FERME</w:t>
      </w:r>
      <w:r>
        <w:rPr>
          <w:shd w:fill="auto" w:val="clear"/>
          <w:lang w:val="zxx" w:eastAsia="zxx" w:bidi="zxx"/>
        </w:rPr>
        <w:t xml:space="preserve"> : </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highlight w:val="none"/>
          <w:shd w:fill="auto" w:val="clear"/>
          <w:lang w:val="zxx" w:eastAsia="zxx" w:bidi="zxx"/>
        </w:rPr>
      </w:pPr>
      <w:r>
        <w:rPr>
          <w:b/>
          <w:bCs/>
          <w:shd w:fill="auto" w:val="clear"/>
          <w:lang w:val="zxx" w:eastAsia="zxx" w:bidi="zxx"/>
        </w:rPr>
        <w:t>Ce montant est égal à l'addition des postes : 1 (prise en charge) - 2 - 3 - 4 et doit être égal au 1.3 de la DPGF.</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0" w:after="0"/>
        <w:ind w:left="0" w:right="0" w:hanging="0"/>
        <w:rPr>
          <w:highlight w:val="none"/>
          <w:shd w:fill="auto" w:val="clear"/>
        </w:rPr>
      </w:pPr>
      <w:r>
        <w:rPr>
          <w:rFonts w:eastAsia="arial" w:cs="arial" w:ascii="arial" w:hAnsi="arial"/>
          <w:b w:val="false"/>
          <w:i w:val="false"/>
          <w:color w:val="000000"/>
          <w:sz w:val="20"/>
          <w:u w:val="none"/>
          <w:shd w:fill="auto" w:val="clear"/>
        </w:rPr>
        <w:t xml:space="preserve"> </w:t>
      </w:r>
    </w:p>
    <w:p>
      <w:pPr>
        <w:pStyle w:val="Normal"/>
        <w:spacing w:before="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u w:val="single"/>
          <w:shd w:fill="auto" w:val="clear"/>
        </w:rPr>
        <w:t xml:space="preserve">2ème année - TRANCHE optionnelle N°1 </w:t>
      </w:r>
      <w:r>
        <w:rPr>
          <w:rFonts w:eastAsia="Arial" w:cs="Arial"/>
          <w:color w:val="000000"/>
          <w:sz w:val="20"/>
          <w:szCs w:val="20"/>
          <w:shd w:fill="auto" w:val="clear"/>
        </w:rPr>
        <w:t>:</w:t>
      </w:r>
      <w:r>
        <w:rPr>
          <w:rFonts w:eastAsia="Arial" w:cs="Arial"/>
          <w:b/>
          <w:color w:val="000000"/>
          <w:sz w:val="20"/>
          <w:szCs w:val="20"/>
          <w:shd w:fill="auto" w:val="clear"/>
        </w:rPr>
        <w:t xml:space="preserve"> </w:t>
      </w:r>
    </w:p>
    <w:p>
      <w:pPr>
        <w:pStyle w:val="Normal"/>
        <w:spacing w:before="0" w:after="0"/>
        <w:ind w:left="0" w:right="0" w:hanging="0"/>
        <w:rPr>
          <w:sz w:val="20"/>
          <w:szCs w:val="20"/>
          <w:highlight w:val="none"/>
          <w:shd w:fill="auto" w:val="clear"/>
        </w:rPr>
      </w:pPr>
      <w:r>
        <w:rPr>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et doit être égal au 2 de la DPGF.</w:t>
      </w:r>
    </w:p>
    <w:p>
      <w:pPr>
        <w:pStyle w:val="Normal"/>
        <w:spacing w:before="200" w:after="0"/>
        <w:ind w:left="0" w:right="0" w:hanging="0"/>
        <w:rPr>
          <w:highlight w:val="none"/>
          <w:shd w:fill="auto" w:val="clear"/>
        </w:rPr>
      </w:pPr>
      <w:r>
        <w:rPr>
          <w:rFonts w:eastAsia="Arial" w:cs="Arial"/>
          <w:color w:val="000000"/>
          <w:sz w:val="20"/>
          <w:szCs w:val="20"/>
          <w:shd w:fill="auto" w:val="clear"/>
        </w:rPr>
        <w:t>En cas de discordance, c'est le prix figurant dans l'Acte d'Engagement qui prévaudra.</w:t>
      </w:r>
    </w:p>
    <w:p>
      <w:pPr>
        <w:pStyle w:val="Normal"/>
        <w:spacing w:before="200" w:after="0"/>
        <w:ind w:left="0" w:right="0" w:hanging="0"/>
        <w:rPr/>
      </w:pPr>
      <w:r>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b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3ème année - TRANCHE optionnelle N°2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et doit être égal au 3 de la DPGF</w:t>
      </w:r>
      <w:r>
        <w:rPr>
          <w:rFonts w:eastAsia="Arial" w:cs="Arial"/>
          <w:color w:val="000000"/>
          <w:sz w:val="20"/>
          <w:szCs w:val="20"/>
          <w:shd w:fill="auto" w:val="clear"/>
        </w:rPr>
        <w:t>.</w:t>
      </w:r>
    </w:p>
    <w:p>
      <w:pPr>
        <w:pStyle w:val="Normal"/>
        <w:spacing w:before="200" w:after="0"/>
        <w:ind w:left="0" w:right="0" w:hanging="0"/>
        <w:rPr>
          <w:highlight w:val="none"/>
          <w:shd w:fill="auto" w:val="clear"/>
        </w:rPr>
      </w:pPr>
      <w:r>
        <w:rPr>
          <w:rFonts w:eastAsia="Arial" w:cs="Arial"/>
          <w:color w:val="000000"/>
          <w:sz w:val="20"/>
          <w:shd w:fill="auto" w:val="clear"/>
        </w:rPr>
        <w:t>En cas de discordance, c'est le prix figurant dans l'Acte d'Engagement qui prévaudra.</w:t>
      </w:r>
      <w:r>
        <w:rPr>
          <w:shd w:fill="auto" w:val="clear"/>
        </w:rPr>
        <w:b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4ème année - TRANCHE optionnelle N°3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 4 (passation) et doit être égal au 4.3 de la DPGF.</w:t>
      </w:r>
    </w:p>
    <w:p>
      <w:pPr>
        <w:pStyle w:val="Normal"/>
        <w:spacing w:before="200" w:after="0"/>
        <w:ind w:left="0" w:right="0" w:hanging="0"/>
        <w:rPr>
          <w:b w:val="false"/>
          <w:b w:val="false"/>
          <w:bCs w:val="false"/>
          <w:sz w:val="20"/>
          <w:szCs w:val="20"/>
          <w:highlight w:val="none"/>
          <w:shd w:fill="auto" w:val="clear"/>
        </w:rPr>
      </w:pPr>
      <w:r>
        <w:rPr>
          <w:rFonts w:eastAsia="Arial" w:cs="Arial"/>
          <w:b w:val="false"/>
          <w:bCs w:val="false"/>
          <w:color w:val="000000"/>
          <w:sz w:val="20"/>
          <w:szCs w:val="20"/>
          <w:shd w:fill="auto" w:val="clear"/>
        </w:rPr>
        <w:t>En cas de discordance, c'est le prix figurant dans l'Acte d'Engagement qui prévaudra.</w:t>
      </w:r>
    </w:p>
    <w:p>
      <w:pPr>
        <w:pStyle w:val="Normal"/>
        <w:spacing w:before="200" w:after="0"/>
        <w:ind w:left="0" w:right="0" w:hanging="0"/>
        <w:rPr>
          <w:rFonts w:ascii="Arial" w:hAnsi="Arial" w:eastAsia="Arial" w:cs="Arial"/>
          <w:color w:val="000000"/>
        </w:rPr>
      </w:pPr>
      <w:r>
        <w:rPr>
          <w:rFonts w:eastAsia="Arial" w:cs="Arial"/>
          <w:color w:val="000000"/>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b w:val="false"/>
          <w:b w:val="false"/>
          <w:bCs w:val="false"/>
          <w:i w:val="false"/>
          <w:i w:val="false"/>
          <w:sz w:val="20"/>
          <w:szCs w:val="20"/>
          <w:highlight w:val="none"/>
          <w:u w:val="none"/>
          <w:shd w:fill="auto" w:val="clear"/>
        </w:rPr>
      </w:pPr>
      <w:r>
        <w:rPr>
          <w:b w:val="false"/>
          <w:bCs w:val="false"/>
          <w:i w:val="false"/>
          <w:sz w:val="20"/>
          <w:szCs w:val="20"/>
          <w:u w:val="none"/>
          <w:shd w:fill="auto" w:val="clear"/>
        </w:rPr>
      </w:r>
    </w:p>
    <w:p>
      <w:pPr>
        <w:pStyle w:val="Normal"/>
        <w:spacing w:before="200" w:after="0"/>
        <w:ind w:left="0" w:right="0" w:hanging="0"/>
        <w:rPr>
          <w:b w:val="false"/>
          <w:b w:val="false"/>
          <w:bCs w:val="false"/>
          <w:i w:val="false"/>
          <w:i w:val="false"/>
          <w:sz w:val="20"/>
          <w:szCs w:val="20"/>
          <w:highlight w:val="none"/>
          <w:u w:val="none"/>
          <w:shd w:fill="auto" w:val="clear"/>
        </w:rPr>
      </w:pPr>
      <w:r>
        <w:rPr>
          <w:b w:val="false"/>
          <w:bCs w:val="false"/>
          <w:i w:val="false"/>
          <w:sz w:val="20"/>
          <w:szCs w:val="20"/>
          <w:u w:val="none"/>
          <w:shd w:fill="auto" w:val="clear"/>
        </w:rPr>
        <w:t xml:space="preserve">Le marché pourra faire l'objet d'une cession ou d'un nantissement de créances, conformément aux articles </w:t>
      </w:r>
      <w:r>
        <w:rPr>
          <w:rFonts w:eastAsia="arial" w:cs="arial" w:ascii="arial" w:hAnsi="arial"/>
          <w:b w:val="false"/>
          <w:bCs w:val="false"/>
          <w:i w:val="false"/>
          <w:color w:val="000000"/>
          <w:sz w:val="20"/>
          <w:szCs w:val="20"/>
          <w:u w:val="none"/>
          <w:shd w:fill="auto" w:val="clear"/>
        </w:rPr>
        <w:t>R2191-45 à 63 du Code de la commande publique.</w:t>
      </w:r>
    </w:p>
    <w:p>
      <w:pPr>
        <w:pStyle w:val="Normal"/>
        <w:spacing w:before="200" w:after="0"/>
        <w:ind w:left="0" w:right="0" w:hanging="0"/>
        <w:rPr>
          <w:rFonts w:ascii="Arial" w:hAnsi="Arial" w:eastAsia="Arial" w:cs="Arial"/>
          <w:b/>
          <w:b/>
          <w:color w:val="000000"/>
        </w:rPr>
      </w:pPr>
      <w:r>
        <w:rPr>
          <w:rFonts w:eastAsia="Arial" w:cs="Arial"/>
          <w:b/>
          <w:color w:val="000000"/>
        </w:rPr>
      </w:r>
      <w:r>
        <w:br w:type="page"/>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14" w:name="_Toc3977"/>
      <w:r>
        <w:rPr>
          <w:shd w:fill="auto" w:val="clear"/>
        </w:rPr>
        <w:t>Sous traitance</w:t>
      </w:r>
      <w:bookmarkEnd w:id="14"/>
    </w:p>
    <w:p>
      <w:pPr>
        <w:pStyle w:val="Normal"/>
        <w:spacing w:before="0" w:after="0"/>
        <w:ind w:left="0" w:right="0" w:hanging="0"/>
        <w:rPr>
          <w:highlight w:val="none"/>
          <w:shd w:fill="auto" w:val="clear"/>
        </w:rPr>
      </w:pPr>
      <w:r>
        <w:rPr>
          <w:rFonts w:eastAsia="Arial" w:cs="Arial"/>
          <w:b/>
          <w:bCs/>
          <w:color w:val="000000"/>
          <w:sz w:val="20"/>
          <w:szCs w:val="20"/>
          <w:shd w:fill="auto" w:val="clear"/>
        </w:rPr>
        <w:t>Dans le cas où l'entreprise ne présenterait pas de sous-traitant, maintenir le présent paragraphe sans le compléter et en le barrant.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Les déclarations de sous traitance (imprimé DC4 disponible à l'adresse suivante : </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http://www.economie.gouv.fr/daj/formulaires ) </w:t>
      </w:r>
    </w:p>
    <w:p>
      <w:pPr>
        <w:pStyle w:val="Normal"/>
        <w:spacing w:before="200" w:after="0"/>
        <w:ind w:left="0" w:right="0" w:hanging="0"/>
        <w:rPr>
          <w:highlight w:val="none"/>
          <w:shd w:fill="auto" w:val="clear"/>
        </w:rPr>
      </w:pPr>
      <w:r>
        <w:rPr>
          <w:rFonts w:eastAsia="Arial" w:cs="Arial"/>
          <w:color w:val="000000"/>
          <w:sz w:val="20"/>
          <w:szCs w:val="20"/>
          <w:shd w:fill="auto" w:val="clea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200" w:after="0"/>
        <w:ind w:left="0" w:right="0" w:hanging="0"/>
        <w:rPr>
          <w:b/>
          <w:b/>
          <w:bCs/>
          <w:highlight w:val="none"/>
          <w:shd w:fill="auto" w:val="clear"/>
        </w:rPr>
      </w:pPr>
      <w:r>
        <w:rPr>
          <w:rFonts w:eastAsia="Arial" w:cs="Arial"/>
          <w:b/>
          <w:bCs/>
          <w:color w:val="000000"/>
          <w:sz w:val="20"/>
          <w:szCs w:val="20"/>
          <w:shd w:fill="auto" w:val="clear"/>
        </w:rPr>
        <w:t xml:space="preserve">Le relevé bancaire (BIC ou IBAN) du sous-traitant est joint. </w:t>
      </w:r>
    </w:p>
    <w:p>
      <w:pPr>
        <w:pStyle w:val="Normal"/>
        <w:spacing w:before="200" w:after="0"/>
        <w:ind w:left="0" w:right="0" w:hanging="0"/>
        <w:rPr>
          <w:highlight w:val="none"/>
          <w:shd w:fill="auto" w:val="clear"/>
        </w:rPr>
      </w:pPr>
      <w:r>
        <w:rPr>
          <w:rFonts w:eastAsia="Arial" w:cs="Arial"/>
          <w:color w:val="000000"/>
          <w:sz w:val="20"/>
          <w:szCs w:val="20"/>
          <w:shd w:fill="auto" w:val="clear"/>
        </w:rPr>
        <w:t>Le montant total des prestations que j'envisage de sous-traiter conformément à cette(ces) annexe(s) est de :</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HT</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 TTC</w:t>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 xml:space="preserve">En lettres : </w:t>
        <w:tab/>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color w:val="000000"/>
          <w:sz w:val="20"/>
          <w:szCs w:val="20"/>
          <w:shd w:fill="auto" w:val="clear"/>
        </w:rPr>
        <w:t>Déduction faite de l'ensemble des prestations sous-traitées, le montant maximal de la créance que je pourrai présenter en nantissement en tant qu'entrepreneur titulaire du marché est ainsi ramené à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TTC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TTC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 xml:space="preserve">Montant maximal de la créance pouvant être présentée en nantissement € HT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Montant maximal de la créance pouvant être présentée en nantissement € TTC :</w:t>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b/>
          <w:bCs/>
          <w:color w:val="000000"/>
          <w:sz w:val="20"/>
          <w:szCs w:val="20"/>
          <w:shd w:fill="auto" w:val="clear"/>
        </w:rPr>
        <w:t xml:space="preserve">Les déclarations à remplir par le(les) sous-traitant(s) énumérées ci-dessus sont annexées au présent acte d'engagement. </w:t>
      </w:r>
    </w:p>
    <w:p>
      <w:pPr>
        <w:pStyle w:val="Titre1"/>
        <w:numPr>
          <w:ilvl w:val="0"/>
          <w:numId w:val="2"/>
        </w:numPr>
        <w:rPr>
          <w:highlight w:val="none"/>
          <w:shd w:fill="auto" w:val="clear"/>
        </w:rPr>
      </w:pPr>
      <w:bookmarkStart w:id="15" w:name="_Toc3978"/>
      <w:r>
        <w:rPr>
          <w:shd w:fill="auto" w:val="clear"/>
        </w:rPr>
        <w:t>AVANCE</w:t>
      </w:r>
      <w:bookmarkEnd w:id="15"/>
    </w:p>
    <w:p>
      <w:pPr>
        <w:pStyle w:val="Normal"/>
        <w:rPr>
          <w:highlight w:val="none"/>
          <w:shd w:fill="auto" w:val="clear"/>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i w:val="false"/>
          <w:color w:val="000000"/>
          <w:sz w:val="20"/>
          <w:u w:val="none"/>
          <w:shd w:fill="auto" w:val="clear"/>
        </w:rPr>
        <w:t>Le candidat est une PME* :  oui / non</w:t>
      </w:r>
    </w:p>
    <w:p>
      <w:pPr>
        <w:pStyle w:val="Normal"/>
        <w:spacing w:before="120" w:after="0"/>
        <w:rPr>
          <w:highlight w:val="none"/>
          <w:shd w:fill="auto" w:val="clear"/>
        </w:rPr>
      </w:pPr>
      <w:r>
        <w:rPr>
          <w:rFonts w:eastAsia="arial" w:cs="arial" w:ascii="arial" w:hAnsi="arial"/>
          <w:b/>
          <w:i w:val="false"/>
          <w:color w:val="000000"/>
          <w:sz w:val="20"/>
          <w:u w:val="none"/>
          <w:shd w:fill="auto" w:val="clear"/>
        </w:rPr>
        <w:t>Je renonce au bénéfice de l'avance : oui / non</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(Rayez la mention inutile)</w:t>
      </w:r>
    </w:p>
    <w:p>
      <w:pPr>
        <w:pStyle w:val="Normal"/>
        <w:spacing w:before="120" w:after="0"/>
        <w:rPr>
          <w:highlight w:val="none"/>
          <w:shd w:fill="auto" w:val="clear"/>
        </w:rPr>
      </w:pPr>
      <w:r>
        <w:rPr>
          <w:shd w:fill="auto" w:val="clear"/>
        </w:rPr>
      </w:r>
    </w:p>
    <w:p>
      <w:pPr>
        <w:pStyle w:val="Normal"/>
        <w:spacing w:before="0" w:after="0"/>
        <w:ind w:left="0" w:right="0" w:hanging="0"/>
        <w:rPr>
          <w:b/>
          <w:b/>
          <w:bCs/>
          <w:highlight w:val="none"/>
          <w:shd w:fill="auto" w:val="clear"/>
        </w:rPr>
      </w:pPr>
      <w:r>
        <w:rPr>
          <w:rFonts w:eastAsia="Arial" w:cs="Arial"/>
          <w:b/>
          <w:bCs/>
          <w:color w:val="000000"/>
          <w:sz w:val="20"/>
          <w:szCs w:val="20"/>
          <w:shd w:fill="auto" w:val="clear"/>
        </w:rPr>
        <w:t xml:space="preserve">Le titulaire est informé que la collectivité demande la constitution d'une garantie à 1ère demande pour le versement de l'avance, qui peut-être remplacée par une caution personnelle et solidaire.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highlight w:val="none"/>
          <w:shd w:fill="auto" w:val="clear"/>
        </w:rPr>
      </w:pPr>
      <w:bookmarkStart w:id="16" w:name="_Toc3979"/>
      <w:r>
        <w:rPr>
          <w:shd w:fill="auto" w:val="clear"/>
        </w:rPr>
        <w:t>DUREE</w:t>
      </w:r>
      <w:bookmarkEnd w:id="16"/>
    </w:p>
    <w:p>
      <w:pPr>
        <w:pStyle w:val="Normal"/>
        <w:spacing w:before="63" w:after="0"/>
        <w:rPr>
          <w:highlight w:val="none"/>
          <w:shd w:fill="auto" w:val="clear"/>
        </w:rPr>
      </w:pPr>
      <w:r>
        <w:rPr>
          <w:rFonts w:eastAsia="arial" w:cs="arial" w:ascii="arial" w:hAnsi="arial"/>
          <w:b w:val="false"/>
          <w:i w:val="false"/>
          <w:color w:val="000000"/>
          <w:sz w:val="20"/>
          <w:u w:val="none"/>
          <w:shd w:fill="auto" w:val="clear"/>
        </w:rPr>
        <w:t>La durée du marché se définit comme suit :</w:t>
      </w:r>
    </w:p>
    <w:p>
      <w:pPr>
        <w:pStyle w:val="Normal"/>
        <w:spacing w:before="0" w:after="0"/>
        <w:ind w:left="0" w:right="0" w:hanging="0"/>
        <w:rPr>
          <w:highlight w:val="none"/>
          <w:shd w:fill="auto" w:val="clear"/>
        </w:rPr>
      </w:pPr>
      <w:r>
        <w:rPr>
          <w:rFonts w:eastAsia="Arial" w:cs="Arial"/>
          <w:color w:val="000000"/>
          <w:sz w:val="20"/>
          <w:szCs w:val="20"/>
          <w:shd w:fill="auto" w:val="clear"/>
        </w:rPr>
        <w:br/>
        <w:t>La durée du marché correspond aux délais d'exécution des prestations tels que définis ci-après à compter de la date fixée dans l'ordre de service de démarrage de la tranche ferme :</w:t>
      </w:r>
    </w:p>
    <w:p>
      <w:pPr>
        <w:pStyle w:val="Normal"/>
        <w:spacing w:before="200" w:after="0"/>
        <w:ind w:left="0" w:right="0" w:hanging="0"/>
        <w:rPr>
          <w:highlight w:val="none"/>
          <w:shd w:fill="auto" w:val="clear"/>
        </w:rPr>
      </w:pPr>
      <w:r>
        <w:rPr>
          <w:rFonts w:eastAsia="Arial" w:cs="Arial"/>
          <w:color w:val="000000"/>
          <w:sz w:val="20"/>
          <w:szCs w:val="20"/>
          <w:shd w:fill="auto" w:val="clear"/>
        </w:rPr>
        <w:t>Le délai d'exécution qui démarrera à compter de la date fixée dans l'ordre de service de démarrage de chaque tranche et fixé comme suit :</w:t>
      </w:r>
    </w:p>
    <w:p>
      <w:pPr>
        <w:pStyle w:val="Normal"/>
        <w:spacing w:before="86" w:after="0"/>
        <w:ind w:left="0" w:right="0" w:hanging="0"/>
        <w:rPr>
          <w:highlight w:val="none"/>
          <w:shd w:fill="auto" w:val="clear"/>
        </w:rPr>
      </w:pPr>
      <w:r>
        <w:rPr>
          <w:rFonts w:eastAsia="Arial" w:cs="Arial"/>
          <w:color w:val="000000"/>
          <w:sz w:val="20"/>
          <w:szCs w:val="20"/>
          <w:shd w:fill="auto" w:val="clear"/>
        </w:rPr>
        <w:t>- 1ère année - Tranche ferme : 12 mois</w:t>
      </w:r>
    </w:p>
    <w:p>
      <w:pPr>
        <w:pStyle w:val="Normal"/>
        <w:spacing w:before="86" w:after="0"/>
        <w:ind w:left="0" w:right="0" w:hanging="0"/>
        <w:rPr>
          <w:highlight w:val="none"/>
          <w:shd w:fill="auto" w:val="clear"/>
        </w:rPr>
      </w:pPr>
      <w:r>
        <w:rPr>
          <w:rFonts w:eastAsia="Arial" w:cs="Arial"/>
          <w:color w:val="000000"/>
          <w:sz w:val="20"/>
          <w:szCs w:val="20"/>
          <w:shd w:fill="auto" w:val="clear"/>
        </w:rPr>
        <w:t>- 2ème année - Tranche optionnelle 1 : 12 mois</w:t>
      </w:r>
    </w:p>
    <w:p>
      <w:pPr>
        <w:pStyle w:val="Normal"/>
        <w:spacing w:before="86" w:after="0"/>
        <w:ind w:left="0" w:right="0" w:hanging="0"/>
        <w:rPr>
          <w:highlight w:val="none"/>
          <w:shd w:fill="auto" w:val="clear"/>
        </w:rPr>
      </w:pPr>
      <w:r>
        <w:rPr>
          <w:rFonts w:eastAsia="Arial" w:cs="Arial"/>
          <w:color w:val="000000"/>
          <w:sz w:val="20"/>
          <w:szCs w:val="20"/>
          <w:shd w:fill="auto" w:val="clear"/>
        </w:rPr>
        <w:t>- 3ème année - Tranche optionnelle 2 : 12 mois</w:t>
      </w:r>
    </w:p>
    <w:p>
      <w:pPr>
        <w:pStyle w:val="Normal"/>
        <w:spacing w:before="86" w:after="0"/>
        <w:ind w:left="0" w:right="0" w:hanging="0"/>
        <w:rPr>
          <w:highlight w:val="none"/>
          <w:shd w:fill="auto" w:val="clear"/>
        </w:rPr>
      </w:pPr>
      <w:r>
        <w:rPr>
          <w:rFonts w:eastAsia="Arial" w:cs="Arial"/>
          <w:color w:val="000000"/>
          <w:sz w:val="20"/>
          <w:szCs w:val="20"/>
          <w:shd w:fill="auto" w:val="clear"/>
        </w:rPr>
        <w:t>- 4ème année - Tranche optionnelle 3 : 12 mois</w:t>
      </w:r>
    </w:p>
    <w:p>
      <w:pPr>
        <w:pStyle w:val="Normal"/>
        <w:spacing w:before="200" w:after="0"/>
        <w:ind w:left="0" w:right="0" w:hanging="0"/>
        <w:rPr>
          <w:highlight w:val="none"/>
          <w:shd w:fill="auto" w:val="clear"/>
        </w:rPr>
      </w:pPr>
      <w:r>
        <w:rPr>
          <w:rFonts w:eastAsia="Arial" w:cs="Arial"/>
          <w:color w:val="000000"/>
          <w:sz w:val="20"/>
          <w:szCs w:val="20"/>
          <w:shd w:fill="auto" w:val="clear"/>
        </w:rPr>
        <w:t>soit un total de 48 mois.</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Cette durée est une durée ferme et ne pourra faire l'objet de reconductions.</w:t>
      </w:r>
    </w:p>
    <w:p>
      <w:pPr>
        <w:pStyle w:val="Normal"/>
        <w:spacing w:before="120" w:after="0"/>
        <w:rPr>
          <w:highlight w:val="none"/>
          <w:shd w:fill="auto" w:val="clear"/>
        </w:rPr>
      </w:pPr>
      <w:r>
        <w:rPr>
          <w:shd w:fill="auto" w:val="clear"/>
        </w:rPr>
      </w:r>
    </w:p>
    <w:p>
      <w:pPr>
        <w:pStyle w:val="Normal"/>
        <w:spacing w:before="0" w:after="0"/>
        <w:ind w:left="0" w:right="0" w:hanging="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Toute information complémentaire relative à la durée et/ou aux délais figure au CCAP / CCP.</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Titre1"/>
        <w:numPr>
          <w:ilvl w:val="0"/>
          <w:numId w:val="2"/>
        </w:numPr>
        <w:rPr>
          <w:highlight w:val="none"/>
          <w:shd w:fill="auto" w:val="clear"/>
        </w:rPr>
      </w:pPr>
      <w:bookmarkStart w:id="17" w:name="_Toc3980"/>
      <w:r>
        <w:rPr>
          <w:shd w:fill="auto" w:val="clear"/>
        </w:rPr>
        <w:t>PROVENANCE DES FOURNITURES</w:t>
      </w:r>
      <w:bookmarkEnd w:id="17"/>
    </w:p>
    <w:p>
      <w:pPr>
        <w:pStyle w:val="Normal"/>
        <w:rPr>
          <w:highlight w:val="none"/>
          <w:shd w:fill="auto" w:val="clear"/>
        </w:rPr>
      </w:pP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18" w:name="_Toc3981"/>
      <w:r>
        <w:rPr>
          <w:shd w:fill="auto" w:val="clear"/>
        </w:rPr>
        <w:t>DELAI DE VALIDITE DES OFFRES</w:t>
      </w:r>
      <w:bookmarkEnd w:id="18"/>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candidat est tenu de maintenir son offre, à compter de la date limite de remise des offres, pendant un délai de : 6</w:t>
      </w:r>
      <w:r>
        <w:rPr>
          <w:rFonts w:eastAsia="arial" w:cs="arial" w:ascii="arial" w:hAnsi="arial"/>
          <w:b/>
          <w:bCs/>
          <w:i w:val="false"/>
          <w:color w:val="000000"/>
          <w:sz w:val="20"/>
          <w:u w:val="none"/>
          <w:shd w:fill="auto" w:val="clear"/>
        </w:rPr>
        <w:t xml:space="preserve"> mois</w:t>
      </w:r>
      <w:r>
        <w:rPr>
          <w:rFonts w:eastAsia="arial" w:cs="arial" w:ascii="arial" w:hAnsi="arial"/>
          <w:b w:val="false"/>
          <w:i w:val="false"/>
          <w:color w:val="000000"/>
          <w:sz w:val="20"/>
          <w:u w:val="none"/>
          <w:shd w:fill="auto" w:val="clear"/>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highlight w:val="none"/>
          <w:shd w:fill="auto" w:val="clear"/>
        </w:rPr>
      </w:pPr>
      <w:bookmarkStart w:id="19" w:name="_Toc3982"/>
      <w:r>
        <w:rPr>
          <w:shd w:fill="auto" w:val="clear"/>
        </w:rPr>
        <w:t>ENGAGEMENT ET SIGNATURE DU CANDIDAT</w:t>
      </w:r>
      <w:bookmarkEnd w:id="19"/>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Après avoir pris connaissance des documents constitutifs du dossier de marché, tels que listés au CCAP/CCP en tant que documents contractuels,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un seul original</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candidat ou le mandataire</w:t>
      </w:r>
    </w:p>
    <w:p>
      <w:pPr>
        <w:pStyle w:val="Normal"/>
        <w:spacing w:before="120" w:after="0"/>
        <w:rPr>
          <w:highlight w:val="none"/>
          <w:shd w:fill="auto" w:val="clear"/>
        </w:rPr>
      </w:pPr>
      <w:r>
        <w:rPr>
          <w:rFonts w:eastAsia="arial" w:cs="arial" w:ascii="arial" w:hAnsi="arial"/>
          <w:b w:val="false"/>
          <w:i/>
          <w:color w:val="000000"/>
          <w:sz w:val="20"/>
          <w:u w:val="none"/>
          <w:shd w:fill="auto" w:val="clear"/>
        </w:rPr>
        <w:t xml:space="preserve">Signature du candidat, précédée des nom, </w:t>
      </w:r>
    </w:p>
    <w:p>
      <w:pPr>
        <w:pStyle w:val="Normal"/>
        <w:spacing w:before="120" w:after="0"/>
        <w:rPr>
          <w:highlight w:val="none"/>
          <w:shd w:fill="auto" w:val="clear"/>
        </w:rPr>
      </w:pPr>
      <w:r>
        <w:rPr>
          <w:rFonts w:eastAsia="arial" w:cs="arial" w:ascii="arial" w:hAnsi="arial"/>
          <w:b w:val="false"/>
          <w:i/>
          <w:color w:val="000000"/>
          <w:sz w:val="20"/>
          <w:u w:val="none"/>
          <w:shd w:fill="auto" w:val="clear"/>
        </w:rPr>
        <w:t>prénom et qualité du signataire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signataire doit avoir le pouvoir d'engager la personne qu'il représente).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0" w:name="_Toc3983"/>
      <w:r>
        <w:rPr>
          <w:shd w:fill="auto" w:val="clear"/>
        </w:rPr>
        <w:t>SIGNATURE DU POUVOIR ADJUDICATEUR</w:t>
      </w:r>
      <w:bookmarkEnd w:id="2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val="false"/>
          <w:i w:val="false"/>
          <w:color w:val="000000"/>
          <w:sz w:val="20"/>
          <w:u w:val="none"/>
          <w:shd w:fill="auto" w:val="clear"/>
        </w:rPr>
        <w:t>La présente offre est acceptée.</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w:t>
      </w:r>
    </w:p>
    <w:p>
      <w:pPr>
        <w:pStyle w:val="Normal"/>
        <w:spacing w:before="120" w:after="0"/>
        <w:rPr>
          <w:highlight w:val="none"/>
          <w:shd w:fill="auto" w:val="clear"/>
        </w:rPr>
      </w:pPr>
      <w:r>
        <w:rPr>
          <w:rFonts w:eastAsia="arial" w:cs="arial" w:ascii="arial" w:hAnsi="arial"/>
          <w:b w:val="false"/>
          <w:i/>
          <w:color w:val="000000"/>
          <w:sz w:val="20"/>
          <w:u w:val="none"/>
          <w:shd w:fill="auto" w:val="clear"/>
        </w:rPr>
        <w:t>(Représentant du pouvoir adjudicateur habilité à signer)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widowControl/>
        <w:bidi w:val="0"/>
        <w:spacing w:before="120" w:after="0"/>
        <w:ind w:left="4535" w:right="0" w:hanging="0"/>
        <w:jc w:val="both"/>
        <w:rPr>
          <w:b/>
          <w:b/>
          <w:bCs/>
          <w:highlight w:val="none"/>
          <w:shd w:fill="auto" w:val="clear"/>
        </w:rPr>
      </w:pPr>
      <w:r>
        <w:rPr>
          <w:rFonts w:eastAsia="arial" w:cs="arial" w:ascii="arial" w:hAnsi="arial"/>
          <w:b/>
          <w:bCs/>
          <w:i w:val="false"/>
          <w:color w:val="000000"/>
          <w:sz w:val="20"/>
          <w:u w:val="none"/>
          <w:shd w:fill="auto" w:val="clear"/>
        </w:rPr>
        <w:t xml:space="preserve"> </w:t>
      </w:r>
      <w:r>
        <w:rPr>
          <w:rFonts w:eastAsia="arial" w:cs="arial" w:ascii="arial" w:hAnsi="arial"/>
          <w:b/>
          <w:bCs/>
          <w:i w:val="false"/>
          <w:color w:val="000000"/>
          <w:sz w:val="20"/>
          <w:u w:val="none"/>
          <w:shd w:fill="auto" w:val="clear"/>
        </w:rPr>
        <w:t>Le Maire</w:t>
      </w:r>
    </w:p>
    <w:p>
      <w:pPr>
        <w:pStyle w:val="Normal"/>
        <w:widowControl/>
        <w:bidi w:val="0"/>
        <w:spacing w:before="120" w:after="0"/>
        <w:ind w:left="4535" w:right="0" w:hanging="0"/>
        <w:jc w:val="both"/>
        <w:rPr>
          <w:highlight w:val="none"/>
          <w:shd w:fill="auto" w:val="clear"/>
        </w:rPr>
      </w:pPr>
      <w:r>
        <w:rPr>
          <w:shd w:fill="auto" w:val="clear"/>
        </w:rPr>
      </w:r>
    </w:p>
    <w:p>
      <w:pPr>
        <w:pStyle w:val="Normal"/>
        <w:widowControl/>
        <w:bidi w:val="0"/>
        <w:spacing w:before="120" w:after="0"/>
        <w:ind w:left="4535" w:right="0" w:hanging="0"/>
        <w:jc w:val="both"/>
        <w:rPr>
          <w:highlight w:val="none"/>
          <w:shd w:fill="auto" w:val="clear"/>
        </w:rPr>
      </w:pPr>
      <w:r>
        <w:rPr>
          <w:rFonts w:eastAsia="arial" w:cs="arial" w:ascii="arial" w:hAnsi="arial"/>
          <w:b/>
          <w:i w:val="false"/>
          <w:color w:val="000000"/>
          <w:sz w:val="20"/>
          <w:u w:val="none"/>
          <w:shd w:fill="auto" w:val="clear"/>
        </w:rPr>
        <w:t>Benoît PAYAN</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r>
        <w:br w:type="page"/>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1" w:name="_Toc3984"/>
      <w:r>
        <w:rPr>
          <w:shd w:fill="auto" w:val="clear"/>
        </w:rPr>
        <w:t>NOTIFICATION DU MARCHE</w:t>
      </w:r>
      <w:bookmarkEnd w:id="21"/>
    </w:p>
    <w:p>
      <w:pPr>
        <w:pStyle w:val="Normal"/>
        <w:rPr>
          <w:highlight w:val="none"/>
          <w:shd w:fill="auto" w:val="clear"/>
        </w:rPr>
      </w:pPr>
      <w:r>
        <w:rPr>
          <w:rFonts w:eastAsia="arial" w:cs="arial" w:ascii="arial" w:hAnsi="arial"/>
          <w:b w:val="false"/>
          <w:i w:val="false"/>
          <w:color w:val="000000"/>
          <w:sz w:val="20"/>
          <w:u w:val="none"/>
          <w:shd w:fill="auto" w:val="clear"/>
        </w:rPr>
        <w:t>En cas de remise contre récépissé, le titulaire signera la formule ci-dessous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"Reçu à titre de notification une copie du présent marché"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titulaire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d'envoi en recommandé avec accusé de réception, l'avis de réception postal, daté et signé du titulaire sera annexé au présent document.</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widowControl w:val="false"/>
        <w:numPr>
          <w:ilvl w:val="0"/>
          <w:numId w:val="0"/>
        </w:numPr>
        <w:ind w:left="1701" w:hanging="1701"/>
        <w:jc w:val="left"/>
        <w:rPr>
          <w:highlight w:val="none"/>
          <w:shd w:fill="auto" w:val="clear"/>
        </w:rPr>
      </w:pPr>
      <w:r>
        <w:rPr>
          <w:shd w:fill="auto" w:val="clear"/>
        </w:rPr>
      </w:r>
      <w:r>
        <w:br w:type="page"/>
      </w:r>
    </w:p>
    <w:p>
      <w:pPr>
        <w:pStyle w:val="Titre1"/>
        <w:widowControl w:val="false"/>
        <w:numPr>
          <w:ilvl w:val="0"/>
          <w:numId w:val="0"/>
        </w:numPr>
        <w:ind w:left="1701" w:hanging="1701"/>
        <w:jc w:val="left"/>
        <w:rPr>
          <w:highlight w:val="none"/>
          <w:shd w:fill="auto" w:val="clear"/>
        </w:rPr>
      </w:pPr>
      <w:r>
        <w:rPr>
          <w:shd w:fill="auto" w:val="clear"/>
        </w:rPr>
      </w:r>
    </w:p>
    <w:p>
      <w:pPr>
        <w:pStyle w:val="Titre1"/>
        <w:numPr>
          <w:ilvl w:val="0"/>
          <w:numId w:val="2"/>
        </w:numPr>
        <w:rPr>
          <w:highlight w:val="none"/>
          <w:shd w:fill="auto" w:val="clear"/>
        </w:rPr>
      </w:pPr>
      <w:bookmarkStart w:id="22" w:name="_Toc3985"/>
      <w:r>
        <w:rPr>
          <w:shd w:fill="auto" w:val="clear"/>
        </w:rPr>
        <w:t>EXEMPLAIRE UNIQUE ET NANTISSEMENT OU CESSION DE CREANCE</w:t>
      </w:r>
      <w:bookmarkEnd w:id="22"/>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CADRE POUR LA FORMULE DE NANTISSEMENT OU DE CESSION DE CREANCES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Pouvoir adjudicateur : Mairie de Marseille</w:t>
      </w:r>
    </w:p>
    <w:p>
      <w:pPr>
        <w:pStyle w:val="Normal"/>
        <w:rPr>
          <w:highlight w:val="none"/>
          <w:shd w:fill="auto" w:val="clear"/>
        </w:rPr>
      </w:pPr>
      <w:r>
        <w:rPr>
          <w:rFonts w:eastAsia="arial" w:cs="arial" w:ascii="arial" w:hAnsi="arial"/>
          <w:b w:val="false"/>
          <w:i w:val="false"/>
          <w:color w:val="000000"/>
          <w:sz w:val="20"/>
          <w:u w:val="none"/>
          <w:shd w:fill="auto" w:val="clear"/>
        </w:rPr>
        <w:t>(voir l'article 1.2)</w:t>
      </w:r>
    </w:p>
    <w:p>
      <w:pPr>
        <w:pStyle w:val="Normal"/>
        <w:rPr>
          <w:highlight w:val="none"/>
          <w:shd w:fill="auto" w:val="clear"/>
        </w:rPr>
      </w:pPr>
      <w:r>
        <w:rPr>
          <w:rFonts w:eastAsia="arial" w:cs="arial" w:ascii="arial" w:hAnsi="arial"/>
          <w:b w:val="false"/>
          <w:i w:val="false"/>
          <w:color w:val="000000"/>
          <w:sz w:val="20"/>
          <w:u w:val="none"/>
          <w:shd w:fill="auto" w:val="clear"/>
        </w:rPr>
        <w:t>Direction / Service : DAVEU - Pôle Entretien et Travaux Tous Bâtiments</w:t>
      </w:r>
    </w:p>
    <w:p>
      <w:pPr>
        <w:pStyle w:val="Normal"/>
        <w:rPr>
          <w:highlight w:val="none"/>
          <w:shd w:fill="auto" w:val="clear"/>
        </w:rPr>
      </w:pPr>
      <w:r>
        <w:rPr>
          <w:rFonts w:eastAsia="Arial" w:cs="Arial"/>
          <w:b w:val="false"/>
          <w:bCs w:val="false"/>
          <w:color w:val="000000"/>
          <w:sz w:val="20"/>
          <w:szCs w:val="20"/>
          <w:shd w:fill="auto" w:val="clear"/>
        </w:rPr>
        <w:t xml:space="preserve">9 RUE PAUL BRUTUS - 13233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remplir par l'administration (pouvoir adjudicateur) en original sur une photocopie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marché dont le montant est de (indiquer le montant en chiffres et en lettres)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bon de commande n° .......... afférent au marché (indiquer le montant en chiffres et en lettres) :</w:t>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partie des prestations que le titulaire n'envisage pas de confier à des sous traitants bénéficiant du paiement direct évaluée à (indiquer le montant en chiffres et en lettres) :</w:t>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et devant être exécutée par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en qualité de : </w:t>
        <w:tab/>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représentant du pouvoir adjudicateur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AE_EXPLOITATION ET MAINTENANCE MULTITECHNIQUES DES INSTALLATIONS ET EQUIPEMENTS DU SITE DE L'HOTEL DE VILLE - LOT 3.docx</w:t>
    </w:r>
    <w:r>
      <w:rPr/>
      <w:tab/>
      <w:tab/>
    </w:r>
    <w:r>
      <w:rPr/>
      <w:fldChar w:fldCharType="begin"/>
    </w:r>
    <w:r>
      <w:rPr/>
      <w:instrText> PAGE </w:instrText>
    </w:r>
    <w:r>
      <w:rPr/>
      <w:fldChar w:fldCharType="separate"/>
    </w:r>
    <w:r>
      <w:rPr/>
      <w:t>14</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23_0946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r>
  </w:p>
  <w:p>
    <w:pPr>
      <w:pStyle w:val="Entte"/>
      <w:tabs>
        <w:tab w:val="left" w:pos="3555" w:leader="none"/>
        <w:tab w:val="center" w:pos="4818" w:leader="none"/>
        <w:tab w:val="right" w:pos="9637" w:leader="none"/>
      </w:tabs>
      <w:jc w:val="center"/>
      <w:rPr/>
    </w:pPr>
    <w:r>
      <w:rPr/>
      <w:drawing>
        <wp:anchor behindDoc="0" distT="0" distB="0" distL="0" distR="0" simplePos="0" locked="0" layoutInCell="0" allowOverlap="1" relativeHeight="2">
          <wp:simplePos x="0" y="0"/>
          <wp:positionH relativeFrom="column">
            <wp:posOffset>1901190</wp:posOffset>
          </wp:positionH>
          <wp:positionV relativeFrom="paragraph">
            <wp:posOffset>263525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0"/>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1"/>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2"/>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3"/>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4"/>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5"/>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6"/>
    <w:qFormat/>
    <w:pPr>
      <w:numPr>
        <w:ilvl w:val="6"/>
        <w:numId w:val="1"/>
      </w:numPr>
      <w:spacing w:before="283" w:after="57"/>
      <w:jc w:val="both"/>
      <w:outlineLvl w:val="6"/>
    </w:pPr>
    <w:rPr>
      <w:bCs/>
      <w:sz w:val="22"/>
    </w:rPr>
  </w:style>
  <w:style w:type="paragraph" w:styleId="Titre8">
    <w:name w:val="Heading 8"/>
    <w:basedOn w:val="Titre"/>
    <w:link w:val="797"/>
    <w:qFormat/>
    <w:pPr>
      <w:numPr>
        <w:ilvl w:val="7"/>
        <w:numId w:val="1"/>
      </w:numPr>
      <w:spacing w:before="283" w:after="57"/>
      <w:jc w:val="both"/>
      <w:outlineLvl w:val="7"/>
    </w:pPr>
    <w:rPr>
      <w:bCs/>
      <w:sz w:val="21"/>
    </w:rPr>
  </w:style>
  <w:style w:type="paragraph" w:styleId="Titre9">
    <w:name w:val="Heading 9"/>
    <w:basedOn w:val="Titre"/>
    <w:link w:val="798"/>
    <w:qFormat/>
    <w:pPr>
      <w:numPr>
        <w:ilvl w:val="8"/>
        <w:numId w:val="1"/>
      </w:numPr>
      <w:spacing w:before="283" w:after="57"/>
      <w:jc w:val="both"/>
      <w:outlineLvl w:val="8"/>
    </w:pPr>
    <w:rPr>
      <w:bCs/>
      <w:sz w:val="21"/>
    </w:rPr>
  </w:style>
  <w:style w:type="character" w:styleId="Heading1Char">
    <w:name w:val="Heading 1 Char"/>
    <w:basedOn w:val="DefaultParagraphFont"/>
    <w:link w:val="780"/>
    <w:uiPriority w:val="9"/>
    <w:qFormat/>
    <w:rPr>
      <w:rFonts w:ascii="Arial" w:hAnsi="Arial" w:eastAsia="Arial" w:cs="Arial"/>
      <w:sz w:val="40"/>
      <w:szCs w:val="40"/>
    </w:rPr>
  </w:style>
  <w:style w:type="character" w:styleId="Heading2Char">
    <w:name w:val="Heading 2 Char"/>
    <w:basedOn w:val="DefaultParagraphFont"/>
    <w:link w:val="781"/>
    <w:uiPriority w:val="9"/>
    <w:qFormat/>
    <w:rPr>
      <w:rFonts w:ascii="Arial" w:hAnsi="Arial" w:eastAsia="Arial" w:cs="Arial"/>
      <w:sz w:val="34"/>
    </w:rPr>
  </w:style>
  <w:style w:type="character" w:styleId="Heading3Char">
    <w:name w:val="Heading 3 Char"/>
    <w:basedOn w:val="DefaultParagraphFont"/>
    <w:link w:val="782"/>
    <w:uiPriority w:val="9"/>
    <w:qFormat/>
    <w:rPr>
      <w:rFonts w:ascii="Arial" w:hAnsi="Arial" w:eastAsia="Arial" w:cs="Arial"/>
      <w:sz w:val="30"/>
      <w:szCs w:val="30"/>
    </w:rPr>
  </w:style>
  <w:style w:type="character" w:styleId="Heading4Char">
    <w:name w:val="Heading 4 Char"/>
    <w:basedOn w:val="DefaultParagraphFont"/>
    <w:link w:val="783"/>
    <w:uiPriority w:val="9"/>
    <w:qFormat/>
    <w:rPr>
      <w:rFonts w:ascii="Arial" w:hAnsi="Arial" w:eastAsia="Arial" w:cs="Arial"/>
      <w:b/>
      <w:bCs/>
      <w:sz w:val="26"/>
      <w:szCs w:val="26"/>
    </w:rPr>
  </w:style>
  <w:style w:type="character" w:styleId="Heading5Char">
    <w:name w:val="Heading 5 Char"/>
    <w:basedOn w:val="DefaultParagraphFont"/>
    <w:link w:val="784"/>
    <w:uiPriority w:val="9"/>
    <w:qFormat/>
    <w:rPr>
      <w:rFonts w:ascii="Arial" w:hAnsi="Arial" w:eastAsia="Arial" w:cs="Arial"/>
      <w:b/>
      <w:bCs/>
      <w:sz w:val="24"/>
      <w:szCs w:val="24"/>
    </w:rPr>
  </w:style>
  <w:style w:type="character" w:styleId="Heading6Char">
    <w:name w:val="Heading 6 Char"/>
    <w:basedOn w:val="DefaultParagraphFont"/>
    <w:link w:val="785"/>
    <w:uiPriority w:val="9"/>
    <w:qFormat/>
    <w:rPr>
      <w:rFonts w:ascii="Arial" w:hAnsi="Arial" w:eastAsia="Arial" w:cs="Arial"/>
      <w:b/>
      <w:bCs/>
      <w:sz w:val="22"/>
      <w:szCs w:val="22"/>
    </w:rPr>
  </w:style>
  <w:style w:type="character" w:styleId="Heading7Char">
    <w:name w:val="Heading 7 Char"/>
    <w:basedOn w:val="DefaultParagraphFont"/>
    <w:link w:val="786"/>
    <w:uiPriority w:val="9"/>
    <w:qFormat/>
    <w:rPr>
      <w:rFonts w:ascii="Arial" w:hAnsi="Arial" w:eastAsia="Arial" w:cs="Arial"/>
      <w:b/>
      <w:bCs/>
      <w:i/>
      <w:iCs/>
      <w:sz w:val="22"/>
      <w:szCs w:val="22"/>
    </w:rPr>
  </w:style>
  <w:style w:type="character" w:styleId="Heading8Char">
    <w:name w:val="Heading 8 Char"/>
    <w:basedOn w:val="DefaultParagraphFont"/>
    <w:link w:val="787"/>
    <w:uiPriority w:val="9"/>
    <w:qFormat/>
    <w:rPr>
      <w:rFonts w:ascii="Arial" w:hAnsi="Arial" w:eastAsia="Arial" w:cs="Arial"/>
      <w:i/>
      <w:iCs/>
      <w:sz w:val="22"/>
      <w:szCs w:val="22"/>
    </w:rPr>
  </w:style>
  <w:style w:type="character" w:styleId="Heading9Char">
    <w:name w:val="Heading 9 Char"/>
    <w:basedOn w:val="DefaultParagraphFont"/>
    <w:link w:val="788"/>
    <w:uiPriority w:val="9"/>
    <w:qFormat/>
    <w:rPr>
      <w:rFonts w:ascii="Arial" w:hAnsi="Arial" w:eastAsia="Arial" w:cs="Arial"/>
      <w:i/>
      <w:iCs/>
      <w:sz w:val="21"/>
      <w:szCs w:val="21"/>
    </w:rPr>
  </w:style>
  <w:style w:type="character" w:styleId="TitleChar">
    <w:name w:val="Title Char"/>
    <w:basedOn w:val="DefaultParagraphFont"/>
    <w:link w:val="823"/>
    <w:uiPriority w:val="10"/>
    <w:qFormat/>
    <w:rPr>
      <w:sz w:val="48"/>
      <w:szCs w:val="48"/>
    </w:rPr>
  </w:style>
  <w:style w:type="character" w:styleId="SubtitleChar">
    <w:name w:val="Subtitle Char"/>
    <w:basedOn w:val="DefaultParagraphFont"/>
    <w:link w:val="824"/>
    <w:uiPriority w:val="11"/>
    <w:qFormat/>
    <w:rPr>
      <w:sz w:val="24"/>
      <w:szCs w:val="24"/>
    </w:rPr>
  </w:style>
  <w:style w:type="character" w:styleId="QuoteChar">
    <w:name w:val="Quote Char"/>
    <w:link w:val="825"/>
    <w:uiPriority w:val="29"/>
    <w:qFormat/>
    <w:rPr>
      <w:i/>
    </w:rPr>
  </w:style>
  <w:style w:type="character" w:styleId="IntenseQuoteChar">
    <w:name w:val="Intense Quote Char"/>
    <w:link w:val="826"/>
    <w:uiPriority w:val="30"/>
    <w:qFormat/>
    <w:rPr>
      <w:i/>
    </w:rPr>
  </w:style>
  <w:style w:type="character" w:styleId="HeaderChar">
    <w:name w:val="Header Char"/>
    <w:basedOn w:val="DefaultParagraphFont"/>
    <w:link w:val="841"/>
    <w:uiPriority w:val="99"/>
    <w:qFormat/>
    <w:rPr/>
  </w:style>
  <w:style w:type="character" w:styleId="CaptionChar">
    <w:name w:val="Caption Char"/>
    <w:link w:val="849"/>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7"/>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8"/>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0"/>
    <w:uiPriority w:val="9"/>
    <w:qFormat/>
    <w:rPr>
      <w:rFonts w:ascii="Arial" w:hAnsi="Arial" w:eastAsia="Arial" w:cs="Arial"/>
      <w:sz w:val="40"/>
      <w:szCs w:val="40"/>
    </w:rPr>
  </w:style>
  <w:style w:type="character" w:styleId="Titre2Car" w:customStyle="1">
    <w:name w:val="Titre 2 Car"/>
    <w:basedOn w:val="DefaultParagraphFont"/>
    <w:link w:val="781"/>
    <w:uiPriority w:val="9"/>
    <w:qFormat/>
    <w:rPr>
      <w:rFonts w:ascii="Arial" w:hAnsi="Arial"/>
      <w:b/>
      <w:bCs/>
      <w:iCs/>
      <w:color w:val="666699"/>
      <w:sz w:val="22"/>
      <w:szCs w:val="28"/>
      <w:u w:val="single"/>
    </w:rPr>
  </w:style>
  <w:style w:type="character" w:styleId="Titre3Car" w:customStyle="1">
    <w:name w:val="Titre 3 Car"/>
    <w:basedOn w:val="DefaultParagraphFont"/>
    <w:link w:val="782"/>
    <w:uiPriority w:val="9"/>
    <w:qFormat/>
    <w:rPr>
      <w:rFonts w:ascii="Arial" w:hAnsi="Arial" w:eastAsia="Arial" w:cs="Arial"/>
      <w:sz w:val="30"/>
      <w:szCs w:val="30"/>
    </w:rPr>
  </w:style>
  <w:style w:type="character" w:styleId="Titre4Car" w:customStyle="1">
    <w:name w:val="Titre 4 Car"/>
    <w:basedOn w:val="DefaultParagraphFont"/>
    <w:link w:val="783"/>
    <w:uiPriority w:val="9"/>
    <w:qFormat/>
    <w:rPr>
      <w:rFonts w:ascii="Arial" w:hAnsi="Arial" w:eastAsia="Arial" w:cs="Arial"/>
      <w:b/>
      <w:bCs/>
      <w:sz w:val="26"/>
      <w:szCs w:val="26"/>
    </w:rPr>
  </w:style>
  <w:style w:type="character" w:styleId="Titre5Car" w:customStyle="1">
    <w:name w:val="Titre 5 Car"/>
    <w:basedOn w:val="DefaultParagraphFont"/>
    <w:link w:val="784"/>
    <w:uiPriority w:val="9"/>
    <w:qFormat/>
    <w:rPr>
      <w:rFonts w:ascii="Arial" w:hAnsi="Arial" w:eastAsia="Arial" w:cs="Arial"/>
      <w:b/>
      <w:bCs/>
      <w:sz w:val="24"/>
      <w:szCs w:val="24"/>
    </w:rPr>
  </w:style>
  <w:style w:type="character" w:styleId="Titre6Car" w:customStyle="1">
    <w:name w:val="Titre 6 Car"/>
    <w:basedOn w:val="DefaultParagraphFont"/>
    <w:link w:val="785"/>
    <w:uiPriority w:val="9"/>
    <w:qFormat/>
    <w:rPr>
      <w:rFonts w:ascii="Arial" w:hAnsi="Arial" w:eastAsia="Arial" w:cs="Arial"/>
      <w:b/>
      <w:bCs/>
      <w:sz w:val="22"/>
      <w:szCs w:val="22"/>
    </w:rPr>
  </w:style>
  <w:style w:type="character" w:styleId="Titre7Car" w:customStyle="1">
    <w:name w:val="Titre 7 Car"/>
    <w:basedOn w:val="DefaultParagraphFont"/>
    <w:link w:val="786"/>
    <w:uiPriority w:val="9"/>
    <w:qFormat/>
    <w:rPr>
      <w:rFonts w:ascii="Arial" w:hAnsi="Arial" w:eastAsia="Arial" w:cs="Arial"/>
      <w:b/>
      <w:bCs/>
      <w:i/>
      <w:iCs/>
      <w:sz w:val="22"/>
      <w:szCs w:val="22"/>
    </w:rPr>
  </w:style>
  <w:style w:type="character" w:styleId="Titre8Car" w:customStyle="1">
    <w:name w:val="Titre 8 Car"/>
    <w:basedOn w:val="DefaultParagraphFont"/>
    <w:link w:val="787"/>
    <w:uiPriority w:val="9"/>
    <w:qFormat/>
    <w:rPr>
      <w:rFonts w:ascii="Arial" w:hAnsi="Arial" w:eastAsia="Arial" w:cs="Arial"/>
      <w:i/>
      <w:iCs/>
      <w:sz w:val="22"/>
      <w:szCs w:val="22"/>
    </w:rPr>
  </w:style>
  <w:style w:type="character" w:styleId="Titre9Car" w:customStyle="1">
    <w:name w:val="Titre 9 Car"/>
    <w:basedOn w:val="DefaultParagraphFont"/>
    <w:link w:val="788"/>
    <w:uiPriority w:val="9"/>
    <w:qFormat/>
    <w:rPr>
      <w:rFonts w:ascii="Arial" w:hAnsi="Arial" w:eastAsia="Arial" w:cs="Arial"/>
      <w:i/>
      <w:iCs/>
      <w:sz w:val="21"/>
      <w:szCs w:val="21"/>
    </w:rPr>
  </w:style>
  <w:style w:type="character" w:styleId="TitreCar" w:customStyle="1">
    <w:name w:val="Titre Car"/>
    <w:basedOn w:val="DefaultParagraphFont"/>
    <w:link w:val="816"/>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9"/>
    <w:uiPriority w:val="99"/>
    <w:qFormat/>
    <w:rPr/>
  </w:style>
  <w:style w:type="character" w:styleId="NotedebasdepageCar" w:customStyle="1">
    <w:name w:val="Note de bas de page Car"/>
    <w:link w:val="827"/>
    <w:uiPriority w:val="99"/>
    <w:qFormat/>
    <w:rPr>
      <w:sz w:val="18"/>
    </w:rPr>
  </w:style>
  <w:style w:type="character" w:styleId="NotedefinCar" w:customStyle="1">
    <w:name w:val="Note de fin Car"/>
    <w:link w:val="828"/>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5"/>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9"/>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1"/>
    <w:uiPriority w:val="29"/>
    <w:qFormat/>
    <w:pPr>
      <w:ind w:left="720" w:right="720" w:hanging="0"/>
    </w:pPr>
    <w:rPr>
      <w:i/>
    </w:rPr>
  </w:style>
  <w:style w:type="paragraph" w:styleId="IntenseQuote">
    <w:name w:val="Intense Quote"/>
    <w:basedOn w:val="Normal"/>
    <w:link w:val="80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edebasdepage">
    <w:name w:val="Footnote Text"/>
    <w:basedOn w:val="Normal"/>
    <w:link w:val="806"/>
    <w:uiPriority w:val="99"/>
    <w:semiHidden/>
    <w:unhideWhenUsed/>
    <w:qFormat/>
    <w:pPr>
      <w:spacing w:before="120" w:after="40"/>
    </w:pPr>
    <w:rPr>
      <w:sz w:val="18"/>
    </w:rPr>
  </w:style>
  <w:style w:type="paragraph" w:styleId="Notedefin">
    <w:name w:val="Endnote Text"/>
    <w:basedOn w:val="Normal"/>
    <w:link w:val="809"/>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4"/>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5"/>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auto"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0085-FF9D-46A6-B09A-683E9215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418</TotalTime>
  <Application>LibreOffice/7.2.7.2$Windows_x86 LibreOffice_project/8d71d29d553c0f7dcbfa38fbfda25ee34cce99a2</Application>
  <AppVersion>15.0000</AppVersion>
  <Pages>29</Pages>
  <Words>3372</Words>
  <Characters>16286</Characters>
  <CharactersWithSpaces>19125</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2023-03-20T16:29:50Z</dcterms:created>
  <dc:creator>Apache POI</dc:creator>
  <dc:description/>
  <dc:language>fr-FR</dc:language>
  <cp:lastModifiedBy/>
  <dcterms:modified xsi:type="dcterms:W3CDTF">2023-04-05T11:45:15Z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