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highlight w:val="none"/>
          <w:u w:val="single"/>
          <w:shd w:fill="auto" w:val="clear"/>
        </w:rPr>
      </w:pPr>
      <w:r>
        <w:rPr>
          <w:rFonts w:cs="Arial"/>
          <w:b/>
          <w:bCs/>
          <w:color w:val="000000"/>
          <w:sz w:val="20"/>
          <w:szCs w:val="20"/>
          <w:u w:val="single"/>
          <w:shd w:fill="auto" w:val="clear"/>
        </w:rPr>
      </w:r>
    </w:p>
    <w:p>
      <w:pPr>
        <w:pStyle w:val="Standard"/>
        <w:rPr>
          <w:rFonts w:cs="Arial"/>
          <w:b/>
          <w:b/>
          <w:bCs/>
          <w:color w:val="000000"/>
          <w:sz w:val="20"/>
          <w:szCs w:val="20"/>
          <w:highlight w:val="none"/>
          <w:u w:val="single"/>
          <w:shd w:fill="auto" w:val="clear"/>
        </w:rPr>
      </w:pPr>
      <w:r>
        <w:rPr>
          <w:rFonts w:cs="Arial"/>
          <w:b/>
          <w:bCs/>
          <w:color w:val="000000"/>
          <w:sz w:val="20"/>
          <w:szCs w:val="20"/>
          <w:u w:val="single"/>
          <w:shd w:fill="auto" w:val="clear"/>
        </w:rPr>
      </w:r>
    </w:p>
    <w:p>
      <w:pPr>
        <w:pStyle w:val="Standard"/>
        <w:rPr>
          <w:rFonts w:cs="Arial"/>
          <w:b/>
          <w:b/>
          <w:bCs/>
          <w:color w:val="000000"/>
          <w:sz w:val="20"/>
          <w:szCs w:val="20"/>
          <w:highlight w:val="none"/>
          <w:u w:val="single"/>
          <w:shd w:fill="auto" w:val="clear"/>
        </w:rPr>
      </w:pPr>
      <w:r>
        <w:rPr>
          <w:rFonts w:cs="Arial"/>
          <w:b/>
          <w:bCs/>
          <w:color w:val="000000"/>
          <w:sz w:val="20"/>
          <w:szCs w:val="20"/>
          <w:u w:val="single"/>
          <w:shd w:fill="auto" w:val="clear"/>
        </w:rPr>
      </w:r>
    </w:p>
    <w:p>
      <w:pPr>
        <w:pStyle w:val="Standard"/>
        <w:jc w:val="center"/>
        <w:rPr>
          <w:rFonts w:cs="Arial"/>
          <w:color w:val="000000"/>
          <w:sz w:val="36"/>
          <w:szCs w:val="36"/>
          <w:highlight w:val="none"/>
          <w:shd w:fill="auto" w:val="clear"/>
        </w:rPr>
      </w:pPr>
      <w:r>
        <w:rPr>
          <w:rFonts w:cs="Arial"/>
          <w:color w:val="000000"/>
          <w:sz w:val="36"/>
          <w:szCs w:val="36"/>
          <w:shd w:fill="auto" w:val="clear"/>
        </w:rPr>
      </w:r>
    </w:p>
    <w:p>
      <w:pPr>
        <w:pStyle w:val="Standard"/>
        <w:jc w:val="center"/>
        <w:rPr>
          <w:highlight w:val="none"/>
          <w:shd w:fill="auto" w:val="clear"/>
        </w:rPr>
      </w:pPr>
      <w:r>
        <w:rPr>
          <w:rFonts w:cs="Arial"/>
          <w:color w:val="000000" w:themeColor="text1"/>
          <w:sz w:val="36"/>
          <w:szCs w:val="36"/>
          <w:shd w:fill="auto" w:val="clear"/>
        </w:rPr>
        <w:t>Mairie de Marseille</w:t>
      </w:r>
    </w:p>
    <w:p>
      <w:pPr>
        <w:pStyle w:val="Standard"/>
        <w:jc w:val="center"/>
        <w:rPr>
          <w:highlight w:val="none"/>
          <w:shd w:fill="auto" w:val="clear"/>
        </w:rPr>
      </w:pPr>
      <w:r>
        <w:rPr>
          <w:rFonts w:cs="Arial"/>
          <w:color w:val="000000" w:themeColor="text1"/>
          <w:sz w:val="36"/>
          <w:szCs w:val="36"/>
          <w:shd w:fill="auto" w:val="clear"/>
        </w:rPr>
        <w:t>DIRECTION GÉNÉRALE DES SERVICES</w:t>
      </w:r>
    </w:p>
    <w:p>
      <w:pPr>
        <w:pStyle w:val="Standard"/>
        <w:rPr>
          <w:rFonts w:cs="Arial"/>
          <w:color w:val="000000"/>
          <w:sz w:val="20"/>
          <w:szCs w:val="20"/>
          <w:highlight w:val="none"/>
          <w:shd w:fill="auto" w:val="clear"/>
        </w:rPr>
      </w:pPr>
      <w:r>
        <w:rPr>
          <w:rFonts w:cs="Arial"/>
          <w:color w:val="000000"/>
          <w:sz w:val="20"/>
          <w:szCs w:val="20"/>
          <w:shd w:fill="auto" w:val="clear"/>
        </w:rPr>
      </w:r>
    </w:p>
    <w:p>
      <w:pPr>
        <w:pStyle w:val="Titre11"/>
        <w:shd w:val="clear" w:color="FFFFFF" w:fill="FFFFFF"/>
        <w:jc w:val="left"/>
        <w:rPr>
          <w:color w:val="000000"/>
          <w:sz w:val="44"/>
          <w:szCs w:val="44"/>
          <w:highlight w:val="none"/>
          <w:shd w:fill="auto" w:val="clear"/>
        </w:rPr>
      </w:pPr>
      <w:r>
        <w:rPr>
          <w:color w:val="000000"/>
          <w:sz w:val="44"/>
          <w:szCs w:val="44"/>
          <w:shd w:fill="auto" w:val="clear"/>
        </w:rPr>
      </w:r>
    </w:p>
    <w:p>
      <w:pPr>
        <w:pStyle w:val="Titre11"/>
        <w:shd w:val="clear" w:color="FFFFFF" w:fill="FFFFFF"/>
        <w:jc w:val="center"/>
        <w:rPr>
          <w:highlight w:val="none"/>
          <w:shd w:fill="auto" w:val="clear"/>
        </w:rPr>
      </w:pPr>
      <w:r>
        <w:rPr>
          <w:rFonts w:cs="Arial"/>
          <w:color w:val="000000" w:themeColor="text1"/>
          <w:sz w:val="44"/>
          <w:szCs w:val="44"/>
          <w:shd w:fill="auto" w:val="clear"/>
        </w:rPr>
        <w:t>Cahier des Clauses administratives particulières</w:t>
      </w:r>
    </w:p>
    <w:p>
      <w:pPr>
        <w:pStyle w:val="Titre11"/>
        <w:shd w:val="clear" w:color="FFFFFF" w:fill="FFFFFF"/>
        <w:jc w:val="left"/>
        <w:rPr>
          <w:color w:val="000000"/>
          <w:sz w:val="44"/>
          <w:szCs w:val="44"/>
          <w:highlight w:val="none"/>
          <w:shd w:fill="auto" w:val="clear"/>
        </w:rPr>
      </w:pPr>
      <w:r>
        <w:rPr>
          <w:color w:val="000000"/>
          <w:sz w:val="44"/>
          <w:szCs w:val="44"/>
          <w:shd w:fill="auto" w:val="clear"/>
        </w:rPr>
      </w:r>
    </w:p>
    <w:p>
      <w:pPr>
        <w:pStyle w:val="Standard"/>
        <w:rPr>
          <w:rFonts w:cs="Arial"/>
          <w:color w:val="000000"/>
          <w:sz w:val="20"/>
          <w:szCs w:val="20"/>
          <w:highlight w:val="none"/>
          <w:shd w:fill="auto" w:val="clear"/>
        </w:rPr>
      </w:pPr>
      <w:r>
        <w:rPr>
          <w:rFonts w:cs="Arial"/>
          <w:color w:val="000000"/>
          <w:sz w:val="2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highlight w:val="none"/>
          <w:shd w:fill="auto" w:val="clear"/>
        </w:rPr>
      </w:pPr>
      <w:r>
        <w:rPr>
          <w:rFonts w:cs="Arial"/>
          <w:color w:val="000000"/>
          <w:sz w:val="2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highlight w:val="none"/>
          <w:shd w:fill="auto" w:val="clear"/>
        </w:rPr>
      </w:pPr>
      <w:r>
        <w:rPr>
          <w:rFonts w:cs="Arial"/>
          <w:color w:val="000000"/>
          <w:sz w:val="2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FFFFFF" w:fill="FFFFFF"/>
        <w:rPr>
          <w:highlight w:val="none"/>
          <w:shd w:fill="auto" w:val="clear"/>
        </w:rPr>
      </w:pPr>
      <w:r>
        <w:rPr>
          <w:rFonts w:cs="Arial"/>
          <w:color w:val="000000" w:themeColor="text1"/>
          <w:sz w:val="36"/>
          <w:szCs w:val="36"/>
          <w:shd w:fill="auto" w:val="clear"/>
        </w:rPr>
        <w:t>Service d'agence de voyage pour la Ville de Marseille</w:t>
      </w:r>
      <w:r>
        <w:rPr>
          <w:rFonts w:cs="Arial"/>
          <w:color w:val="000000"/>
          <w:sz w:val="36"/>
          <w:szCs w:val="36"/>
          <w:shd w:fill="auto" w:val="clear"/>
        </w:rPr>
        <w:t xml:space="preserve">  - déplacements protocolaires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highlight w:val="none"/>
          <w:shd w:fill="auto" w:val="clear"/>
        </w:rPr>
      </w:pPr>
      <w:r>
        <w:rPr>
          <w:rFonts w:cs="Arial"/>
          <w:color w:val="000000"/>
          <w:sz w:val="2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highlight w:val="none"/>
          <w:shd w:fill="auto" w:val="clear"/>
        </w:rPr>
      </w:pPr>
      <w:r>
        <w:rPr>
          <w:rFonts w:cs="Arial"/>
          <w:color w:val="000000"/>
          <w:sz w:val="20"/>
          <w:szCs w:val="20"/>
          <w:shd w:fill="auto" w:val="clear"/>
        </w:rPr>
      </w:r>
    </w:p>
    <w:p>
      <w:pPr>
        <w:pStyle w:val="Standard"/>
        <w:rPr>
          <w:highlight w:val="none"/>
          <w:shd w:fill="auto" w:val="clear"/>
        </w:rPr>
      </w:pPr>
      <w:r>
        <w:rPr>
          <w:shd w:fill="auto" w:val="clear"/>
        </w:rPr>
      </w:r>
    </w:p>
    <w:p>
      <w:pPr>
        <w:pStyle w:val="Standard"/>
        <w:rPr>
          <w:rFonts w:cs="Arial"/>
          <w:color w:val="000000"/>
          <w:sz w:val="20"/>
          <w:szCs w:val="20"/>
          <w:highlight w:val="none"/>
          <w:shd w:fill="auto" w:val="clear"/>
        </w:rPr>
      </w:pPr>
      <w:r>
        <w:rPr>
          <w:rFonts w:cs="Arial"/>
          <w:color w:val="000000"/>
          <w:sz w:val="20"/>
          <w:szCs w:val="20"/>
          <w:shd w:fill="auto" w:val="clear"/>
        </w:rPr>
      </w:r>
    </w:p>
    <w:p>
      <w:pPr>
        <w:pStyle w:val="Standard"/>
        <w:tabs>
          <w:tab w:val="clear" w:pos="706"/>
          <w:tab w:val="left" w:pos="3600" w:leader="none"/>
        </w:tabs>
        <w:ind w:left="3600" w:hanging="3600"/>
        <w:rPr>
          <w:highlight w:val="none"/>
          <w:shd w:fill="auto" w:val="clear"/>
        </w:rPr>
      </w:pPr>
      <w:r>
        <w:rPr>
          <w:rFonts w:cs="Arial"/>
          <w:b/>
          <w:bCs/>
          <w:color w:val="000000" w:themeColor="text1"/>
          <w:sz w:val="24"/>
          <w:szCs w:val="24"/>
          <w:u w:val="single"/>
          <w:shd w:fill="auto" w:val="clear"/>
        </w:rPr>
        <w:t>Numéro de la consultation :</w:t>
      </w:r>
      <w:r>
        <w:rPr>
          <w:rFonts w:cs="Arial"/>
          <w:color w:val="000000" w:themeColor="text1"/>
          <w:sz w:val="24"/>
          <w:szCs w:val="24"/>
          <w:shd w:fill="auto" w:val="clear"/>
        </w:rPr>
        <w:t xml:space="preserve"> </w:t>
      </w:r>
      <w:bookmarkStart w:id="0" w:name="__DdeLink__57_1273219247"/>
      <w:bookmarkEnd w:id="0"/>
      <w:r>
        <w:rPr>
          <w:rFonts w:cs="Arial"/>
          <w:color w:val="000000" w:themeColor="text1"/>
          <w:sz w:val="24"/>
          <w:szCs w:val="24"/>
          <w:shd w:fill="auto" w:val="clear"/>
        </w:rPr>
        <w:t>2</w:t>
      </w:r>
      <w:r>
        <w:rPr>
          <w:rFonts w:cs="Arial"/>
          <w:color w:val="000000"/>
          <w:sz w:val="24"/>
          <w:szCs w:val="24"/>
          <w:shd w:fill="auto" w:val="clear"/>
        </w:rPr>
        <w:t>3_0832</w:t>
      </w:r>
    </w:p>
    <w:p>
      <w:pPr>
        <w:pStyle w:val="Standard"/>
        <w:rPr>
          <w:rFonts w:cs="Arial"/>
          <w:color w:val="000000"/>
          <w:sz w:val="24"/>
          <w:szCs w:val="24"/>
          <w:highlight w:val="none"/>
          <w:shd w:fill="auto" w:val="clear"/>
        </w:rPr>
      </w:pPr>
      <w:r>
        <w:rPr>
          <w:rFonts w:cs="Arial"/>
          <w:color w:val="000000"/>
          <w:sz w:val="24"/>
          <w:szCs w:val="24"/>
          <w:shd w:fill="auto" w:val="clear"/>
        </w:rPr>
      </w:r>
    </w:p>
    <w:p>
      <w:pPr>
        <w:pStyle w:val="Standard"/>
        <w:tabs>
          <w:tab w:val="clear" w:pos="706"/>
          <w:tab w:val="left" w:pos="3600" w:leader="none"/>
        </w:tabs>
        <w:ind w:left="3600" w:hanging="3600"/>
        <w:rPr>
          <w:highlight w:val="none"/>
          <w:shd w:fill="auto" w:val="clear"/>
        </w:rPr>
      </w:pPr>
      <w:r>
        <w:rPr>
          <w:rFonts w:cs="Arial"/>
          <w:b/>
          <w:bCs/>
          <w:color w:val="000000" w:themeColor="text1"/>
          <w:sz w:val="24"/>
          <w:szCs w:val="24"/>
          <w:u w:val="single"/>
          <w:shd w:fill="auto" w:val="clear"/>
        </w:rPr>
        <w:t>Procédure de passation :</w:t>
      </w:r>
      <w:r>
        <w:rPr>
          <w:rFonts w:cs="Arial"/>
          <w:color w:val="000000" w:themeColor="text1"/>
          <w:sz w:val="24"/>
          <w:szCs w:val="24"/>
          <w:shd w:fill="auto" w:val="clear"/>
        </w:rPr>
        <w:t xml:space="preserve"> Appel d'offres ouvert</w:t>
      </w:r>
    </w:p>
    <w:p>
      <w:pPr>
        <w:pStyle w:val="Standard"/>
        <w:tabs>
          <w:tab w:val="clear" w:pos="706"/>
          <w:tab w:val="left" w:pos="3600" w:leader="none"/>
        </w:tabs>
        <w:rPr>
          <w:rFonts w:cs="Arial"/>
          <w:b/>
          <w:b/>
          <w:color w:val="000000"/>
          <w:sz w:val="24"/>
          <w:szCs w:val="24"/>
          <w:highlight w:val="none"/>
          <w:u w:val="single"/>
          <w:shd w:fill="auto" w:val="clear"/>
        </w:rPr>
      </w:pPr>
      <w:r>
        <w:rPr>
          <w:rFonts w:cs="Arial"/>
          <w:b/>
          <w:color w:val="000000"/>
          <w:sz w:val="24"/>
          <w:szCs w:val="24"/>
          <w:u w:val="single"/>
          <w:shd w:fill="auto" w:val="clear"/>
        </w:rPr>
      </w:r>
    </w:p>
    <w:p>
      <w:pPr>
        <w:pStyle w:val="Standard"/>
        <w:tabs>
          <w:tab w:val="clear" w:pos="706"/>
          <w:tab w:val="left" w:pos="3600" w:leader="none"/>
        </w:tabs>
        <w:ind w:left="3600" w:hanging="3600"/>
        <w:rPr>
          <w:color w:val="000000"/>
          <w:sz w:val="20"/>
          <w:szCs w:val="20"/>
          <w:highlight w:val="none"/>
          <w:shd w:fill="auto" w:val="clear"/>
        </w:rPr>
      </w:pPr>
      <w:r>
        <w:rPr>
          <w:color w:val="000000"/>
          <w:sz w:val="20"/>
          <w:szCs w:val="20"/>
          <w:shd w:fill="auto" w:val="clear"/>
        </w:rPr>
      </w:r>
    </w:p>
    <w:p>
      <w:pPr>
        <w:pStyle w:val="Standard"/>
        <w:rPr>
          <w:highlight w:val="none"/>
          <w:shd w:fill="auto" w:val="clear"/>
        </w:rPr>
      </w:pPr>
      <w:r>
        <w:rPr>
          <w:shd w:fill="auto" w:val="clear"/>
        </w:rPr>
      </w:r>
    </w:p>
    <w:p>
      <w:pPr>
        <w:pStyle w:val="Normal"/>
        <w:widowControl w:val="false"/>
        <w:spacing w:before="0" w:after="0"/>
        <w:jc w:val="left"/>
        <w:rPr>
          <w:highlight w:val="none"/>
          <w:shd w:fill="auto" w:val="clear"/>
        </w:rPr>
      </w:pPr>
      <w:r>
        <w:rPr>
          <w:shd w:fill="auto" w:val="clear"/>
        </w:rPr>
      </w:r>
    </w:p>
    <w:p>
      <w:pPr>
        <w:pStyle w:val="ContentsHeading"/>
        <w:rPr>
          <w:highlight w:val="none"/>
          <w:shd w:fill="auto" w:val="clear"/>
        </w:rPr>
      </w:pPr>
      <w:r>
        <w:rPr>
          <w:shd w:fill="auto" w:val="clear"/>
        </w:rPr>
        <w:t>Sommaire</w:t>
      </w:r>
    </w:p>
    <w:p>
      <w:pPr>
        <w:pStyle w:val="Tabledesmatiresniveau1"/>
        <w:tabs>
          <w:tab w:val="right" w:pos="8290" w:leader="dot"/>
          <w:tab w:val="right" w:pos="9637" w:leader="dot"/>
        </w:tabs>
        <w:rPr/>
      </w:pPr>
      <w:hyperlink w:anchor="_Toc3844" w:tgtFrame="#_Toc3844">
        <w:r>
          <w:rPr>
            <w:shd w:fill="auto" w:val="clear"/>
          </w:rPr>
          <w:t>Article 1 - OBJET ET DUREE DU MARCHE</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_Toc3844 \h</w:instrText>
        </w:r>
        <w:r>
          <w:rPr>
            <w:webHidden/>
          </w:rPr>
          <w:fldChar w:fldCharType="separate"/>
        </w:r>
        <w:r>
          <w:rPr>
            <w:shd w:fill="auto" w:val="clear"/>
          </w:rPr>
          <w:fldChar w:fldCharType="begin"/>
        </w:r>
        <w:r>
          <w:rPr>
            <w:webHidden/>
          </w:rPr>
          <w:fldChar w:fldCharType="end"/>
        </w:r>
        <w:r>
          <w:rPr>
            <w:shd w:fill="auto" w:val="clear"/>
          </w:rPr>
          <w:instrText> PAGEREF _Toc3844 \h </w:instrText>
        </w:r>
        <w:r>
          <w:rPr>
            <w:shd w:fill="auto" w:val="clear"/>
          </w:rPr>
          <w:fldChar w:fldCharType="separate"/>
        </w:r>
        <w:r>
          <w:rPr>
            <w:shd w:fill="auto" w:val="clear"/>
          </w:rPr>
          <w:t>4</w:t>
        </w:r>
        <w:r>
          <w:rPr>
            <w:shd w:fill="auto" w:val="clear"/>
          </w:rPr>
          <w:fldChar w:fldCharType="end"/>
        </w:r>
      </w:hyperlink>
    </w:p>
    <w:p>
      <w:pPr>
        <w:pStyle w:val="Tabledesmatiresniveau2"/>
        <w:tabs>
          <w:tab w:val="clear" w:pos="706"/>
          <w:tab w:val="right" w:pos="8290" w:leader="dot"/>
        </w:tabs>
        <w:rPr/>
      </w:pPr>
      <w:hyperlink w:anchor="_Toc3845" w:tgtFrame="#_Toc3845">
        <w:r>
          <w:rPr>
            <w:shd w:fill="auto" w:val="clear"/>
          </w:rPr>
          <w:t>1.1 Intitulé et Objet des prestations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_Toc3845 \h</w:instrText>
        </w:r>
        <w:r>
          <w:rPr>
            <w:webHidden/>
          </w:rPr>
          <w:fldChar w:fldCharType="separate"/>
        </w:r>
        <w:r>
          <w:rPr>
            <w:shd w:fill="auto" w:val="clear"/>
          </w:rPr>
          <w:fldChar w:fldCharType="begin"/>
        </w:r>
        <w:r>
          <w:rPr>
            <w:webHidden/>
          </w:rPr>
          <w:fldChar w:fldCharType="end"/>
        </w:r>
        <w:r>
          <w:rPr>
            <w:shd w:fill="auto" w:val="clear"/>
          </w:rPr>
          <w:instrText> PAGEREF _Toc3845 \h </w:instrText>
        </w:r>
        <w:r>
          <w:rPr>
            <w:shd w:fill="auto" w:val="clear"/>
          </w:rPr>
          <w:fldChar w:fldCharType="separate"/>
        </w:r>
        <w:r>
          <w:rPr>
            <w:shd w:fill="auto" w:val="clear"/>
          </w:rPr>
          <w:t>4</w:t>
        </w:r>
        <w:r>
          <w:rPr>
            <w:shd w:fill="auto" w:val="clear"/>
          </w:rPr>
          <w:fldChar w:fldCharType="end"/>
        </w:r>
      </w:hyperlink>
    </w:p>
    <w:p>
      <w:pPr>
        <w:pStyle w:val="Tabledesmatiresniveau2"/>
        <w:tabs>
          <w:tab w:val="clear" w:pos="706"/>
          <w:tab w:val="right" w:pos="8290" w:leader="dot"/>
        </w:tabs>
        <w:rPr/>
      </w:pPr>
      <w:hyperlink w:anchor="_Toc3846" w:tgtFrame="#_Toc3846">
        <w:r>
          <w:rPr>
            <w:shd w:fill="auto" w:val="clear"/>
          </w:rPr>
          <w:t>1.2 Procédure</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_Toc3846 \h</w:instrText>
        </w:r>
        <w:r>
          <w:rPr>
            <w:webHidden/>
          </w:rPr>
          <w:fldChar w:fldCharType="separate"/>
        </w:r>
        <w:r>
          <w:rPr>
            <w:shd w:fill="auto" w:val="clear"/>
          </w:rPr>
          <w:fldChar w:fldCharType="begin"/>
        </w:r>
        <w:r>
          <w:rPr>
            <w:webHidden/>
          </w:rPr>
          <w:fldChar w:fldCharType="end"/>
        </w:r>
        <w:r>
          <w:rPr>
            <w:shd w:fill="auto" w:val="clear"/>
          </w:rPr>
          <w:instrText> PAGEREF _Toc3846 \h </w:instrText>
        </w:r>
        <w:r>
          <w:rPr>
            <w:shd w:fill="auto" w:val="clear"/>
          </w:rPr>
          <w:fldChar w:fldCharType="separate"/>
        </w:r>
        <w:r>
          <w:rPr>
            <w:shd w:fill="auto" w:val="clear"/>
          </w:rPr>
          <w:t>4</w:t>
        </w:r>
        <w:r>
          <w:rPr>
            <w:shd w:fill="auto" w:val="clear"/>
          </w:rPr>
          <w:fldChar w:fldCharType="end"/>
        </w:r>
      </w:hyperlink>
    </w:p>
    <w:p>
      <w:pPr>
        <w:pStyle w:val="Tabledesmatiresniveau2"/>
        <w:tabs>
          <w:tab w:val="clear" w:pos="706"/>
          <w:tab w:val="right" w:pos="8290" w:leader="dot"/>
        </w:tabs>
        <w:rPr/>
      </w:pPr>
      <w:hyperlink w:anchor="_Toc3847" w:tgtFrame="#_Toc3847">
        <w:r>
          <w:rPr>
            <w:shd w:fill="auto" w:val="clear"/>
          </w:rPr>
          <w:t>1.3 Décomposition en Lots, Tranches et postes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_Toc3847 \h</w:instrText>
        </w:r>
        <w:r>
          <w:rPr>
            <w:webHidden/>
          </w:rPr>
          <w:fldChar w:fldCharType="separate"/>
        </w:r>
        <w:r>
          <w:rPr>
            <w:shd w:fill="auto" w:val="clear"/>
          </w:rPr>
          <w:fldChar w:fldCharType="begin"/>
        </w:r>
        <w:r>
          <w:rPr>
            <w:webHidden/>
          </w:rPr>
          <w:fldChar w:fldCharType="end"/>
        </w:r>
        <w:r>
          <w:rPr>
            <w:shd w:fill="auto" w:val="clear"/>
          </w:rPr>
          <w:instrText> PAGEREF _Toc3847 \h </w:instrText>
        </w:r>
        <w:r>
          <w:rPr>
            <w:shd w:fill="auto" w:val="clear"/>
          </w:rPr>
          <w:fldChar w:fldCharType="separate"/>
        </w:r>
        <w:r>
          <w:rPr>
            <w:shd w:fill="auto" w:val="clear"/>
          </w:rPr>
          <w:t>4</w:t>
        </w:r>
        <w:r>
          <w:rPr>
            <w:shd w:fill="auto" w:val="clear"/>
          </w:rPr>
          <w:fldChar w:fldCharType="end"/>
        </w:r>
      </w:hyperlink>
    </w:p>
    <w:p>
      <w:pPr>
        <w:pStyle w:val="Tabledesmatiresniveau3"/>
        <w:tabs>
          <w:tab w:val="right" w:pos="8290" w:leader="dot"/>
          <w:tab w:val="right" w:pos="9241" w:leader="dot"/>
        </w:tabs>
        <w:rPr/>
      </w:pPr>
      <w:hyperlink w:anchor="_Toc3848" w:tgtFrame="#_Toc3848">
        <w:r>
          <w:rPr>
            <w:shd w:fill="auto" w:val="clear"/>
          </w:rPr>
          <w:t>1.3.1 Décomposition en lots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_Toc3848 \h</w:instrText>
        </w:r>
        <w:r>
          <w:rPr>
            <w:webHidden/>
          </w:rPr>
          <w:fldChar w:fldCharType="separate"/>
        </w:r>
        <w:r>
          <w:rPr>
            <w:shd w:fill="auto" w:val="clear"/>
          </w:rPr>
          <w:fldChar w:fldCharType="begin"/>
        </w:r>
        <w:r>
          <w:rPr>
            <w:webHidden/>
          </w:rPr>
          <w:fldChar w:fldCharType="end"/>
        </w:r>
        <w:r>
          <w:rPr>
            <w:shd w:fill="auto" w:val="clear"/>
          </w:rPr>
          <w:instrText> PAGEREF _Toc3848 \h </w:instrText>
        </w:r>
        <w:r>
          <w:rPr>
            <w:shd w:fill="auto" w:val="clear"/>
          </w:rPr>
          <w:fldChar w:fldCharType="separate"/>
        </w:r>
        <w:r>
          <w:rPr>
            <w:shd w:fill="auto" w:val="clear"/>
          </w:rPr>
          <w:t>4</w:t>
        </w:r>
        <w:r>
          <w:rPr>
            <w:shd w:fill="auto" w:val="clear"/>
          </w:rPr>
          <w:fldChar w:fldCharType="end"/>
        </w:r>
      </w:hyperlink>
    </w:p>
    <w:p>
      <w:pPr>
        <w:pStyle w:val="Tabledesmatiresniveau3"/>
        <w:tabs>
          <w:tab w:val="right" w:pos="8290" w:leader="dot"/>
          <w:tab w:val="right" w:pos="9241" w:leader="dot"/>
        </w:tabs>
        <w:rPr/>
      </w:pPr>
      <w:hyperlink w:anchor="_Toc3849" w:tgtFrame="#_Toc3849">
        <w:r>
          <w:rPr>
            <w:shd w:fill="auto" w:val="clear"/>
          </w:rPr>
          <w:t>1.3.2 Décomposition en tranches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_Toc3849 \h</w:instrText>
        </w:r>
        <w:r>
          <w:rPr>
            <w:webHidden/>
          </w:rPr>
          <w:fldChar w:fldCharType="separate"/>
        </w:r>
        <w:r>
          <w:rPr>
            <w:shd w:fill="auto" w:val="clear"/>
          </w:rPr>
          <w:fldChar w:fldCharType="begin"/>
        </w:r>
        <w:r>
          <w:rPr>
            <w:webHidden/>
          </w:rPr>
          <w:fldChar w:fldCharType="end"/>
        </w:r>
        <w:r>
          <w:rPr>
            <w:shd w:fill="auto" w:val="clear"/>
          </w:rPr>
          <w:instrText> PAGEREF _Toc3849 \h </w:instrText>
        </w:r>
        <w:r>
          <w:rPr>
            <w:shd w:fill="auto" w:val="clear"/>
          </w:rPr>
          <w:fldChar w:fldCharType="separate"/>
        </w:r>
        <w:r>
          <w:rPr>
            <w:shd w:fill="auto" w:val="clear"/>
          </w:rPr>
          <w:t>4</w:t>
        </w:r>
        <w:r>
          <w:rPr>
            <w:shd w:fill="auto" w:val="clear"/>
          </w:rPr>
          <w:fldChar w:fldCharType="end"/>
        </w:r>
      </w:hyperlink>
    </w:p>
    <w:p>
      <w:pPr>
        <w:pStyle w:val="Tabledesmatiresniveau3"/>
        <w:tabs>
          <w:tab w:val="right" w:pos="8290" w:leader="dot"/>
          <w:tab w:val="right" w:pos="9241" w:leader="dot"/>
        </w:tabs>
        <w:rPr/>
      </w:pPr>
      <w:hyperlink w:anchor="_Toc3850" w:tgtFrame="#_Toc3850">
        <w:r>
          <w:rPr>
            <w:shd w:fill="auto" w:val="clear"/>
          </w:rPr>
          <w:t>1.3.3 Décomposition en postes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_Toc3850 \h</w:instrText>
        </w:r>
        <w:r>
          <w:rPr>
            <w:webHidden/>
          </w:rPr>
          <w:fldChar w:fldCharType="separate"/>
        </w:r>
        <w:r>
          <w:rPr>
            <w:shd w:fill="auto" w:val="clear"/>
          </w:rPr>
          <w:fldChar w:fldCharType="begin"/>
        </w:r>
        <w:r>
          <w:rPr>
            <w:webHidden/>
          </w:rPr>
          <w:fldChar w:fldCharType="end"/>
        </w:r>
        <w:r>
          <w:rPr>
            <w:shd w:fill="auto" w:val="clear"/>
          </w:rPr>
          <w:instrText> PAGEREF _Toc3850 \h </w:instrText>
        </w:r>
        <w:r>
          <w:rPr>
            <w:shd w:fill="auto" w:val="clear"/>
          </w:rPr>
          <w:fldChar w:fldCharType="separate"/>
        </w:r>
        <w:r>
          <w:rPr>
            <w:shd w:fill="auto" w:val="clear"/>
          </w:rPr>
          <w:t>4</w:t>
        </w:r>
        <w:r>
          <w:rPr>
            <w:shd w:fill="auto" w:val="clear"/>
          </w:rPr>
          <w:fldChar w:fldCharType="end"/>
        </w:r>
      </w:hyperlink>
    </w:p>
    <w:p>
      <w:pPr>
        <w:pStyle w:val="Tabledesmatiresniveau2"/>
        <w:tabs>
          <w:tab w:val="clear" w:pos="706"/>
          <w:tab w:val="right" w:pos="8290" w:leader="dot"/>
        </w:tabs>
        <w:rPr/>
      </w:pPr>
      <w:hyperlink w:anchor="_Toc3851" w:tgtFrame="#_Toc3851">
        <w:r>
          <w:rPr>
            <w:shd w:fill="auto" w:val="clear"/>
          </w:rPr>
          <w:t>1.4 Modalités d'exécution des tranches optionnelles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_Toc3851 \h</w:instrText>
        </w:r>
        <w:r>
          <w:rPr>
            <w:webHidden/>
          </w:rPr>
          <w:fldChar w:fldCharType="separate"/>
        </w:r>
        <w:r>
          <w:rPr>
            <w:shd w:fill="auto" w:val="clear"/>
          </w:rPr>
          <w:fldChar w:fldCharType="begin"/>
        </w:r>
        <w:r>
          <w:rPr>
            <w:webHidden/>
          </w:rPr>
          <w:fldChar w:fldCharType="end"/>
        </w:r>
        <w:r>
          <w:rPr>
            <w:shd w:fill="auto" w:val="clear"/>
          </w:rPr>
          <w:instrText> PAGEREF _Toc3851 \h </w:instrText>
        </w:r>
        <w:r>
          <w:rPr>
            <w:shd w:fill="auto" w:val="clear"/>
          </w:rPr>
          <w:fldChar w:fldCharType="separate"/>
        </w:r>
        <w:r>
          <w:rPr>
            <w:shd w:fill="auto" w:val="clear"/>
          </w:rPr>
          <w:t>4</w:t>
        </w:r>
        <w:r>
          <w:rPr>
            <w:shd w:fill="auto" w:val="clear"/>
          </w:rPr>
          <w:fldChar w:fldCharType="end"/>
        </w:r>
      </w:hyperlink>
    </w:p>
    <w:p>
      <w:pPr>
        <w:pStyle w:val="Tabledesmatiresniveau2"/>
        <w:tabs>
          <w:tab w:val="clear" w:pos="706"/>
          <w:tab w:val="right" w:pos="8290" w:leader="dot"/>
        </w:tabs>
        <w:rPr/>
      </w:pPr>
      <w:hyperlink w:anchor="_Toc3852" w:tgtFrame="#_Toc3852">
        <w:r>
          <w:rPr>
            <w:shd w:fill="auto" w:val="clear"/>
          </w:rPr>
          <w:t>1.5 Accord-cadre à bons de commande</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_Toc3852 \h</w:instrText>
        </w:r>
        <w:r>
          <w:rPr>
            <w:webHidden/>
          </w:rPr>
          <w:fldChar w:fldCharType="separate"/>
        </w:r>
        <w:r>
          <w:rPr>
            <w:shd w:fill="auto" w:val="clear"/>
          </w:rPr>
          <w:fldChar w:fldCharType="begin"/>
        </w:r>
        <w:r>
          <w:rPr>
            <w:webHidden/>
          </w:rPr>
          <w:fldChar w:fldCharType="end"/>
        </w:r>
        <w:r>
          <w:rPr>
            <w:shd w:fill="auto" w:val="clear"/>
          </w:rPr>
          <w:instrText> PAGEREF _Toc3852 \h </w:instrText>
        </w:r>
        <w:r>
          <w:rPr>
            <w:shd w:fill="auto" w:val="clear"/>
          </w:rPr>
          <w:fldChar w:fldCharType="separate"/>
        </w:r>
        <w:r>
          <w:rPr>
            <w:shd w:fill="auto" w:val="clear"/>
          </w:rPr>
          <w:t>4</w:t>
        </w:r>
        <w:r>
          <w:rPr>
            <w:shd w:fill="auto" w:val="clear"/>
          </w:rPr>
          <w:fldChar w:fldCharType="end"/>
        </w:r>
      </w:hyperlink>
    </w:p>
    <w:p>
      <w:pPr>
        <w:pStyle w:val="Tabledesmatiresniveau2"/>
        <w:tabs>
          <w:tab w:val="clear" w:pos="706"/>
          <w:tab w:val="right" w:pos="8290" w:leader="dot"/>
        </w:tabs>
        <w:rPr/>
      </w:pPr>
      <w:hyperlink w:anchor="_Toc3853" w:tgtFrame="#_Toc3853">
        <w:r>
          <w:rPr>
            <w:shd w:fill="auto" w:val="clear"/>
          </w:rPr>
          <w:t>1.6 Date d'effet du marché</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_Toc3853 \h</w:instrText>
        </w:r>
        <w:r>
          <w:rPr>
            <w:webHidden/>
          </w:rPr>
          <w:fldChar w:fldCharType="separate"/>
        </w:r>
        <w:r>
          <w:rPr>
            <w:shd w:fill="auto" w:val="clear"/>
          </w:rPr>
          <w:fldChar w:fldCharType="begin"/>
        </w:r>
        <w:r>
          <w:rPr>
            <w:webHidden/>
          </w:rPr>
          <w:fldChar w:fldCharType="end"/>
        </w:r>
        <w:r>
          <w:rPr>
            <w:shd w:fill="auto" w:val="clear"/>
          </w:rPr>
          <w:instrText> PAGEREF _Toc3853 \h </w:instrText>
        </w:r>
        <w:r>
          <w:rPr>
            <w:shd w:fill="auto" w:val="clear"/>
          </w:rPr>
          <w:fldChar w:fldCharType="separate"/>
        </w:r>
        <w:r>
          <w:rPr>
            <w:shd w:fill="auto" w:val="clear"/>
          </w:rPr>
          <w:t>5</w:t>
        </w:r>
        <w:r>
          <w:rPr>
            <w:shd w:fill="auto" w:val="clear"/>
          </w:rPr>
          <w:fldChar w:fldCharType="end"/>
        </w:r>
      </w:hyperlink>
    </w:p>
    <w:p>
      <w:pPr>
        <w:pStyle w:val="Tabledesmatiresniveau2"/>
        <w:tabs>
          <w:tab w:val="clear" w:pos="706"/>
          <w:tab w:val="right" w:pos="8290" w:leader="dot"/>
        </w:tabs>
        <w:rPr/>
      </w:pPr>
      <w:hyperlink w:anchor="_Toc3854" w:tgtFrame="#_Toc3854">
        <w:r>
          <w:rPr>
            <w:shd w:fill="auto" w:val="clear"/>
          </w:rPr>
          <w:t>1.7 Durée du marché - Période de validité</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_Toc3854 \h</w:instrText>
        </w:r>
        <w:r>
          <w:rPr>
            <w:webHidden/>
          </w:rPr>
          <w:fldChar w:fldCharType="separate"/>
        </w:r>
        <w:r>
          <w:rPr>
            <w:shd w:fill="auto" w:val="clear"/>
          </w:rPr>
          <w:fldChar w:fldCharType="begin"/>
        </w:r>
        <w:r>
          <w:rPr>
            <w:webHidden/>
          </w:rPr>
          <w:fldChar w:fldCharType="end"/>
        </w:r>
        <w:r>
          <w:rPr>
            <w:shd w:fill="auto" w:val="clear"/>
          </w:rPr>
          <w:instrText> PAGEREF _Toc3854 \h </w:instrText>
        </w:r>
        <w:r>
          <w:rPr>
            <w:shd w:fill="auto" w:val="clear"/>
          </w:rPr>
          <w:fldChar w:fldCharType="separate"/>
        </w:r>
        <w:r>
          <w:rPr>
            <w:shd w:fill="auto" w:val="clear"/>
          </w:rPr>
          <w:t>5</w:t>
        </w:r>
        <w:r>
          <w:rPr>
            <w:shd w:fill="auto" w:val="clear"/>
          </w:rPr>
          <w:fldChar w:fldCharType="end"/>
        </w:r>
      </w:hyperlink>
    </w:p>
    <w:p>
      <w:pPr>
        <w:pStyle w:val="Tabledesmatiresniveau2"/>
        <w:tabs>
          <w:tab w:val="clear" w:pos="706"/>
          <w:tab w:val="right" w:pos="8290" w:leader="dot"/>
        </w:tabs>
        <w:rPr/>
      </w:pPr>
      <w:hyperlink w:anchor="_Toc3855" w:tgtFrame="#_Toc3855">
        <w:r>
          <w:rPr>
            <w:shd w:fill="auto" w:val="clear"/>
          </w:rPr>
          <w:t>1.8 Clause obligatoire d'insertion par l'activité économique</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_Toc3855 \h</w:instrText>
        </w:r>
        <w:r>
          <w:rPr>
            <w:webHidden/>
          </w:rPr>
          <w:fldChar w:fldCharType="separate"/>
        </w:r>
        <w:r>
          <w:rPr>
            <w:shd w:fill="auto" w:val="clear"/>
          </w:rPr>
          <w:fldChar w:fldCharType="begin"/>
        </w:r>
        <w:r>
          <w:rPr>
            <w:webHidden/>
          </w:rPr>
          <w:fldChar w:fldCharType="end"/>
        </w:r>
        <w:r>
          <w:rPr>
            <w:shd w:fill="auto" w:val="clear"/>
          </w:rPr>
          <w:instrText> PAGEREF _Toc3855 \h </w:instrText>
        </w:r>
        <w:r>
          <w:rPr>
            <w:shd w:fill="auto" w:val="clear"/>
          </w:rPr>
          <w:fldChar w:fldCharType="separate"/>
        </w:r>
        <w:r>
          <w:rPr>
            <w:shd w:fill="auto" w:val="clear"/>
          </w:rPr>
          <w:t>5</w:t>
        </w:r>
        <w:r>
          <w:rPr>
            <w:shd w:fill="auto" w:val="clear"/>
          </w:rPr>
          <w:fldChar w:fldCharType="end"/>
        </w:r>
      </w:hyperlink>
    </w:p>
    <w:p>
      <w:pPr>
        <w:pStyle w:val="Tabledesmatiresniveau2"/>
        <w:tabs>
          <w:tab w:val="clear" w:pos="706"/>
          <w:tab w:val="right" w:pos="8290" w:leader="dot"/>
        </w:tabs>
        <w:rPr/>
      </w:pPr>
      <w:hyperlink w:anchor="_Toc3856" w:tgtFrame="#_Toc3856">
        <w:r>
          <w:rPr>
            <w:shd w:fill="auto" w:val="clear"/>
          </w:rPr>
          <w:t>1.9 Réemploi, réutilisation ou intégration de matières recyclées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_Toc3856 \h</w:instrText>
        </w:r>
        <w:r>
          <w:rPr>
            <w:webHidden/>
          </w:rPr>
          <w:fldChar w:fldCharType="separate"/>
        </w:r>
        <w:r>
          <w:rPr>
            <w:shd w:fill="auto" w:val="clear"/>
          </w:rPr>
          <w:fldChar w:fldCharType="begin"/>
        </w:r>
        <w:r>
          <w:rPr>
            <w:webHidden/>
          </w:rPr>
          <w:fldChar w:fldCharType="end"/>
        </w:r>
        <w:r>
          <w:rPr>
            <w:shd w:fill="auto" w:val="clear"/>
          </w:rPr>
          <w:instrText> PAGEREF _Toc3856 \h </w:instrText>
        </w:r>
        <w:r>
          <w:rPr>
            <w:shd w:fill="auto" w:val="clear"/>
          </w:rPr>
          <w:fldChar w:fldCharType="separate"/>
        </w:r>
        <w:r>
          <w:rPr>
            <w:shd w:fill="auto" w:val="clear"/>
          </w:rPr>
          <w:t>5</w:t>
        </w:r>
        <w:r>
          <w:rPr>
            <w:shd w:fill="auto" w:val="clear"/>
          </w:rPr>
          <w:fldChar w:fldCharType="end"/>
        </w:r>
      </w:hyperlink>
    </w:p>
    <w:p>
      <w:pPr>
        <w:pStyle w:val="Tabledesmatiresniveau1"/>
        <w:tabs>
          <w:tab w:val="right" w:pos="8290" w:leader="dot"/>
          <w:tab w:val="right" w:pos="9637" w:leader="dot"/>
        </w:tabs>
        <w:rPr/>
      </w:pPr>
      <w:hyperlink w:anchor="_Toc3857" w:tgtFrame="#_Toc3857">
        <w:r>
          <w:rPr>
            <w:shd w:fill="auto" w:val="clear"/>
          </w:rPr>
          <w:t>Article 2 - DOCUMENTS CONTRACTUELS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_Toc3857 \h</w:instrText>
        </w:r>
        <w:r>
          <w:rPr>
            <w:webHidden/>
          </w:rPr>
          <w:fldChar w:fldCharType="separate"/>
        </w:r>
        <w:r>
          <w:rPr>
            <w:shd w:fill="auto" w:val="clear"/>
          </w:rPr>
          <w:fldChar w:fldCharType="begin"/>
        </w:r>
        <w:r>
          <w:rPr>
            <w:webHidden/>
          </w:rPr>
          <w:fldChar w:fldCharType="end"/>
        </w:r>
        <w:r>
          <w:rPr>
            <w:shd w:fill="auto" w:val="clear"/>
          </w:rPr>
          <w:instrText> PAGEREF _Toc3857 \h </w:instrText>
        </w:r>
        <w:r>
          <w:rPr>
            <w:shd w:fill="auto" w:val="clear"/>
          </w:rPr>
          <w:fldChar w:fldCharType="separate"/>
        </w:r>
        <w:r>
          <w:rPr>
            <w:shd w:fill="auto" w:val="clear"/>
          </w:rPr>
          <w:t>5</w:t>
        </w:r>
        <w:r>
          <w:rPr>
            <w:shd w:fill="auto" w:val="clear"/>
          </w:rPr>
          <w:fldChar w:fldCharType="end"/>
        </w:r>
      </w:hyperlink>
    </w:p>
    <w:p>
      <w:pPr>
        <w:pStyle w:val="Tabledesmatiresniveau1"/>
        <w:tabs>
          <w:tab w:val="right" w:pos="8290" w:leader="dot"/>
          <w:tab w:val="right" w:pos="9637" w:leader="dot"/>
        </w:tabs>
        <w:rPr/>
      </w:pPr>
      <w:hyperlink w:anchor="_Toc3858" w:tgtFrame="#_Toc3858">
        <w:r>
          <w:rPr>
            <w:shd w:fill="auto" w:val="clear"/>
          </w:rPr>
          <w:t>Article 3 - DELAIS DE LIVRAISON ET/OU D'EXECUTION</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_Toc3858 \h</w:instrText>
        </w:r>
        <w:r>
          <w:rPr>
            <w:webHidden/>
          </w:rPr>
          <w:fldChar w:fldCharType="separate"/>
        </w:r>
        <w:r>
          <w:rPr>
            <w:shd w:fill="auto" w:val="clear"/>
          </w:rPr>
          <w:fldChar w:fldCharType="begin"/>
        </w:r>
        <w:r>
          <w:rPr>
            <w:webHidden/>
          </w:rPr>
          <w:fldChar w:fldCharType="end"/>
        </w:r>
        <w:r>
          <w:rPr>
            <w:shd w:fill="auto" w:val="clear"/>
          </w:rPr>
          <w:instrText> PAGEREF _Toc3858 \h </w:instrText>
        </w:r>
        <w:r>
          <w:rPr>
            <w:shd w:fill="auto" w:val="clear"/>
          </w:rPr>
          <w:fldChar w:fldCharType="separate"/>
        </w:r>
        <w:r>
          <w:rPr>
            <w:shd w:fill="auto" w:val="clear"/>
          </w:rPr>
          <w:t>6</w:t>
        </w:r>
        <w:r>
          <w:rPr>
            <w:shd w:fill="auto" w:val="clear"/>
          </w:rPr>
          <w:fldChar w:fldCharType="end"/>
        </w:r>
      </w:hyperlink>
    </w:p>
    <w:p>
      <w:pPr>
        <w:pStyle w:val="Tabledesmatiresniveau2"/>
        <w:tabs>
          <w:tab w:val="clear" w:pos="706"/>
          <w:tab w:val="right" w:pos="8290" w:leader="dot"/>
        </w:tabs>
        <w:rPr/>
      </w:pPr>
      <w:hyperlink w:anchor="_Toc3859" w:tgtFrame="#_Toc3859">
        <w:r>
          <w:rPr>
            <w:shd w:fill="auto" w:val="clear"/>
          </w:rPr>
          <w:t>3.1 Délais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_Toc3859 \h</w:instrText>
        </w:r>
        <w:r>
          <w:rPr>
            <w:webHidden/>
          </w:rPr>
          <w:fldChar w:fldCharType="separate"/>
        </w:r>
        <w:r>
          <w:rPr>
            <w:shd w:fill="auto" w:val="clear"/>
          </w:rPr>
          <w:fldChar w:fldCharType="begin"/>
        </w:r>
        <w:r>
          <w:rPr>
            <w:webHidden/>
          </w:rPr>
          <w:fldChar w:fldCharType="end"/>
        </w:r>
        <w:r>
          <w:rPr>
            <w:shd w:fill="auto" w:val="clear"/>
          </w:rPr>
          <w:instrText> PAGEREF _Toc3859 \h </w:instrText>
        </w:r>
        <w:r>
          <w:rPr>
            <w:shd w:fill="auto" w:val="clear"/>
          </w:rPr>
          <w:fldChar w:fldCharType="separate"/>
        </w:r>
        <w:r>
          <w:rPr>
            <w:shd w:fill="auto" w:val="clear"/>
          </w:rPr>
          <w:t>6</w:t>
        </w:r>
        <w:r>
          <w:rPr>
            <w:shd w:fill="auto" w:val="clear"/>
          </w:rPr>
          <w:fldChar w:fldCharType="end"/>
        </w:r>
      </w:hyperlink>
    </w:p>
    <w:p>
      <w:pPr>
        <w:pStyle w:val="Tabledesmatiresniveau2"/>
        <w:tabs>
          <w:tab w:val="clear" w:pos="706"/>
          <w:tab w:val="right" w:pos="8290" w:leader="dot"/>
        </w:tabs>
        <w:rPr/>
      </w:pPr>
      <w:hyperlink w:anchor="_Toc3860" w:tgtFrame="#_Toc3860">
        <w:r>
          <w:rPr>
            <w:shd w:fill="auto" w:val="clear"/>
          </w:rPr>
          <w:t>3.2 Emission des bons de commande</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_Toc3860 \h</w:instrText>
        </w:r>
        <w:r>
          <w:rPr>
            <w:webHidden/>
          </w:rPr>
          <w:fldChar w:fldCharType="separate"/>
        </w:r>
        <w:r>
          <w:rPr>
            <w:shd w:fill="auto" w:val="clear"/>
          </w:rPr>
          <w:fldChar w:fldCharType="begin"/>
        </w:r>
        <w:r>
          <w:rPr>
            <w:webHidden/>
          </w:rPr>
          <w:fldChar w:fldCharType="end"/>
        </w:r>
        <w:r>
          <w:rPr>
            <w:shd w:fill="auto" w:val="clear"/>
          </w:rPr>
          <w:instrText> PAGEREF _Toc3860 \h </w:instrText>
        </w:r>
        <w:r>
          <w:rPr>
            <w:shd w:fill="auto" w:val="clear"/>
          </w:rPr>
          <w:fldChar w:fldCharType="separate"/>
        </w:r>
        <w:r>
          <w:rPr>
            <w:shd w:fill="auto" w:val="clear"/>
          </w:rPr>
          <w:t>6</w:t>
        </w:r>
        <w:r>
          <w:rPr>
            <w:shd w:fill="auto" w:val="clear"/>
          </w:rPr>
          <w:fldChar w:fldCharType="end"/>
        </w:r>
      </w:hyperlink>
    </w:p>
    <w:p>
      <w:pPr>
        <w:pStyle w:val="Tabledesmatiresniveau1"/>
        <w:tabs>
          <w:tab w:val="right" w:pos="8290" w:leader="dot"/>
          <w:tab w:val="right" w:pos="9637" w:leader="dot"/>
        </w:tabs>
        <w:rPr/>
      </w:pPr>
      <w:hyperlink w:anchor="_Toc3861" w:tgtFrame="#_Toc3861">
        <w:r>
          <w:rPr>
            <w:shd w:fill="auto" w:val="clear"/>
          </w:rPr>
          <w:t>Article 4 - ENTREPRISES GROUPEES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_Toc3861 \h</w:instrText>
        </w:r>
        <w:r>
          <w:rPr>
            <w:webHidden/>
          </w:rPr>
          <w:fldChar w:fldCharType="separate"/>
        </w:r>
        <w:r>
          <w:rPr>
            <w:shd w:fill="auto" w:val="clear"/>
          </w:rPr>
          <w:fldChar w:fldCharType="begin"/>
        </w:r>
        <w:r>
          <w:rPr>
            <w:webHidden/>
          </w:rPr>
          <w:fldChar w:fldCharType="end"/>
        </w:r>
        <w:r>
          <w:rPr>
            <w:shd w:fill="auto" w:val="clear"/>
          </w:rPr>
          <w:instrText> PAGEREF _Toc3861 \h </w:instrText>
        </w:r>
        <w:r>
          <w:rPr>
            <w:shd w:fill="auto" w:val="clear"/>
          </w:rPr>
          <w:fldChar w:fldCharType="separate"/>
        </w:r>
        <w:r>
          <w:rPr>
            <w:shd w:fill="auto" w:val="clear"/>
          </w:rPr>
          <w:t>6</w:t>
        </w:r>
        <w:r>
          <w:rPr>
            <w:shd w:fill="auto" w:val="clear"/>
          </w:rPr>
          <w:fldChar w:fldCharType="end"/>
        </w:r>
      </w:hyperlink>
    </w:p>
    <w:p>
      <w:pPr>
        <w:pStyle w:val="Tabledesmatiresniveau1"/>
        <w:tabs>
          <w:tab w:val="right" w:pos="8290" w:leader="dot"/>
          <w:tab w:val="right" w:pos="9637" w:leader="dot"/>
        </w:tabs>
        <w:rPr/>
      </w:pPr>
      <w:hyperlink w:anchor="_Toc3862" w:tgtFrame="#_Toc3862">
        <w:r>
          <w:rPr>
            <w:shd w:fill="auto" w:val="clear"/>
          </w:rPr>
          <w:t>Article 5 - CONDITIONS DE LIVRAISON ET D'EXECUTION</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_Toc3862 \h</w:instrText>
        </w:r>
        <w:r>
          <w:rPr>
            <w:webHidden/>
          </w:rPr>
          <w:fldChar w:fldCharType="separate"/>
        </w:r>
        <w:r>
          <w:rPr>
            <w:shd w:fill="auto" w:val="clear"/>
          </w:rPr>
          <w:fldChar w:fldCharType="begin"/>
        </w:r>
        <w:r>
          <w:rPr>
            <w:webHidden/>
          </w:rPr>
          <w:fldChar w:fldCharType="end"/>
        </w:r>
        <w:r>
          <w:rPr>
            <w:shd w:fill="auto" w:val="clear"/>
          </w:rPr>
          <w:instrText> PAGEREF _Toc3862 \h </w:instrText>
        </w:r>
        <w:r>
          <w:rPr>
            <w:shd w:fill="auto" w:val="clear"/>
          </w:rPr>
          <w:fldChar w:fldCharType="separate"/>
        </w:r>
        <w:r>
          <w:rPr>
            <w:shd w:fill="auto" w:val="clear"/>
          </w:rPr>
          <w:t>6</w:t>
        </w:r>
        <w:r>
          <w:rPr>
            <w:shd w:fill="auto" w:val="clear"/>
          </w:rPr>
          <w:fldChar w:fldCharType="end"/>
        </w:r>
      </w:hyperlink>
    </w:p>
    <w:p>
      <w:pPr>
        <w:pStyle w:val="Tabledesmatiresniveau2"/>
        <w:tabs>
          <w:tab w:val="clear" w:pos="706"/>
          <w:tab w:val="right" w:pos="8290" w:leader="dot"/>
        </w:tabs>
        <w:rPr/>
      </w:pPr>
      <w:hyperlink w:anchor="_Toc3863" w:tgtFrame="#_Toc3863">
        <w:r>
          <w:rPr>
            <w:shd w:fill="auto" w:val="clear"/>
          </w:rPr>
          <w:t>5.1 Transport  et Emballages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_Toc3863 \h</w:instrText>
        </w:r>
        <w:r>
          <w:rPr>
            <w:webHidden/>
          </w:rPr>
          <w:fldChar w:fldCharType="separate"/>
        </w:r>
        <w:r>
          <w:rPr>
            <w:shd w:fill="auto" w:val="clear"/>
          </w:rPr>
          <w:fldChar w:fldCharType="begin"/>
        </w:r>
        <w:r>
          <w:rPr>
            <w:webHidden/>
          </w:rPr>
          <w:fldChar w:fldCharType="end"/>
        </w:r>
        <w:r>
          <w:rPr>
            <w:shd w:fill="auto" w:val="clear"/>
          </w:rPr>
          <w:instrText> PAGEREF _Toc3863 \h </w:instrText>
        </w:r>
        <w:r>
          <w:rPr>
            <w:shd w:fill="auto" w:val="clear"/>
          </w:rPr>
          <w:fldChar w:fldCharType="separate"/>
        </w:r>
        <w:r>
          <w:rPr>
            <w:shd w:fill="auto" w:val="clear"/>
          </w:rPr>
          <w:t>6</w:t>
        </w:r>
        <w:r>
          <w:rPr>
            <w:shd w:fill="auto" w:val="clear"/>
          </w:rPr>
          <w:fldChar w:fldCharType="end"/>
        </w:r>
      </w:hyperlink>
    </w:p>
    <w:p>
      <w:pPr>
        <w:pStyle w:val="Tabledesmatiresniveau2"/>
        <w:tabs>
          <w:tab w:val="clear" w:pos="706"/>
          <w:tab w:val="right" w:pos="8290" w:leader="dot"/>
        </w:tabs>
        <w:rPr/>
      </w:pPr>
      <w:hyperlink w:anchor="_Toc3864" w:tgtFrame="#_Toc3864">
        <w:r>
          <w:rPr>
            <w:shd w:fill="auto" w:val="clear"/>
          </w:rPr>
          <w:t>5.2 Lieux d'exécution ou de livraison</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_Toc3864 \h</w:instrText>
        </w:r>
        <w:r>
          <w:rPr>
            <w:webHidden/>
          </w:rPr>
          <w:fldChar w:fldCharType="separate"/>
        </w:r>
        <w:r>
          <w:rPr>
            <w:shd w:fill="auto" w:val="clear"/>
          </w:rPr>
          <w:fldChar w:fldCharType="begin"/>
        </w:r>
        <w:r>
          <w:rPr>
            <w:webHidden/>
          </w:rPr>
          <w:fldChar w:fldCharType="end"/>
        </w:r>
        <w:r>
          <w:rPr>
            <w:shd w:fill="auto" w:val="clear"/>
          </w:rPr>
          <w:instrText> PAGEREF _Toc3864 \h </w:instrText>
        </w:r>
        <w:r>
          <w:rPr>
            <w:shd w:fill="auto" w:val="clear"/>
          </w:rPr>
          <w:fldChar w:fldCharType="separate"/>
        </w:r>
        <w:r>
          <w:rPr>
            <w:shd w:fill="auto" w:val="clear"/>
          </w:rPr>
          <w:t>6</w:t>
        </w:r>
        <w:r>
          <w:rPr>
            <w:shd w:fill="auto" w:val="clear"/>
          </w:rPr>
          <w:fldChar w:fldCharType="end"/>
        </w:r>
      </w:hyperlink>
    </w:p>
    <w:p>
      <w:pPr>
        <w:pStyle w:val="Tabledesmatiresniveau1"/>
        <w:tabs>
          <w:tab w:val="right" w:pos="8290" w:leader="dot"/>
          <w:tab w:val="right" w:pos="9637" w:leader="dot"/>
        </w:tabs>
        <w:rPr/>
      </w:pPr>
      <w:hyperlink w:anchor="_Toc3865" w:tgtFrame="#_Toc3865">
        <w:r>
          <w:rPr>
            <w:shd w:fill="auto" w:val="clear"/>
          </w:rPr>
          <w:t>Article 6 - CONDITIONS PARTICULIERES D'EXECUTION</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_Toc3865 \h</w:instrText>
        </w:r>
        <w:r>
          <w:rPr>
            <w:webHidden/>
          </w:rPr>
          <w:fldChar w:fldCharType="separate"/>
        </w:r>
        <w:r>
          <w:rPr>
            <w:shd w:fill="auto" w:val="clear"/>
          </w:rPr>
          <w:fldChar w:fldCharType="begin"/>
        </w:r>
        <w:r>
          <w:rPr>
            <w:webHidden/>
          </w:rPr>
          <w:fldChar w:fldCharType="end"/>
        </w:r>
        <w:r>
          <w:rPr>
            <w:shd w:fill="auto" w:val="clear"/>
          </w:rPr>
          <w:instrText> PAGEREF _Toc3865 \h </w:instrText>
        </w:r>
        <w:r>
          <w:rPr>
            <w:shd w:fill="auto" w:val="clear"/>
          </w:rPr>
          <w:fldChar w:fldCharType="separate"/>
        </w:r>
        <w:r>
          <w:rPr>
            <w:shd w:fill="auto" w:val="clear"/>
          </w:rPr>
          <w:t>7</w:t>
        </w:r>
        <w:r>
          <w:rPr>
            <w:shd w:fill="auto" w:val="clear"/>
          </w:rPr>
          <w:fldChar w:fldCharType="end"/>
        </w:r>
      </w:hyperlink>
    </w:p>
    <w:p>
      <w:pPr>
        <w:pStyle w:val="Tabledesmatiresniveau1"/>
        <w:tabs>
          <w:tab w:val="right" w:pos="8290" w:leader="dot"/>
          <w:tab w:val="right" w:pos="9637" w:leader="dot"/>
        </w:tabs>
        <w:rPr/>
      </w:pPr>
      <w:hyperlink w:anchor="_Toc3866" w:tgtFrame="#_Toc3866">
        <w:r>
          <w:rPr>
            <w:shd w:fill="auto" w:val="clear"/>
          </w:rPr>
          <w:t>Article 7 - OPERATIONS DE VERIFICATIONS / ADMISSION</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_Toc3866 \h</w:instrText>
        </w:r>
        <w:r>
          <w:rPr>
            <w:webHidden/>
          </w:rPr>
          <w:fldChar w:fldCharType="separate"/>
        </w:r>
        <w:r>
          <w:rPr>
            <w:shd w:fill="auto" w:val="clear"/>
          </w:rPr>
          <w:fldChar w:fldCharType="begin"/>
        </w:r>
        <w:r>
          <w:rPr>
            <w:webHidden/>
          </w:rPr>
          <w:fldChar w:fldCharType="end"/>
        </w:r>
        <w:r>
          <w:rPr>
            <w:shd w:fill="auto" w:val="clear"/>
          </w:rPr>
          <w:instrText> PAGEREF _Toc3866 \h </w:instrText>
        </w:r>
        <w:r>
          <w:rPr>
            <w:shd w:fill="auto" w:val="clear"/>
          </w:rPr>
          <w:fldChar w:fldCharType="separate"/>
        </w:r>
        <w:r>
          <w:rPr>
            <w:shd w:fill="auto" w:val="clear"/>
          </w:rPr>
          <w:t>7</w:t>
        </w:r>
        <w:r>
          <w:rPr>
            <w:shd w:fill="auto" w:val="clear"/>
          </w:rPr>
          <w:fldChar w:fldCharType="end"/>
        </w:r>
      </w:hyperlink>
    </w:p>
    <w:p>
      <w:pPr>
        <w:pStyle w:val="Tabledesmatiresniveau2"/>
        <w:tabs>
          <w:tab w:val="clear" w:pos="706"/>
          <w:tab w:val="right" w:pos="8290" w:leader="dot"/>
        </w:tabs>
        <w:rPr/>
      </w:pPr>
      <w:hyperlink w:anchor="_Toc3867" w:tgtFrame="#_Toc3867">
        <w:r>
          <w:rPr>
            <w:shd w:fill="auto" w:val="clear"/>
          </w:rPr>
          <w:t>7.1 Vérifications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_Toc3867 \h</w:instrText>
        </w:r>
        <w:r>
          <w:rPr>
            <w:webHidden/>
          </w:rPr>
          <w:fldChar w:fldCharType="separate"/>
        </w:r>
        <w:r>
          <w:rPr>
            <w:shd w:fill="auto" w:val="clear"/>
          </w:rPr>
          <w:fldChar w:fldCharType="begin"/>
        </w:r>
        <w:r>
          <w:rPr>
            <w:webHidden/>
          </w:rPr>
          <w:fldChar w:fldCharType="end"/>
        </w:r>
        <w:r>
          <w:rPr>
            <w:shd w:fill="auto" w:val="clear"/>
          </w:rPr>
          <w:instrText> PAGEREF _Toc3867 \h </w:instrText>
        </w:r>
        <w:r>
          <w:rPr>
            <w:shd w:fill="auto" w:val="clear"/>
          </w:rPr>
          <w:fldChar w:fldCharType="separate"/>
        </w:r>
        <w:r>
          <w:rPr>
            <w:shd w:fill="auto" w:val="clear"/>
          </w:rPr>
          <w:t>7</w:t>
        </w:r>
        <w:r>
          <w:rPr>
            <w:shd w:fill="auto" w:val="clear"/>
          </w:rPr>
          <w:fldChar w:fldCharType="end"/>
        </w:r>
      </w:hyperlink>
    </w:p>
    <w:p>
      <w:pPr>
        <w:pStyle w:val="Tabledesmatiresniveau2"/>
        <w:tabs>
          <w:tab w:val="clear" w:pos="706"/>
          <w:tab w:val="right" w:pos="8290" w:leader="dot"/>
        </w:tabs>
        <w:rPr/>
      </w:pPr>
      <w:hyperlink w:anchor="_Toc3868" w:tgtFrame="#_Toc3868">
        <w:r>
          <w:rPr>
            <w:shd w:fill="auto" w:val="clear"/>
          </w:rPr>
          <w:t>7.2 Admission</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_Toc3868 \h</w:instrText>
        </w:r>
        <w:r>
          <w:rPr>
            <w:webHidden/>
          </w:rPr>
          <w:fldChar w:fldCharType="separate"/>
        </w:r>
        <w:r>
          <w:rPr>
            <w:shd w:fill="auto" w:val="clear"/>
          </w:rPr>
          <w:fldChar w:fldCharType="begin"/>
        </w:r>
        <w:r>
          <w:rPr>
            <w:webHidden/>
          </w:rPr>
          <w:fldChar w:fldCharType="end"/>
        </w:r>
        <w:r>
          <w:rPr>
            <w:shd w:fill="auto" w:val="clear"/>
          </w:rPr>
          <w:instrText> PAGEREF _Toc3868 \h </w:instrText>
        </w:r>
        <w:r>
          <w:rPr>
            <w:shd w:fill="auto" w:val="clear"/>
          </w:rPr>
          <w:fldChar w:fldCharType="separate"/>
        </w:r>
        <w:r>
          <w:rPr>
            <w:shd w:fill="auto" w:val="clear"/>
          </w:rPr>
          <w:t>7</w:t>
        </w:r>
        <w:r>
          <w:rPr>
            <w:shd w:fill="auto" w:val="clear"/>
          </w:rPr>
          <w:fldChar w:fldCharType="end"/>
        </w:r>
      </w:hyperlink>
    </w:p>
    <w:p>
      <w:pPr>
        <w:pStyle w:val="Tabledesmatiresniveau1"/>
        <w:tabs>
          <w:tab w:val="right" w:pos="8290" w:leader="dot"/>
          <w:tab w:val="right" w:pos="9637" w:leader="dot"/>
        </w:tabs>
        <w:rPr/>
      </w:pPr>
      <w:hyperlink w:anchor="_Toc3869" w:tgtFrame="#_Toc3869">
        <w:r>
          <w:rPr>
            <w:webHidden/>
          </w:rPr>
          <w:fldChar w:fldCharType="begin"/>
        </w:r>
        <w:r>
          <w:rPr>
            <w:webHidden/>
          </w:rPr>
          <w:instrText>PAGEREF _Toc3869 \h</w:instrText>
        </w:r>
        <w:r>
          <w:rPr>
            <w:webHidden/>
          </w:rPr>
          <w:fldChar w:fldCharType="separate"/>
        </w:r>
        <w:r>
          <w:rPr>
            <w:vanish/>
          </w:rPr>
          <w:fldChar w:fldCharType="begin"/>
        </w:r>
        <w:r>
          <w:rPr>
            <w:webHidden/>
          </w:rPr>
          <w:fldChar w:fldCharType="end"/>
        </w:r>
        <w:r>
          <w:rPr>
            <w:vanish/>
          </w:rPr>
          <w:instrText> PAGEREF _Toc3869 \h </w:instrText>
        </w:r>
        <w:r>
          <w:rPr>
            <w:vanish/>
          </w:rPr>
          <w:fldChar w:fldCharType="separate"/>
        </w:r>
        <w:r>
          <w:rPr>
            <w:vanish/>
          </w:rPr>
          <w:t>Erreur : source de la référence non trouvée</w:t>
        </w:r>
        <w:r>
          <w:rPr>
            <w:vanish/>
          </w:rPr>
          <w:fldChar w:fldCharType="end"/>
        </w:r>
      </w:hyperlink>
    </w:p>
    <w:p>
      <w:pPr>
        <w:pStyle w:val="Tabledesmatiresniveau2"/>
        <w:tabs>
          <w:tab w:val="clear" w:pos="706"/>
          <w:tab w:val="right" w:pos="8290" w:leader="dot"/>
        </w:tabs>
        <w:rPr/>
      </w:pPr>
      <w:hyperlink w:anchor="_Toc3870" w:tgtFrame="#_Toc3870">
        <w:r>
          <w:rPr>
            <w:webHidden/>
          </w:rPr>
          <w:fldChar w:fldCharType="begin"/>
        </w:r>
        <w:r>
          <w:rPr>
            <w:webHidden/>
          </w:rPr>
          <w:instrText>PAGEREF _Toc3870 \h</w:instrText>
        </w:r>
        <w:r>
          <w:rPr>
            <w:webHidden/>
          </w:rPr>
          <w:fldChar w:fldCharType="separate"/>
        </w:r>
        <w:r>
          <w:rPr>
            <w:vanish/>
          </w:rPr>
          <w:fldChar w:fldCharType="begin"/>
        </w:r>
        <w:r>
          <w:rPr>
            <w:webHidden/>
          </w:rPr>
          <w:fldChar w:fldCharType="end"/>
        </w:r>
        <w:r>
          <w:rPr>
            <w:vanish/>
          </w:rPr>
          <w:instrText> PAGEREF _Toc3870 \h </w:instrText>
        </w:r>
        <w:r>
          <w:rPr>
            <w:vanish/>
          </w:rPr>
          <w:fldChar w:fldCharType="separate"/>
        </w:r>
        <w:r>
          <w:rPr>
            <w:vanish/>
          </w:rPr>
          <w:t>Erreur : source de la référence non trouvée</w:t>
        </w:r>
        <w:r>
          <w:rPr>
            <w:vanish/>
          </w:rPr>
          <w:fldChar w:fldCharType="end"/>
        </w:r>
      </w:hyperlink>
    </w:p>
    <w:p>
      <w:pPr>
        <w:pStyle w:val="Tabledesmatiresniveau2"/>
        <w:tabs>
          <w:tab w:val="clear" w:pos="706"/>
          <w:tab w:val="right" w:pos="8290" w:leader="dot"/>
        </w:tabs>
        <w:rPr/>
      </w:pPr>
      <w:hyperlink w:anchor="_Toc3871" w:tgtFrame="#_Toc3871">
        <w:r>
          <w:rPr>
            <w:webHidden/>
          </w:rPr>
          <w:fldChar w:fldCharType="begin"/>
        </w:r>
        <w:r>
          <w:rPr>
            <w:webHidden/>
          </w:rPr>
          <w:instrText>PAGEREF _Toc3871 \h</w:instrText>
        </w:r>
        <w:r>
          <w:rPr>
            <w:webHidden/>
          </w:rPr>
          <w:fldChar w:fldCharType="separate"/>
        </w:r>
        <w:r>
          <w:rPr>
            <w:vanish/>
          </w:rPr>
          <w:fldChar w:fldCharType="begin"/>
        </w:r>
        <w:r>
          <w:rPr>
            <w:webHidden/>
          </w:rPr>
          <w:fldChar w:fldCharType="end"/>
        </w:r>
        <w:r>
          <w:rPr>
            <w:vanish/>
          </w:rPr>
          <w:instrText> PAGEREF _Toc3871 \h </w:instrText>
        </w:r>
        <w:r>
          <w:rPr>
            <w:vanish/>
          </w:rPr>
          <w:fldChar w:fldCharType="separate"/>
        </w:r>
        <w:r>
          <w:rPr>
            <w:vanish/>
          </w:rPr>
          <w:t>Erreur : source de la référence non trouvée</w:t>
        </w:r>
        <w:r>
          <w:rPr>
            <w:vanish/>
          </w:rPr>
          <w:fldChar w:fldCharType="end"/>
        </w:r>
      </w:hyperlink>
    </w:p>
    <w:p>
      <w:pPr>
        <w:pStyle w:val="Tabledesmatiresniveau1"/>
        <w:tabs>
          <w:tab w:val="right" w:pos="8290" w:leader="dot"/>
          <w:tab w:val="right" w:pos="9637" w:leader="dot"/>
        </w:tabs>
        <w:rPr/>
      </w:pPr>
      <w:hyperlink w:anchor="_Toc4318" w:tgtFrame="#_Toc4318">
        <w:r>
          <w:rPr>
            <w:webHidden/>
          </w:rPr>
          <w:fldChar w:fldCharType="begin"/>
        </w:r>
        <w:r>
          <w:rPr>
            <w:webHidden/>
          </w:rPr>
          <w:instrText>PAGEREF _Toc4318 \h</w:instrText>
        </w:r>
        <w:r>
          <w:rPr>
            <w:webHidden/>
          </w:rPr>
          <w:fldChar w:fldCharType="separate"/>
        </w:r>
        <w:r>
          <w:rPr>
            <w:vanish/>
          </w:rPr>
          <w:fldChar w:fldCharType="begin"/>
        </w:r>
        <w:r>
          <w:rPr>
            <w:webHidden/>
          </w:rPr>
          <w:fldChar w:fldCharType="end"/>
        </w:r>
        <w:r>
          <w:rPr>
            <w:vanish/>
          </w:rPr>
          <w:instrText> PAGEREF _Toc4318 \h </w:instrText>
        </w:r>
        <w:r>
          <w:rPr>
            <w:vanish/>
          </w:rPr>
          <w:fldChar w:fldCharType="separate"/>
        </w:r>
        <w:r>
          <w:rPr>
            <w:vanish/>
          </w:rPr>
          <w:t>Erreur : source de la référence non trouvée</w:t>
        </w:r>
        <w:r>
          <w:rPr>
            <w:vanish/>
          </w:rPr>
          <w:fldChar w:fldCharType="end"/>
        </w:r>
      </w:hyperlink>
    </w:p>
    <w:p>
      <w:pPr>
        <w:pStyle w:val="Tabledesmatiresniveau1"/>
        <w:tabs>
          <w:tab w:val="right" w:pos="8290" w:leader="dot"/>
          <w:tab w:val="right" w:pos="9637" w:leader="dot"/>
        </w:tabs>
        <w:rPr/>
      </w:pPr>
      <w:hyperlink w:anchor="_Toc4557" w:tgtFrame="#_Toc4557">
        <w:r>
          <w:rPr>
            <w:shd w:fill="auto" w:val="clear"/>
          </w:rPr>
          <w:t>Article 10 - CONFIDENTIALITE ET MESURES DE SECURITE</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_Toc4557 \h</w:instrText>
        </w:r>
        <w:r>
          <w:rPr>
            <w:webHidden/>
          </w:rPr>
          <w:fldChar w:fldCharType="separate"/>
        </w:r>
        <w:r>
          <w:rPr>
            <w:shd w:fill="auto" w:val="clear"/>
          </w:rPr>
          <w:fldChar w:fldCharType="begin"/>
        </w:r>
        <w:r>
          <w:rPr>
            <w:webHidden/>
          </w:rPr>
          <w:fldChar w:fldCharType="end"/>
        </w:r>
        <w:r>
          <w:rPr>
            <w:shd w:fill="auto" w:val="clear"/>
          </w:rPr>
          <w:instrText> PAGEREF _Toc4557 \h </w:instrText>
        </w:r>
        <w:r>
          <w:rPr>
            <w:shd w:fill="auto" w:val="clear"/>
          </w:rPr>
          <w:fldChar w:fldCharType="separate"/>
        </w:r>
        <w:r>
          <w:rPr>
            <w:shd w:fill="auto" w:val="clear"/>
          </w:rPr>
          <w:t>7</w:t>
        </w:r>
        <w:r>
          <w:rPr>
            <w:shd w:fill="auto" w:val="clear"/>
          </w:rPr>
          <w:fldChar w:fldCharType="end"/>
        </w:r>
      </w:hyperlink>
    </w:p>
    <w:p>
      <w:pPr>
        <w:pStyle w:val="Tabledesmatiresniveau1"/>
        <w:tabs>
          <w:tab w:val="right" w:pos="8290" w:leader="dot"/>
          <w:tab w:val="right" w:pos="9637" w:leader="dot"/>
        </w:tabs>
        <w:rPr/>
      </w:pPr>
      <w:hyperlink w:anchor="_Toc3872" w:tgtFrame="#_Toc3872">
        <w:r>
          <w:rPr>
            <w:shd w:fill="auto" w:val="clear"/>
          </w:rPr>
          <w:t>Article 11 - MODALITES DE DETERMINATION DES PRIX</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_Toc3872 \h</w:instrText>
        </w:r>
        <w:r>
          <w:rPr>
            <w:webHidden/>
          </w:rPr>
          <w:fldChar w:fldCharType="separate"/>
        </w:r>
        <w:r>
          <w:rPr>
            <w:shd w:fill="auto" w:val="clear"/>
          </w:rPr>
          <w:fldChar w:fldCharType="begin"/>
        </w:r>
        <w:r>
          <w:rPr>
            <w:webHidden/>
          </w:rPr>
          <w:fldChar w:fldCharType="end"/>
        </w:r>
        <w:r>
          <w:rPr>
            <w:shd w:fill="auto" w:val="clear"/>
          </w:rPr>
          <w:instrText> PAGEREF _Toc3872 \h </w:instrText>
        </w:r>
        <w:r>
          <w:rPr>
            <w:shd w:fill="auto" w:val="clear"/>
          </w:rPr>
          <w:fldChar w:fldCharType="separate"/>
        </w:r>
        <w:r>
          <w:rPr>
            <w:shd w:fill="auto" w:val="clear"/>
          </w:rPr>
          <w:t>9</w:t>
        </w:r>
        <w:r>
          <w:rPr>
            <w:shd w:fill="auto" w:val="clear"/>
          </w:rPr>
          <w:fldChar w:fldCharType="end"/>
        </w:r>
      </w:hyperlink>
    </w:p>
    <w:p>
      <w:pPr>
        <w:pStyle w:val="Tabledesmatiresniveau2"/>
        <w:tabs>
          <w:tab w:val="clear" w:pos="706"/>
          <w:tab w:val="right" w:pos="8290" w:leader="dot"/>
        </w:tabs>
        <w:rPr/>
      </w:pPr>
      <w:hyperlink w:anchor="_Toc3873" w:tgtFrame="#_Toc3873">
        <w:r>
          <w:rPr>
            <w:shd w:fill="auto" w:val="clear"/>
          </w:rPr>
          <w:t>11.1 Nature du prix</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_Toc3873 \h</w:instrText>
        </w:r>
        <w:r>
          <w:rPr>
            <w:webHidden/>
          </w:rPr>
          <w:fldChar w:fldCharType="separate"/>
        </w:r>
        <w:r>
          <w:rPr>
            <w:shd w:fill="auto" w:val="clear"/>
          </w:rPr>
          <w:fldChar w:fldCharType="begin"/>
        </w:r>
        <w:r>
          <w:rPr>
            <w:webHidden/>
          </w:rPr>
          <w:fldChar w:fldCharType="end"/>
        </w:r>
        <w:r>
          <w:rPr>
            <w:shd w:fill="auto" w:val="clear"/>
          </w:rPr>
          <w:instrText> PAGEREF _Toc3873 \h </w:instrText>
        </w:r>
        <w:r>
          <w:rPr>
            <w:shd w:fill="auto" w:val="clear"/>
          </w:rPr>
          <w:fldChar w:fldCharType="separate"/>
        </w:r>
        <w:r>
          <w:rPr>
            <w:shd w:fill="auto" w:val="clear"/>
          </w:rPr>
          <w:t>9</w:t>
        </w:r>
        <w:r>
          <w:rPr>
            <w:shd w:fill="auto" w:val="clear"/>
          </w:rPr>
          <w:fldChar w:fldCharType="end"/>
        </w:r>
      </w:hyperlink>
    </w:p>
    <w:p>
      <w:pPr>
        <w:pStyle w:val="Tabledesmatiresniveau2"/>
        <w:tabs>
          <w:tab w:val="clear" w:pos="706"/>
          <w:tab w:val="right" w:pos="8290" w:leader="dot"/>
        </w:tabs>
        <w:rPr/>
      </w:pPr>
      <w:hyperlink w:anchor="_Toc3874" w:tgtFrame="#_Toc3874">
        <w:r>
          <w:rPr>
            <w:shd w:fill="auto" w:val="clear"/>
          </w:rPr>
          <w:t>11.2 Variations de prix</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_Toc3874 \h</w:instrText>
        </w:r>
        <w:r>
          <w:rPr>
            <w:webHidden/>
          </w:rPr>
          <w:fldChar w:fldCharType="separate"/>
        </w:r>
        <w:r>
          <w:rPr>
            <w:shd w:fill="auto" w:val="clear"/>
          </w:rPr>
          <w:fldChar w:fldCharType="begin"/>
        </w:r>
        <w:r>
          <w:rPr>
            <w:webHidden/>
          </w:rPr>
          <w:fldChar w:fldCharType="end"/>
        </w:r>
        <w:r>
          <w:rPr>
            <w:shd w:fill="auto" w:val="clear"/>
          </w:rPr>
          <w:instrText> PAGEREF _Toc3874 \h </w:instrText>
        </w:r>
        <w:r>
          <w:rPr>
            <w:shd w:fill="auto" w:val="clear"/>
          </w:rPr>
          <w:fldChar w:fldCharType="separate"/>
        </w:r>
        <w:r>
          <w:rPr>
            <w:shd w:fill="auto" w:val="clear"/>
          </w:rPr>
          <w:t>9</w:t>
        </w:r>
        <w:r>
          <w:rPr>
            <w:shd w:fill="auto" w:val="clear"/>
          </w:rPr>
          <w:fldChar w:fldCharType="end"/>
        </w:r>
      </w:hyperlink>
    </w:p>
    <w:p>
      <w:pPr>
        <w:pStyle w:val="Tabledesmatiresniveau2"/>
        <w:tabs>
          <w:tab w:val="clear" w:pos="706"/>
          <w:tab w:val="right" w:pos="8290" w:leader="dot"/>
        </w:tabs>
        <w:rPr/>
      </w:pPr>
      <w:hyperlink w:anchor="_Toc3875" w:tgtFrame="#_Toc3875">
        <w:r>
          <w:rPr>
            <w:shd w:fill="auto" w:val="clear"/>
          </w:rPr>
          <w:t>11.3 Disparition d'indice</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_Toc3875 \h</w:instrText>
        </w:r>
        <w:r>
          <w:rPr>
            <w:webHidden/>
          </w:rPr>
          <w:fldChar w:fldCharType="separate"/>
        </w:r>
        <w:r>
          <w:rPr>
            <w:shd w:fill="auto" w:val="clear"/>
          </w:rPr>
          <w:fldChar w:fldCharType="begin"/>
        </w:r>
        <w:r>
          <w:rPr>
            <w:webHidden/>
          </w:rPr>
          <w:fldChar w:fldCharType="end"/>
        </w:r>
        <w:r>
          <w:rPr>
            <w:shd w:fill="auto" w:val="clear"/>
          </w:rPr>
          <w:instrText> PAGEREF _Toc3875 \h </w:instrText>
        </w:r>
        <w:r>
          <w:rPr>
            <w:shd w:fill="auto" w:val="clear"/>
          </w:rPr>
          <w:fldChar w:fldCharType="separate"/>
        </w:r>
        <w:r>
          <w:rPr>
            <w:shd w:fill="auto" w:val="clear"/>
          </w:rPr>
          <w:t>10</w:t>
        </w:r>
        <w:r>
          <w:rPr>
            <w:shd w:fill="auto" w:val="clear"/>
          </w:rPr>
          <w:fldChar w:fldCharType="end"/>
        </w:r>
      </w:hyperlink>
    </w:p>
    <w:p>
      <w:pPr>
        <w:pStyle w:val="Tabledesmatiresniveau1"/>
        <w:tabs>
          <w:tab w:val="right" w:pos="8290" w:leader="dot"/>
          <w:tab w:val="right" w:pos="9637" w:leader="dot"/>
        </w:tabs>
        <w:rPr/>
      </w:pPr>
      <w:hyperlink w:anchor="_Toc3876" w:tgtFrame="#_Toc3876">
        <w:r>
          <w:rPr>
            <w:shd w:fill="auto" w:val="clear"/>
          </w:rPr>
          <w:t>Article 12 - AVANCE</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_Toc3876 \h</w:instrText>
        </w:r>
        <w:r>
          <w:rPr>
            <w:webHidden/>
          </w:rPr>
          <w:fldChar w:fldCharType="separate"/>
        </w:r>
        <w:r>
          <w:rPr>
            <w:shd w:fill="auto" w:val="clear"/>
          </w:rPr>
          <w:fldChar w:fldCharType="begin"/>
        </w:r>
        <w:r>
          <w:rPr>
            <w:webHidden/>
          </w:rPr>
          <w:fldChar w:fldCharType="end"/>
        </w:r>
        <w:r>
          <w:rPr>
            <w:shd w:fill="auto" w:val="clear"/>
          </w:rPr>
          <w:instrText> PAGEREF _Toc3876 \h </w:instrText>
        </w:r>
        <w:r>
          <w:rPr>
            <w:shd w:fill="auto" w:val="clear"/>
          </w:rPr>
          <w:fldChar w:fldCharType="separate"/>
        </w:r>
        <w:r>
          <w:rPr>
            <w:shd w:fill="auto" w:val="clear"/>
          </w:rPr>
          <w:t>10</w:t>
        </w:r>
        <w:r>
          <w:rPr>
            <w:shd w:fill="auto" w:val="clear"/>
          </w:rPr>
          <w:fldChar w:fldCharType="end"/>
        </w:r>
      </w:hyperlink>
    </w:p>
    <w:p>
      <w:pPr>
        <w:pStyle w:val="Tabledesmatiresniveau2"/>
        <w:tabs>
          <w:tab w:val="clear" w:pos="706"/>
          <w:tab w:val="right" w:pos="8290" w:leader="dot"/>
        </w:tabs>
        <w:rPr/>
      </w:pPr>
      <w:hyperlink w:anchor="_Toc3877" w:tgtFrame="#_Toc3877">
        <w:r>
          <w:rPr>
            <w:shd w:fill="auto" w:val="clear"/>
          </w:rPr>
          <w:t>12.1 Régime de l'avance</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_Toc3877 \h</w:instrText>
        </w:r>
        <w:r>
          <w:rPr>
            <w:webHidden/>
          </w:rPr>
          <w:fldChar w:fldCharType="separate"/>
        </w:r>
        <w:r>
          <w:rPr>
            <w:shd w:fill="auto" w:val="clear"/>
          </w:rPr>
          <w:fldChar w:fldCharType="begin"/>
        </w:r>
        <w:r>
          <w:rPr>
            <w:webHidden/>
          </w:rPr>
          <w:fldChar w:fldCharType="end"/>
        </w:r>
        <w:r>
          <w:rPr>
            <w:shd w:fill="auto" w:val="clear"/>
          </w:rPr>
          <w:instrText> PAGEREF _Toc3877 \h </w:instrText>
        </w:r>
        <w:r>
          <w:rPr>
            <w:shd w:fill="auto" w:val="clear"/>
          </w:rPr>
          <w:fldChar w:fldCharType="separate"/>
        </w:r>
        <w:r>
          <w:rPr>
            <w:shd w:fill="auto" w:val="clear"/>
          </w:rPr>
          <w:t>10</w:t>
        </w:r>
        <w:r>
          <w:rPr>
            <w:shd w:fill="auto" w:val="clear"/>
          </w:rPr>
          <w:fldChar w:fldCharType="end"/>
        </w:r>
      </w:hyperlink>
    </w:p>
    <w:p>
      <w:pPr>
        <w:pStyle w:val="Tabledesmatiresniveau2"/>
        <w:tabs>
          <w:tab w:val="clear" w:pos="706"/>
          <w:tab w:val="right" w:pos="8290" w:leader="dot"/>
        </w:tabs>
        <w:rPr/>
      </w:pPr>
      <w:hyperlink w:anchor="_Toc3878" w:tgtFrame="#_Toc3878">
        <w:r>
          <w:rPr>
            <w:shd w:fill="auto" w:val="clear"/>
          </w:rPr>
          <w:t>12.2 Dispositions complémentaires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_Toc3878 \h</w:instrText>
        </w:r>
        <w:r>
          <w:rPr>
            <w:webHidden/>
          </w:rPr>
          <w:fldChar w:fldCharType="separate"/>
        </w:r>
        <w:r>
          <w:rPr>
            <w:shd w:fill="auto" w:val="clear"/>
          </w:rPr>
          <w:fldChar w:fldCharType="begin"/>
        </w:r>
        <w:r>
          <w:rPr>
            <w:webHidden/>
          </w:rPr>
          <w:fldChar w:fldCharType="end"/>
        </w:r>
        <w:r>
          <w:rPr>
            <w:shd w:fill="auto" w:val="clear"/>
          </w:rPr>
          <w:instrText> PAGEREF _Toc3878 \h </w:instrText>
        </w:r>
        <w:r>
          <w:rPr>
            <w:shd w:fill="auto" w:val="clear"/>
          </w:rPr>
          <w:fldChar w:fldCharType="separate"/>
        </w:r>
        <w:r>
          <w:rPr>
            <w:shd w:fill="auto" w:val="clear"/>
          </w:rPr>
          <w:t>10</w:t>
        </w:r>
        <w:r>
          <w:rPr>
            <w:shd w:fill="auto" w:val="clear"/>
          </w:rPr>
          <w:fldChar w:fldCharType="end"/>
        </w:r>
      </w:hyperlink>
    </w:p>
    <w:p>
      <w:pPr>
        <w:pStyle w:val="Tabledesmatiresniveau1"/>
        <w:tabs>
          <w:tab w:val="right" w:pos="8290" w:leader="dot"/>
          <w:tab w:val="right" w:pos="9637" w:leader="dot"/>
        </w:tabs>
        <w:rPr/>
      </w:pPr>
      <w:hyperlink w:anchor="_Toc3879" w:tgtFrame="#_Toc3879">
        <w:r>
          <w:rPr>
            <w:shd w:fill="auto" w:val="clear"/>
          </w:rPr>
          <w:t>Article 13 - MODALITÉS DE REGLEMENT</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_Toc3879 \h</w:instrText>
        </w:r>
        <w:r>
          <w:rPr>
            <w:webHidden/>
          </w:rPr>
          <w:fldChar w:fldCharType="separate"/>
        </w:r>
        <w:r>
          <w:rPr>
            <w:shd w:fill="auto" w:val="clear"/>
          </w:rPr>
          <w:fldChar w:fldCharType="begin"/>
        </w:r>
        <w:r>
          <w:rPr>
            <w:webHidden/>
          </w:rPr>
          <w:fldChar w:fldCharType="end"/>
        </w:r>
        <w:r>
          <w:rPr>
            <w:shd w:fill="auto" w:val="clear"/>
          </w:rPr>
          <w:instrText> PAGEREF _Toc3879 \h </w:instrText>
        </w:r>
        <w:r>
          <w:rPr>
            <w:shd w:fill="auto" w:val="clear"/>
          </w:rPr>
          <w:fldChar w:fldCharType="separate"/>
        </w:r>
        <w:r>
          <w:rPr>
            <w:shd w:fill="auto" w:val="clear"/>
          </w:rPr>
          <w:t>11</w:t>
        </w:r>
        <w:r>
          <w:rPr>
            <w:shd w:fill="auto" w:val="clear"/>
          </w:rPr>
          <w:fldChar w:fldCharType="end"/>
        </w:r>
      </w:hyperlink>
    </w:p>
    <w:p>
      <w:pPr>
        <w:pStyle w:val="Tabledesmatiresniveau1"/>
        <w:tabs>
          <w:tab w:val="right" w:pos="8290" w:leader="dot"/>
          <w:tab w:val="right" w:pos="9637" w:leader="dot"/>
        </w:tabs>
        <w:rPr/>
      </w:pPr>
      <w:hyperlink w:anchor="_Toc3880" w:tgtFrame="#_Toc3880">
        <w:r>
          <w:rPr>
            <w:shd w:fill="auto" w:val="clear"/>
          </w:rPr>
          <w:t>Article 14 - PAIEMENT ET ETABLISSEMENT DE LA FACTURE</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_Toc3880 \h</w:instrText>
        </w:r>
        <w:r>
          <w:rPr>
            <w:webHidden/>
          </w:rPr>
          <w:fldChar w:fldCharType="separate"/>
        </w:r>
        <w:r>
          <w:rPr>
            <w:shd w:fill="auto" w:val="clear"/>
          </w:rPr>
          <w:fldChar w:fldCharType="begin"/>
        </w:r>
        <w:r>
          <w:rPr>
            <w:webHidden/>
          </w:rPr>
          <w:fldChar w:fldCharType="end"/>
        </w:r>
        <w:r>
          <w:rPr>
            <w:shd w:fill="auto" w:val="clear"/>
          </w:rPr>
          <w:instrText> PAGEREF _Toc3880 \h </w:instrText>
        </w:r>
        <w:r>
          <w:rPr>
            <w:shd w:fill="auto" w:val="clear"/>
          </w:rPr>
          <w:fldChar w:fldCharType="separate"/>
        </w:r>
        <w:r>
          <w:rPr>
            <w:shd w:fill="auto" w:val="clear"/>
          </w:rPr>
          <w:t>11</w:t>
        </w:r>
        <w:r>
          <w:rPr>
            <w:shd w:fill="auto" w:val="clear"/>
          </w:rPr>
          <w:fldChar w:fldCharType="end"/>
        </w:r>
      </w:hyperlink>
    </w:p>
    <w:p>
      <w:pPr>
        <w:pStyle w:val="Tabledesmatiresniveau2"/>
        <w:tabs>
          <w:tab w:val="clear" w:pos="706"/>
          <w:tab w:val="right" w:pos="8290" w:leader="dot"/>
        </w:tabs>
        <w:rPr/>
      </w:pPr>
      <w:hyperlink w:anchor="_Toc3881" w:tgtFrame="#_Toc3881">
        <w:r>
          <w:rPr>
            <w:shd w:fill="auto" w:val="clear"/>
          </w:rPr>
          <w:t>14.1 Délais de paiements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_Toc3881 \h</w:instrText>
        </w:r>
        <w:r>
          <w:rPr>
            <w:webHidden/>
          </w:rPr>
          <w:fldChar w:fldCharType="separate"/>
        </w:r>
        <w:r>
          <w:rPr>
            <w:shd w:fill="auto" w:val="clear"/>
          </w:rPr>
          <w:fldChar w:fldCharType="begin"/>
        </w:r>
        <w:r>
          <w:rPr>
            <w:webHidden/>
          </w:rPr>
          <w:fldChar w:fldCharType="end"/>
        </w:r>
        <w:r>
          <w:rPr>
            <w:shd w:fill="auto" w:val="clear"/>
          </w:rPr>
          <w:instrText> PAGEREF _Toc3881 \h </w:instrText>
        </w:r>
        <w:r>
          <w:rPr>
            <w:shd w:fill="auto" w:val="clear"/>
          </w:rPr>
          <w:fldChar w:fldCharType="separate"/>
        </w:r>
        <w:r>
          <w:rPr>
            <w:shd w:fill="auto" w:val="clear"/>
          </w:rPr>
          <w:t>11</w:t>
        </w:r>
        <w:r>
          <w:rPr>
            <w:shd w:fill="auto" w:val="clear"/>
          </w:rPr>
          <w:fldChar w:fldCharType="end"/>
        </w:r>
      </w:hyperlink>
    </w:p>
    <w:p>
      <w:pPr>
        <w:pStyle w:val="Tabledesmatiresniveau2"/>
        <w:tabs>
          <w:tab w:val="clear" w:pos="706"/>
          <w:tab w:val="right" w:pos="8290" w:leader="dot"/>
        </w:tabs>
        <w:rPr/>
      </w:pPr>
      <w:hyperlink w:anchor="_Toc3882" w:tgtFrame="#_Toc3882">
        <w:r>
          <w:rPr>
            <w:shd w:fill="auto" w:val="clear"/>
          </w:rPr>
          <w:t>14.2 Intérêts moratoires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_Toc3882 \h</w:instrText>
        </w:r>
        <w:r>
          <w:rPr>
            <w:webHidden/>
          </w:rPr>
          <w:fldChar w:fldCharType="separate"/>
        </w:r>
        <w:r>
          <w:rPr>
            <w:shd w:fill="auto" w:val="clear"/>
          </w:rPr>
          <w:fldChar w:fldCharType="begin"/>
        </w:r>
        <w:r>
          <w:rPr>
            <w:webHidden/>
          </w:rPr>
          <w:fldChar w:fldCharType="end"/>
        </w:r>
        <w:r>
          <w:rPr>
            <w:shd w:fill="auto" w:val="clear"/>
          </w:rPr>
          <w:instrText> PAGEREF _Toc3882 \h </w:instrText>
        </w:r>
        <w:r>
          <w:rPr>
            <w:shd w:fill="auto" w:val="clear"/>
          </w:rPr>
          <w:fldChar w:fldCharType="separate"/>
        </w:r>
        <w:r>
          <w:rPr>
            <w:shd w:fill="auto" w:val="clear"/>
          </w:rPr>
          <w:t>11</w:t>
        </w:r>
        <w:r>
          <w:rPr>
            <w:shd w:fill="auto" w:val="clear"/>
          </w:rPr>
          <w:fldChar w:fldCharType="end"/>
        </w:r>
      </w:hyperlink>
    </w:p>
    <w:p>
      <w:pPr>
        <w:pStyle w:val="Tabledesmatiresniveau2"/>
        <w:tabs>
          <w:tab w:val="clear" w:pos="706"/>
          <w:tab w:val="right" w:pos="8290" w:leader="dot"/>
        </w:tabs>
        <w:rPr/>
      </w:pPr>
      <w:hyperlink w:anchor="_Toc3883" w:tgtFrame="#_Toc3883">
        <w:r>
          <w:rPr>
            <w:shd w:fill="auto" w:val="clear"/>
          </w:rPr>
          <w:t>14.3 Modalités de paiement direct des sous-traitants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_Toc3883 \h</w:instrText>
        </w:r>
        <w:r>
          <w:rPr>
            <w:webHidden/>
          </w:rPr>
          <w:fldChar w:fldCharType="separate"/>
        </w:r>
        <w:r>
          <w:rPr>
            <w:shd w:fill="auto" w:val="clear"/>
          </w:rPr>
          <w:fldChar w:fldCharType="begin"/>
        </w:r>
        <w:r>
          <w:rPr>
            <w:webHidden/>
          </w:rPr>
          <w:fldChar w:fldCharType="end"/>
        </w:r>
        <w:r>
          <w:rPr>
            <w:shd w:fill="auto" w:val="clear"/>
          </w:rPr>
          <w:instrText> PAGEREF _Toc3883 \h </w:instrText>
        </w:r>
        <w:r>
          <w:rPr>
            <w:shd w:fill="auto" w:val="clear"/>
          </w:rPr>
          <w:fldChar w:fldCharType="separate"/>
        </w:r>
        <w:r>
          <w:rPr>
            <w:shd w:fill="auto" w:val="clear"/>
          </w:rPr>
          <w:t>11</w:t>
        </w:r>
        <w:r>
          <w:rPr>
            <w:shd w:fill="auto" w:val="clear"/>
          </w:rPr>
          <w:fldChar w:fldCharType="end"/>
        </w:r>
      </w:hyperlink>
    </w:p>
    <w:p>
      <w:pPr>
        <w:pStyle w:val="Tabledesmatiresniveau2"/>
        <w:tabs>
          <w:tab w:val="clear" w:pos="706"/>
          <w:tab w:val="right" w:pos="8290" w:leader="dot"/>
        </w:tabs>
        <w:rPr/>
      </w:pPr>
      <w:hyperlink w:anchor="_Toc3884" w:tgtFrame="#_Toc3884">
        <w:r>
          <w:rPr>
            <w:shd w:fill="auto" w:val="clear"/>
          </w:rPr>
          <w:t>14.4 Présentation des demandes de paiement</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_Toc3884 \h</w:instrText>
        </w:r>
        <w:r>
          <w:rPr>
            <w:webHidden/>
          </w:rPr>
          <w:fldChar w:fldCharType="separate"/>
        </w:r>
        <w:r>
          <w:rPr>
            <w:shd w:fill="auto" w:val="clear"/>
          </w:rPr>
          <w:fldChar w:fldCharType="begin"/>
        </w:r>
        <w:r>
          <w:rPr>
            <w:webHidden/>
          </w:rPr>
          <w:fldChar w:fldCharType="end"/>
        </w:r>
        <w:r>
          <w:rPr>
            <w:shd w:fill="auto" w:val="clear"/>
          </w:rPr>
          <w:instrText> PAGEREF _Toc3884 \h </w:instrText>
        </w:r>
        <w:r>
          <w:rPr>
            <w:shd w:fill="auto" w:val="clear"/>
          </w:rPr>
          <w:fldChar w:fldCharType="separate"/>
        </w:r>
        <w:r>
          <w:rPr>
            <w:shd w:fill="auto" w:val="clear"/>
          </w:rPr>
          <w:t>11</w:t>
        </w:r>
        <w:r>
          <w:rPr>
            <w:shd w:fill="auto" w:val="clear"/>
          </w:rPr>
          <w:fldChar w:fldCharType="end"/>
        </w:r>
      </w:hyperlink>
    </w:p>
    <w:p>
      <w:pPr>
        <w:pStyle w:val="Tabledesmatiresniveau2"/>
        <w:tabs>
          <w:tab w:val="clear" w:pos="706"/>
          <w:tab w:val="right" w:pos="8290" w:leader="dot"/>
        </w:tabs>
        <w:rPr/>
      </w:pPr>
      <w:hyperlink w:anchor="_Toc3885" w:tgtFrame="#_Toc3885">
        <w:r>
          <w:rPr>
            <w:shd w:fill="auto" w:val="clear"/>
          </w:rPr>
          <w:t>14.5 Dématérialisation des factures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_Toc3885 \h</w:instrText>
        </w:r>
        <w:r>
          <w:rPr>
            <w:webHidden/>
          </w:rPr>
          <w:fldChar w:fldCharType="separate"/>
        </w:r>
        <w:r>
          <w:rPr>
            <w:shd w:fill="auto" w:val="clear"/>
          </w:rPr>
          <w:fldChar w:fldCharType="begin"/>
        </w:r>
        <w:r>
          <w:rPr>
            <w:webHidden/>
          </w:rPr>
          <w:fldChar w:fldCharType="end"/>
        </w:r>
        <w:r>
          <w:rPr>
            <w:shd w:fill="auto" w:val="clear"/>
          </w:rPr>
          <w:instrText> PAGEREF _Toc3885 \h </w:instrText>
        </w:r>
        <w:r>
          <w:rPr>
            <w:shd w:fill="auto" w:val="clear"/>
          </w:rPr>
          <w:fldChar w:fldCharType="separate"/>
        </w:r>
        <w:r>
          <w:rPr>
            <w:shd w:fill="auto" w:val="clear"/>
          </w:rPr>
          <w:t>12</w:t>
        </w:r>
        <w:r>
          <w:rPr>
            <w:shd w:fill="auto" w:val="clear"/>
          </w:rPr>
          <w:fldChar w:fldCharType="end"/>
        </w:r>
      </w:hyperlink>
    </w:p>
    <w:p>
      <w:pPr>
        <w:pStyle w:val="Tabledesmatiresniveau1"/>
        <w:tabs>
          <w:tab w:val="right" w:pos="8290" w:leader="dot"/>
          <w:tab w:val="right" w:pos="9637" w:leader="dot"/>
        </w:tabs>
        <w:rPr/>
      </w:pPr>
      <w:hyperlink w:anchor="_Toc3886" w:tgtFrame="#_Toc3886">
        <w:r>
          <w:rPr>
            <w:shd w:fill="auto" w:val="clear"/>
          </w:rPr>
          <w:t>Article 15 - PENALITES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_Toc3886 \h</w:instrText>
        </w:r>
        <w:r>
          <w:rPr>
            <w:webHidden/>
          </w:rPr>
          <w:fldChar w:fldCharType="separate"/>
        </w:r>
        <w:r>
          <w:rPr>
            <w:shd w:fill="auto" w:val="clear"/>
          </w:rPr>
          <w:fldChar w:fldCharType="begin"/>
        </w:r>
        <w:r>
          <w:rPr>
            <w:webHidden/>
          </w:rPr>
          <w:fldChar w:fldCharType="end"/>
        </w:r>
        <w:r>
          <w:rPr>
            <w:shd w:fill="auto" w:val="clear"/>
          </w:rPr>
          <w:instrText> PAGEREF _Toc3886 \h </w:instrText>
        </w:r>
        <w:r>
          <w:rPr>
            <w:shd w:fill="auto" w:val="clear"/>
          </w:rPr>
          <w:fldChar w:fldCharType="separate"/>
        </w:r>
        <w:r>
          <w:rPr>
            <w:shd w:fill="auto" w:val="clear"/>
          </w:rPr>
          <w:t>13</w:t>
        </w:r>
        <w:r>
          <w:rPr>
            <w:shd w:fill="auto" w:val="clear"/>
          </w:rPr>
          <w:fldChar w:fldCharType="end"/>
        </w:r>
      </w:hyperlink>
    </w:p>
    <w:p>
      <w:pPr>
        <w:pStyle w:val="Tabledesmatiresniveau2"/>
        <w:tabs>
          <w:tab w:val="clear" w:pos="706"/>
          <w:tab w:val="right" w:pos="8290" w:leader="dot"/>
        </w:tabs>
        <w:rPr/>
      </w:pPr>
      <w:hyperlink w:anchor="_Toc3887" w:tgtFrame="#_Toc3887">
        <w:r>
          <w:rPr>
            <w:shd w:fill="auto" w:val="clear"/>
          </w:rPr>
          <w:t>15.1 Pénalités de retard</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_Toc3887 \h</w:instrText>
        </w:r>
        <w:r>
          <w:rPr>
            <w:webHidden/>
          </w:rPr>
          <w:fldChar w:fldCharType="separate"/>
        </w:r>
        <w:r>
          <w:rPr>
            <w:shd w:fill="auto" w:val="clear"/>
          </w:rPr>
          <w:fldChar w:fldCharType="begin"/>
        </w:r>
        <w:r>
          <w:rPr>
            <w:webHidden/>
          </w:rPr>
          <w:fldChar w:fldCharType="end"/>
        </w:r>
        <w:r>
          <w:rPr>
            <w:shd w:fill="auto" w:val="clear"/>
          </w:rPr>
          <w:instrText> PAGEREF _Toc3887 \h </w:instrText>
        </w:r>
        <w:r>
          <w:rPr>
            <w:shd w:fill="auto" w:val="clear"/>
          </w:rPr>
          <w:fldChar w:fldCharType="separate"/>
        </w:r>
        <w:r>
          <w:rPr>
            <w:shd w:fill="auto" w:val="clear"/>
          </w:rPr>
          <w:t>13</w:t>
        </w:r>
        <w:r>
          <w:rPr>
            <w:shd w:fill="auto" w:val="clear"/>
          </w:rPr>
          <w:fldChar w:fldCharType="end"/>
        </w:r>
      </w:hyperlink>
    </w:p>
    <w:p>
      <w:pPr>
        <w:pStyle w:val="Tabledesmatiresniveau2"/>
        <w:tabs>
          <w:tab w:val="clear" w:pos="706"/>
          <w:tab w:val="right" w:pos="8290" w:leader="dot"/>
        </w:tabs>
        <w:rPr/>
      </w:pPr>
      <w:hyperlink w:anchor="_Toc4545" w:tgtFrame="#_Toc4545">
        <w:r>
          <w:rPr>
            <w:shd w:fill="auto" w:val="clear"/>
          </w:rPr>
          <w:t>15.2 Pénalités pour non respect des obligations environnementales du titulaire</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_Toc4545 \h</w:instrText>
        </w:r>
        <w:r>
          <w:rPr>
            <w:webHidden/>
          </w:rPr>
          <w:fldChar w:fldCharType="separate"/>
        </w:r>
        <w:r>
          <w:rPr>
            <w:shd w:fill="auto" w:val="clear"/>
          </w:rPr>
          <w:fldChar w:fldCharType="begin"/>
        </w:r>
        <w:r>
          <w:rPr>
            <w:webHidden/>
          </w:rPr>
          <w:fldChar w:fldCharType="end"/>
        </w:r>
        <w:r>
          <w:rPr>
            <w:shd w:fill="auto" w:val="clear"/>
          </w:rPr>
          <w:instrText> PAGEREF _Toc4545 \h </w:instrText>
        </w:r>
        <w:r>
          <w:rPr>
            <w:shd w:fill="auto" w:val="clear"/>
          </w:rPr>
          <w:fldChar w:fldCharType="separate"/>
        </w:r>
        <w:r>
          <w:rPr>
            <w:shd w:fill="auto" w:val="clear"/>
          </w:rPr>
          <w:t>13</w:t>
        </w:r>
        <w:r>
          <w:rPr>
            <w:shd w:fill="auto" w:val="clear"/>
          </w:rPr>
          <w:fldChar w:fldCharType="end"/>
        </w:r>
      </w:hyperlink>
    </w:p>
    <w:p>
      <w:pPr>
        <w:pStyle w:val="Tabledesmatiresniveau2"/>
        <w:tabs>
          <w:tab w:val="clear" w:pos="706"/>
          <w:tab w:val="right" w:pos="8290" w:leader="dot"/>
        </w:tabs>
        <w:rPr/>
      </w:pPr>
      <w:hyperlink w:anchor="_Toc3888" w:tgtFrame="#_Toc3888">
        <w:r>
          <w:rPr>
            <w:shd w:fill="auto" w:val="clear"/>
          </w:rPr>
          <w:t>15.3 Pénalités pour non respect des dispositions du Code du Travail</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_Toc3888 \h</w:instrText>
        </w:r>
        <w:r>
          <w:rPr>
            <w:webHidden/>
          </w:rPr>
          <w:fldChar w:fldCharType="separate"/>
        </w:r>
        <w:r>
          <w:rPr>
            <w:shd w:fill="auto" w:val="clear"/>
          </w:rPr>
          <w:fldChar w:fldCharType="begin"/>
        </w:r>
        <w:r>
          <w:rPr>
            <w:webHidden/>
          </w:rPr>
          <w:fldChar w:fldCharType="end"/>
        </w:r>
        <w:r>
          <w:rPr>
            <w:shd w:fill="auto" w:val="clear"/>
          </w:rPr>
          <w:instrText> PAGEREF _Toc3888 \h </w:instrText>
        </w:r>
        <w:r>
          <w:rPr>
            <w:shd w:fill="auto" w:val="clear"/>
          </w:rPr>
          <w:fldChar w:fldCharType="separate"/>
        </w:r>
        <w:r>
          <w:rPr>
            <w:shd w:fill="auto" w:val="clear"/>
          </w:rPr>
          <w:t>13</w:t>
        </w:r>
        <w:r>
          <w:rPr>
            <w:shd w:fill="auto" w:val="clear"/>
          </w:rPr>
          <w:fldChar w:fldCharType="end"/>
        </w:r>
      </w:hyperlink>
    </w:p>
    <w:p>
      <w:pPr>
        <w:pStyle w:val="Tabledesmatiresniveau2"/>
        <w:tabs>
          <w:tab w:val="clear" w:pos="706"/>
          <w:tab w:val="right" w:pos="8290" w:leader="dot"/>
        </w:tabs>
        <w:rPr/>
      </w:pPr>
      <w:hyperlink w:anchor="_Toc3889" w:tgtFrame="#_Toc3889">
        <w:r>
          <w:rPr>
            <w:shd w:fill="auto" w:val="clear"/>
          </w:rPr>
          <w:t>15.4 Autres pénalités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_Toc3889 \h</w:instrText>
        </w:r>
        <w:r>
          <w:rPr>
            <w:webHidden/>
          </w:rPr>
          <w:fldChar w:fldCharType="separate"/>
        </w:r>
        <w:r>
          <w:rPr>
            <w:shd w:fill="auto" w:val="clear"/>
          </w:rPr>
          <w:fldChar w:fldCharType="begin"/>
        </w:r>
        <w:r>
          <w:rPr>
            <w:webHidden/>
          </w:rPr>
          <w:fldChar w:fldCharType="end"/>
        </w:r>
        <w:r>
          <w:rPr>
            <w:shd w:fill="auto" w:val="clear"/>
          </w:rPr>
          <w:instrText> PAGEREF _Toc3889 \h </w:instrText>
        </w:r>
        <w:r>
          <w:rPr>
            <w:shd w:fill="auto" w:val="clear"/>
          </w:rPr>
          <w:fldChar w:fldCharType="separate"/>
        </w:r>
        <w:r>
          <w:rPr>
            <w:shd w:fill="auto" w:val="clear"/>
          </w:rPr>
          <w:t>13</w:t>
        </w:r>
        <w:r>
          <w:rPr>
            <w:shd w:fill="auto" w:val="clear"/>
          </w:rPr>
          <w:fldChar w:fldCharType="end"/>
        </w:r>
      </w:hyperlink>
    </w:p>
    <w:p>
      <w:pPr>
        <w:pStyle w:val="Tabledesmatiresniveau1"/>
        <w:tabs>
          <w:tab w:val="right" w:pos="8290" w:leader="dot"/>
          <w:tab w:val="right" w:pos="9637" w:leader="dot"/>
        </w:tabs>
        <w:rPr/>
      </w:pPr>
      <w:hyperlink w:anchor="_Toc3890" w:tgtFrame="#_Toc3890">
        <w:r>
          <w:rPr>
            <w:shd w:fill="auto" w:val="clear"/>
          </w:rPr>
          <w:t>Article 16 - RESILIATION ET EXECUTION DES PRESTATIONS AUX FRAIS ET RISQUES DU TITULAIRE</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_Toc3890 \h</w:instrText>
        </w:r>
        <w:r>
          <w:rPr>
            <w:webHidden/>
          </w:rPr>
          <w:fldChar w:fldCharType="separate"/>
        </w:r>
        <w:r>
          <w:rPr>
            <w:shd w:fill="auto" w:val="clear"/>
          </w:rPr>
          <w:fldChar w:fldCharType="begin"/>
        </w:r>
        <w:r>
          <w:rPr>
            <w:webHidden/>
          </w:rPr>
          <w:fldChar w:fldCharType="end"/>
        </w:r>
        <w:r>
          <w:rPr>
            <w:shd w:fill="auto" w:val="clear"/>
          </w:rPr>
          <w:instrText> PAGEREF _Toc3890 \h </w:instrText>
        </w:r>
        <w:r>
          <w:rPr>
            <w:shd w:fill="auto" w:val="clear"/>
          </w:rPr>
          <w:fldChar w:fldCharType="separate"/>
        </w:r>
        <w:r>
          <w:rPr>
            <w:shd w:fill="auto" w:val="clear"/>
          </w:rPr>
          <w:t>13</w:t>
        </w:r>
        <w:r>
          <w:rPr>
            <w:shd w:fill="auto" w:val="clear"/>
          </w:rPr>
          <w:fldChar w:fldCharType="end"/>
        </w:r>
      </w:hyperlink>
    </w:p>
    <w:p>
      <w:pPr>
        <w:pStyle w:val="Tabledesmatiresniveau1"/>
        <w:tabs>
          <w:tab w:val="right" w:pos="8290" w:leader="dot"/>
          <w:tab w:val="right" w:pos="9637" w:leader="dot"/>
        </w:tabs>
        <w:rPr/>
      </w:pPr>
      <w:hyperlink w:anchor="_Toc3891" w:tgtFrame="#_Toc3891">
        <w:r>
          <w:rPr>
            <w:shd w:fill="auto" w:val="clear"/>
          </w:rPr>
          <w:t>Article 17 - CLAUSES DE GESTION DES DONNEES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_Toc3891 \h</w:instrText>
        </w:r>
        <w:r>
          <w:rPr>
            <w:webHidden/>
          </w:rPr>
          <w:fldChar w:fldCharType="separate"/>
        </w:r>
        <w:r>
          <w:rPr>
            <w:shd w:fill="auto" w:val="clear"/>
          </w:rPr>
          <w:fldChar w:fldCharType="begin"/>
        </w:r>
        <w:r>
          <w:rPr>
            <w:webHidden/>
          </w:rPr>
          <w:fldChar w:fldCharType="end"/>
        </w:r>
        <w:r>
          <w:rPr>
            <w:shd w:fill="auto" w:val="clear"/>
          </w:rPr>
          <w:instrText> PAGEREF _Toc3891 \h </w:instrText>
        </w:r>
        <w:r>
          <w:rPr>
            <w:shd w:fill="auto" w:val="clear"/>
          </w:rPr>
          <w:fldChar w:fldCharType="separate"/>
        </w:r>
        <w:r>
          <w:rPr>
            <w:shd w:fill="auto" w:val="clear"/>
          </w:rPr>
          <w:t>14</w:t>
        </w:r>
        <w:r>
          <w:rPr>
            <w:shd w:fill="auto" w:val="clear"/>
          </w:rPr>
          <w:fldChar w:fldCharType="end"/>
        </w:r>
      </w:hyperlink>
    </w:p>
    <w:p>
      <w:pPr>
        <w:pStyle w:val="Tabledesmatiresniveau2"/>
        <w:tabs>
          <w:tab w:val="clear" w:pos="706"/>
          <w:tab w:val="right" w:pos="8290" w:leader="dot"/>
        </w:tabs>
        <w:rPr/>
      </w:pPr>
      <w:hyperlink w:anchor="_Toc3892" w:tgtFrame="#_Toc3892">
        <w:r>
          <w:rPr>
            <w:shd w:fill="auto" w:val="clear"/>
          </w:rPr>
          <w:t>17.1 Les contraintes réglementaires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_Toc3892 \h</w:instrText>
        </w:r>
        <w:r>
          <w:rPr>
            <w:webHidden/>
          </w:rPr>
          <w:fldChar w:fldCharType="separate"/>
        </w:r>
        <w:r>
          <w:rPr>
            <w:shd w:fill="auto" w:val="clear"/>
          </w:rPr>
          <w:fldChar w:fldCharType="begin"/>
        </w:r>
        <w:r>
          <w:rPr>
            <w:webHidden/>
          </w:rPr>
          <w:fldChar w:fldCharType="end"/>
        </w:r>
        <w:r>
          <w:rPr>
            <w:shd w:fill="auto" w:val="clear"/>
          </w:rPr>
          <w:instrText> PAGEREF _Toc3892 \h </w:instrText>
        </w:r>
        <w:r>
          <w:rPr>
            <w:shd w:fill="auto" w:val="clear"/>
          </w:rPr>
          <w:fldChar w:fldCharType="separate"/>
        </w:r>
        <w:r>
          <w:rPr>
            <w:shd w:fill="auto" w:val="clear"/>
          </w:rPr>
          <w:t>14</w:t>
        </w:r>
        <w:r>
          <w:rPr>
            <w:shd w:fill="auto" w:val="clear"/>
          </w:rPr>
          <w:fldChar w:fldCharType="end"/>
        </w:r>
      </w:hyperlink>
    </w:p>
    <w:p>
      <w:pPr>
        <w:pStyle w:val="Tabledesmatiresniveau3"/>
        <w:tabs>
          <w:tab w:val="right" w:pos="8290" w:leader="dot"/>
          <w:tab w:val="right" w:pos="9241" w:leader="dot"/>
        </w:tabs>
        <w:rPr/>
      </w:pPr>
      <w:hyperlink w:anchor="_Toc3893" w:tgtFrame="#_Toc3893">
        <w:r>
          <w:rPr>
            <w:shd w:fill="auto" w:val="clear"/>
          </w:rPr>
          <w:t>17.1.1 Le RGS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_Toc3893 \h</w:instrText>
        </w:r>
        <w:r>
          <w:rPr>
            <w:webHidden/>
          </w:rPr>
          <w:fldChar w:fldCharType="separate"/>
        </w:r>
        <w:r>
          <w:rPr>
            <w:shd w:fill="auto" w:val="clear"/>
          </w:rPr>
          <w:fldChar w:fldCharType="begin"/>
        </w:r>
        <w:r>
          <w:rPr>
            <w:webHidden/>
          </w:rPr>
          <w:fldChar w:fldCharType="end"/>
        </w:r>
        <w:r>
          <w:rPr>
            <w:shd w:fill="auto" w:val="clear"/>
          </w:rPr>
          <w:instrText> PAGEREF _Toc3893 \h </w:instrText>
        </w:r>
        <w:r>
          <w:rPr>
            <w:shd w:fill="auto" w:val="clear"/>
          </w:rPr>
          <w:fldChar w:fldCharType="separate"/>
        </w:r>
        <w:r>
          <w:rPr>
            <w:shd w:fill="auto" w:val="clear"/>
          </w:rPr>
          <w:t>14</w:t>
        </w:r>
        <w:r>
          <w:rPr>
            <w:shd w:fill="auto" w:val="clear"/>
          </w:rPr>
          <w:fldChar w:fldCharType="end"/>
        </w:r>
      </w:hyperlink>
    </w:p>
    <w:p>
      <w:pPr>
        <w:pStyle w:val="Tabledesmatiresniveau3"/>
        <w:tabs>
          <w:tab w:val="right" w:pos="8290" w:leader="dot"/>
          <w:tab w:val="right" w:pos="9241" w:leader="dot"/>
        </w:tabs>
        <w:rPr/>
      </w:pPr>
      <w:hyperlink w:anchor="_Toc3894" w:tgtFrame="#_Toc3894">
        <w:r>
          <w:rPr>
            <w:shd w:fill="auto" w:val="clear"/>
          </w:rPr>
          <w:t>17.1.2 Le Règlement Général sur la Protection des Données (RGPD)</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_Toc3894 \h</w:instrText>
        </w:r>
        <w:r>
          <w:rPr>
            <w:webHidden/>
          </w:rPr>
          <w:fldChar w:fldCharType="separate"/>
        </w:r>
        <w:r>
          <w:rPr>
            <w:shd w:fill="auto" w:val="clear"/>
          </w:rPr>
          <w:fldChar w:fldCharType="begin"/>
        </w:r>
        <w:r>
          <w:rPr>
            <w:webHidden/>
          </w:rPr>
          <w:fldChar w:fldCharType="end"/>
        </w:r>
        <w:r>
          <w:rPr>
            <w:shd w:fill="auto" w:val="clear"/>
          </w:rPr>
          <w:instrText> PAGEREF _Toc3894 \h </w:instrText>
        </w:r>
        <w:r>
          <w:rPr>
            <w:shd w:fill="auto" w:val="clear"/>
          </w:rPr>
          <w:fldChar w:fldCharType="separate"/>
        </w:r>
        <w:r>
          <w:rPr>
            <w:shd w:fill="auto" w:val="clear"/>
          </w:rPr>
          <w:t>14</w:t>
        </w:r>
        <w:r>
          <w:rPr>
            <w:shd w:fill="auto" w:val="clear"/>
          </w:rPr>
          <w:fldChar w:fldCharType="end"/>
        </w:r>
      </w:hyperlink>
    </w:p>
    <w:p>
      <w:pPr>
        <w:pStyle w:val="Tabledesmatiresniveau3"/>
        <w:tabs>
          <w:tab w:val="right" w:pos="8290" w:leader="dot"/>
          <w:tab w:val="right" w:pos="9241" w:leader="dot"/>
        </w:tabs>
        <w:rPr/>
      </w:pPr>
      <w:hyperlink w:anchor="_Toc3895" w:tgtFrame="#_Toc3895">
        <w:r>
          <w:rPr>
            <w:shd w:fill="auto" w:val="clear"/>
          </w:rPr>
          <w:t>17.1.3 Le Code du Patrimoine</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_Toc3895 \h</w:instrText>
        </w:r>
        <w:r>
          <w:rPr>
            <w:webHidden/>
          </w:rPr>
          <w:fldChar w:fldCharType="separate"/>
        </w:r>
        <w:r>
          <w:rPr>
            <w:shd w:fill="auto" w:val="clear"/>
          </w:rPr>
          <w:fldChar w:fldCharType="begin"/>
        </w:r>
        <w:r>
          <w:rPr>
            <w:webHidden/>
          </w:rPr>
          <w:fldChar w:fldCharType="end"/>
        </w:r>
        <w:r>
          <w:rPr>
            <w:shd w:fill="auto" w:val="clear"/>
          </w:rPr>
          <w:instrText> PAGEREF _Toc3895 \h </w:instrText>
        </w:r>
        <w:r>
          <w:rPr>
            <w:shd w:fill="auto" w:val="clear"/>
          </w:rPr>
          <w:fldChar w:fldCharType="separate"/>
        </w:r>
        <w:r>
          <w:rPr>
            <w:shd w:fill="auto" w:val="clear"/>
          </w:rPr>
          <w:t>14</w:t>
        </w:r>
        <w:r>
          <w:rPr>
            <w:shd w:fill="auto" w:val="clear"/>
          </w:rPr>
          <w:fldChar w:fldCharType="end"/>
        </w:r>
      </w:hyperlink>
    </w:p>
    <w:p>
      <w:pPr>
        <w:pStyle w:val="Tabledesmatiresniveau2"/>
        <w:tabs>
          <w:tab w:val="clear" w:pos="706"/>
          <w:tab w:val="right" w:pos="8290" w:leader="dot"/>
        </w:tabs>
        <w:rPr/>
      </w:pPr>
      <w:hyperlink w:anchor="_Toc3896" w:tgtFrame="#_Toc3896">
        <w:r>
          <w:rPr>
            <w:shd w:fill="auto" w:val="clear"/>
          </w:rPr>
          <w:t>17.2 Les clauses générales de confidentialité</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_Toc3896 \h</w:instrText>
        </w:r>
        <w:r>
          <w:rPr>
            <w:webHidden/>
          </w:rPr>
          <w:fldChar w:fldCharType="separate"/>
        </w:r>
        <w:r>
          <w:rPr>
            <w:shd w:fill="auto" w:val="clear"/>
          </w:rPr>
          <w:fldChar w:fldCharType="begin"/>
        </w:r>
        <w:r>
          <w:rPr>
            <w:webHidden/>
          </w:rPr>
          <w:fldChar w:fldCharType="end"/>
        </w:r>
        <w:r>
          <w:rPr>
            <w:shd w:fill="auto" w:val="clear"/>
          </w:rPr>
          <w:instrText> PAGEREF _Toc3896 \h </w:instrText>
        </w:r>
        <w:r>
          <w:rPr>
            <w:shd w:fill="auto" w:val="clear"/>
          </w:rPr>
          <w:fldChar w:fldCharType="separate"/>
        </w:r>
        <w:r>
          <w:rPr>
            <w:shd w:fill="auto" w:val="clear"/>
          </w:rPr>
          <w:t>14</w:t>
        </w:r>
        <w:r>
          <w:rPr>
            <w:shd w:fill="auto" w:val="clear"/>
          </w:rPr>
          <w:fldChar w:fldCharType="end"/>
        </w:r>
      </w:hyperlink>
    </w:p>
    <w:p>
      <w:pPr>
        <w:pStyle w:val="Tabledesmatiresniveau2"/>
        <w:tabs>
          <w:tab w:val="clear" w:pos="706"/>
          <w:tab w:val="right" w:pos="8290" w:leader="dot"/>
        </w:tabs>
        <w:rPr/>
      </w:pPr>
      <w:hyperlink w:anchor="_Toc3897" w:tgtFrame="#_Toc3897">
        <w:r>
          <w:rPr>
            <w:shd w:fill="auto" w:val="clear"/>
          </w:rPr>
          <w:t>17.3 Les contrôles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_Toc3897 \h</w:instrText>
        </w:r>
        <w:r>
          <w:rPr>
            <w:webHidden/>
          </w:rPr>
          <w:fldChar w:fldCharType="separate"/>
        </w:r>
        <w:r>
          <w:rPr>
            <w:shd w:fill="auto" w:val="clear"/>
          </w:rPr>
          <w:fldChar w:fldCharType="begin"/>
        </w:r>
        <w:r>
          <w:rPr>
            <w:webHidden/>
          </w:rPr>
          <w:fldChar w:fldCharType="end"/>
        </w:r>
        <w:r>
          <w:rPr>
            <w:shd w:fill="auto" w:val="clear"/>
          </w:rPr>
          <w:instrText> PAGEREF _Toc3897 \h </w:instrText>
        </w:r>
        <w:r>
          <w:rPr>
            <w:shd w:fill="auto" w:val="clear"/>
          </w:rPr>
          <w:fldChar w:fldCharType="separate"/>
        </w:r>
        <w:r>
          <w:rPr>
            <w:shd w:fill="auto" w:val="clear"/>
          </w:rPr>
          <w:t>15</w:t>
        </w:r>
        <w:r>
          <w:rPr>
            <w:shd w:fill="auto" w:val="clear"/>
          </w:rPr>
          <w:fldChar w:fldCharType="end"/>
        </w:r>
      </w:hyperlink>
    </w:p>
    <w:p>
      <w:pPr>
        <w:pStyle w:val="Tabledesmatiresniveau2"/>
        <w:tabs>
          <w:tab w:val="clear" w:pos="706"/>
          <w:tab w:val="right" w:pos="8290" w:leader="dot"/>
        </w:tabs>
        <w:rPr/>
      </w:pPr>
      <w:hyperlink w:anchor="_Toc3898" w:tgtFrame="#_Toc3898">
        <w:r>
          <w:rPr>
            <w:shd w:fill="auto" w:val="clear"/>
          </w:rPr>
          <w:t>17.4 Phase de réversibilité</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_Toc3898 \h</w:instrText>
        </w:r>
        <w:r>
          <w:rPr>
            <w:webHidden/>
          </w:rPr>
          <w:fldChar w:fldCharType="separate"/>
        </w:r>
        <w:r>
          <w:rPr>
            <w:shd w:fill="auto" w:val="clear"/>
          </w:rPr>
          <w:fldChar w:fldCharType="begin"/>
        </w:r>
        <w:r>
          <w:rPr>
            <w:webHidden/>
          </w:rPr>
          <w:fldChar w:fldCharType="end"/>
        </w:r>
        <w:r>
          <w:rPr>
            <w:shd w:fill="auto" w:val="clear"/>
          </w:rPr>
          <w:instrText> PAGEREF _Toc3898 \h </w:instrText>
        </w:r>
        <w:r>
          <w:rPr>
            <w:shd w:fill="auto" w:val="clear"/>
          </w:rPr>
          <w:fldChar w:fldCharType="separate"/>
        </w:r>
        <w:r>
          <w:rPr>
            <w:shd w:fill="auto" w:val="clear"/>
          </w:rPr>
          <w:t>15</w:t>
        </w:r>
        <w:r>
          <w:rPr>
            <w:shd w:fill="auto" w:val="clear"/>
          </w:rPr>
          <w:fldChar w:fldCharType="end"/>
        </w:r>
      </w:hyperlink>
    </w:p>
    <w:p>
      <w:pPr>
        <w:pStyle w:val="Tabledesmatiresniveau1"/>
        <w:tabs>
          <w:tab w:val="right" w:pos="8290" w:leader="dot"/>
          <w:tab w:val="right" w:pos="9637" w:leader="dot"/>
        </w:tabs>
        <w:rPr/>
      </w:pPr>
      <w:hyperlink w:anchor="_Toc3899" w:tgtFrame="#_Toc3899">
        <w:r>
          <w:rPr>
            <w:shd w:fill="auto" w:val="clear"/>
          </w:rPr>
          <w:t>Article 18 - LOGICIEL E-ATTESTATIONS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_Toc3899 \h</w:instrText>
        </w:r>
        <w:r>
          <w:rPr>
            <w:webHidden/>
          </w:rPr>
          <w:fldChar w:fldCharType="separate"/>
        </w:r>
        <w:r>
          <w:rPr>
            <w:shd w:fill="auto" w:val="clear"/>
          </w:rPr>
          <w:fldChar w:fldCharType="begin"/>
        </w:r>
        <w:r>
          <w:rPr>
            <w:webHidden/>
          </w:rPr>
          <w:fldChar w:fldCharType="end"/>
        </w:r>
        <w:r>
          <w:rPr>
            <w:shd w:fill="auto" w:val="clear"/>
          </w:rPr>
          <w:instrText> PAGEREF _Toc3899 \h </w:instrText>
        </w:r>
        <w:r>
          <w:rPr>
            <w:shd w:fill="auto" w:val="clear"/>
          </w:rPr>
          <w:fldChar w:fldCharType="separate"/>
        </w:r>
        <w:r>
          <w:rPr>
            <w:shd w:fill="auto" w:val="clear"/>
          </w:rPr>
          <w:t>16</w:t>
        </w:r>
        <w:r>
          <w:rPr>
            <w:shd w:fill="auto" w:val="clear"/>
          </w:rPr>
          <w:fldChar w:fldCharType="end"/>
        </w:r>
      </w:hyperlink>
    </w:p>
    <w:p>
      <w:pPr>
        <w:pStyle w:val="Tabledesmatiresniveau1"/>
        <w:tabs>
          <w:tab w:val="right" w:pos="8290" w:leader="dot"/>
          <w:tab w:val="right" w:pos="9637" w:leader="dot"/>
        </w:tabs>
        <w:rPr/>
      </w:pPr>
      <w:hyperlink w:anchor="_Toc3900" w:tgtFrame="#_Toc3900">
        <w:r>
          <w:rPr>
            <w:shd w:fill="auto" w:val="clear"/>
          </w:rPr>
          <w:t>Article 19 - LOI APPLICABLE</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_Toc3900 \h</w:instrText>
        </w:r>
        <w:r>
          <w:rPr>
            <w:webHidden/>
          </w:rPr>
          <w:fldChar w:fldCharType="separate"/>
        </w:r>
        <w:r>
          <w:rPr>
            <w:shd w:fill="auto" w:val="clear"/>
          </w:rPr>
          <w:fldChar w:fldCharType="begin"/>
        </w:r>
        <w:r>
          <w:rPr>
            <w:webHidden/>
          </w:rPr>
          <w:fldChar w:fldCharType="end"/>
        </w:r>
        <w:r>
          <w:rPr>
            <w:shd w:fill="auto" w:val="clear"/>
          </w:rPr>
          <w:instrText> PAGEREF _Toc3900 \h </w:instrText>
        </w:r>
        <w:r>
          <w:rPr>
            <w:shd w:fill="auto" w:val="clear"/>
          </w:rPr>
          <w:fldChar w:fldCharType="separate"/>
        </w:r>
        <w:r>
          <w:rPr>
            <w:shd w:fill="auto" w:val="clear"/>
          </w:rPr>
          <w:t>16</w:t>
        </w:r>
        <w:r>
          <w:rPr>
            <w:shd w:fill="auto" w:val="clear"/>
          </w:rPr>
          <w:fldChar w:fldCharType="end"/>
        </w:r>
      </w:hyperlink>
    </w:p>
    <w:p>
      <w:pPr>
        <w:pStyle w:val="Tabledesmatiresniveau1"/>
        <w:tabs>
          <w:tab w:val="right" w:pos="8290" w:leader="dot"/>
          <w:tab w:val="right" w:pos="9637" w:leader="dot"/>
        </w:tabs>
        <w:rPr/>
      </w:pPr>
      <w:hyperlink w:anchor="_Toc3901" w:tgtFrame="#_Toc3901">
        <w:r>
          <w:rPr>
            <w:shd w:fill="auto" w:val="clear"/>
          </w:rPr>
          <w:t>Article 20 - CONFORMITE AUX NORMES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_Toc3901 \h</w:instrText>
        </w:r>
        <w:r>
          <w:rPr>
            <w:webHidden/>
          </w:rPr>
          <w:fldChar w:fldCharType="separate"/>
        </w:r>
        <w:r>
          <w:rPr>
            <w:shd w:fill="auto" w:val="clear"/>
          </w:rPr>
          <w:fldChar w:fldCharType="begin"/>
        </w:r>
        <w:r>
          <w:rPr>
            <w:webHidden/>
          </w:rPr>
          <w:fldChar w:fldCharType="end"/>
        </w:r>
        <w:r>
          <w:rPr>
            <w:shd w:fill="auto" w:val="clear"/>
          </w:rPr>
          <w:instrText> PAGEREF _Toc3901 \h </w:instrText>
        </w:r>
        <w:r>
          <w:rPr>
            <w:shd w:fill="auto" w:val="clear"/>
          </w:rPr>
          <w:fldChar w:fldCharType="separate"/>
        </w:r>
        <w:r>
          <w:rPr>
            <w:shd w:fill="auto" w:val="clear"/>
          </w:rPr>
          <w:t>16</w:t>
        </w:r>
        <w:r>
          <w:rPr>
            <w:shd w:fill="auto" w:val="clear"/>
          </w:rPr>
          <w:fldChar w:fldCharType="end"/>
        </w:r>
      </w:hyperlink>
    </w:p>
    <w:p>
      <w:pPr>
        <w:pStyle w:val="Tabledesmatiresniveau1"/>
        <w:tabs>
          <w:tab w:val="right" w:pos="8290" w:leader="dot"/>
          <w:tab w:val="right" w:pos="9637" w:leader="dot"/>
        </w:tabs>
        <w:rPr/>
      </w:pPr>
      <w:hyperlink w:anchor="_Toc3902" w:tgtFrame="#_Toc3902">
        <w:r>
          <w:rPr>
            <w:shd w:fill="auto" w:val="clear"/>
          </w:rPr>
          <w:t>Article 21 - ASSURANCES</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_Toc3902 \h</w:instrText>
        </w:r>
        <w:r>
          <w:rPr>
            <w:webHidden/>
          </w:rPr>
          <w:fldChar w:fldCharType="separate"/>
        </w:r>
        <w:r>
          <w:rPr>
            <w:shd w:fill="auto" w:val="clear"/>
          </w:rPr>
          <w:fldChar w:fldCharType="begin"/>
        </w:r>
        <w:r>
          <w:rPr>
            <w:webHidden/>
          </w:rPr>
          <w:fldChar w:fldCharType="end"/>
        </w:r>
        <w:r>
          <w:rPr>
            <w:shd w:fill="auto" w:val="clear"/>
          </w:rPr>
          <w:instrText> PAGEREF _Toc3902 \h </w:instrText>
        </w:r>
        <w:r>
          <w:rPr>
            <w:shd w:fill="auto" w:val="clear"/>
          </w:rPr>
          <w:fldChar w:fldCharType="separate"/>
        </w:r>
        <w:r>
          <w:rPr>
            <w:shd w:fill="auto" w:val="clear"/>
          </w:rPr>
          <w:t>16</w:t>
        </w:r>
        <w:r>
          <w:rPr>
            <w:shd w:fill="auto" w:val="clear"/>
          </w:rPr>
          <w:fldChar w:fldCharType="end"/>
        </w:r>
      </w:hyperlink>
    </w:p>
    <w:p>
      <w:pPr>
        <w:pStyle w:val="Tabledesmatiresniveau1"/>
        <w:tabs>
          <w:tab w:val="right" w:pos="8290" w:leader="dot"/>
          <w:tab w:val="right" w:pos="9637" w:leader="dot"/>
        </w:tabs>
        <w:rPr/>
      </w:pPr>
      <w:hyperlink w:anchor="_Toc3903" w:tgtFrame="#_Toc3903">
        <w:r>
          <w:rPr>
            <w:shd w:fill="auto" w:val="clear"/>
          </w:rPr>
          <w:t>Article 22 - DEROGATIONS AUX DOCUMENTS GENERAUX</w:t>
          <w:tab/>
        </w:r>
        <w:r>
          <w:fldChar w:fldCharType="begin"/>
        </w:r>
        <w:r>
          <w:rPr>
            <w:shd w:fill="auto" w:val="clear"/>
          </w:rPr>
        </w:r>
        <w:r>
          <w:rPr>
            <w:shd w:fill="auto" w:val="clear"/>
          </w:rPr>
        </w:r>
        <w:r>
          <w:rPr>
            <w:shd w:fill="auto" w:val="clear"/>
          </w:rPr>
          <w:fldChar w:fldCharType="separate"/>
        </w:r>
        <w:r>
          <w:rPr>
            <w:shd w:fill="auto" w:val="clear"/>
          </w:rPr>
        </w:r>
        <w:r>
          <w:rPr>
            <w:shd w:fill="auto" w:val="clear"/>
          </w:rPr>
        </w:r>
        <w:r>
          <w:rPr>
            <w:shd w:fill="auto" w:val="clear"/>
          </w:rPr>
          <w:fldChar w:fldCharType="end"/>
        </w:r>
        <w:r>
          <w:rPr>
            <w:webHidden/>
          </w:rPr>
          <w:fldChar w:fldCharType="begin"/>
        </w:r>
        <w:r>
          <w:rPr>
            <w:webHidden/>
          </w:rPr>
          <w:instrText>PAGEREF _Toc3903 \h</w:instrText>
        </w:r>
        <w:r>
          <w:rPr>
            <w:webHidden/>
          </w:rPr>
          <w:fldChar w:fldCharType="separate"/>
        </w:r>
        <w:r>
          <w:rPr>
            <w:shd w:fill="auto" w:val="clear"/>
          </w:rPr>
          <w:fldChar w:fldCharType="begin"/>
        </w:r>
        <w:r>
          <w:rPr>
            <w:webHidden/>
          </w:rPr>
          <w:fldChar w:fldCharType="end"/>
        </w:r>
        <w:r>
          <w:rPr>
            <w:shd w:fill="auto" w:val="clear"/>
          </w:rPr>
          <w:instrText> PAGEREF _Toc3903 \h </w:instrText>
        </w:r>
        <w:r>
          <w:rPr>
            <w:shd w:fill="auto" w:val="clear"/>
          </w:rPr>
          <w:fldChar w:fldCharType="separate"/>
        </w:r>
        <w:r>
          <w:rPr>
            <w:shd w:fill="auto" w:val="clear"/>
          </w:rPr>
          <w:t>17</w:t>
        </w:r>
        <w:r>
          <w:rPr>
            <w:shd w:fill="auto" w:val="clear"/>
          </w:rPr>
          <w:fldChar w:fldCharType="end"/>
        </w:r>
      </w:hyperlink>
      <w:r>
        <w:br w:type="page"/>
      </w:r>
    </w:p>
    <w:p>
      <w:pPr>
        <w:pStyle w:val="Titre1"/>
        <w:numPr>
          <w:ilvl w:val="0"/>
          <w:numId w:val="2"/>
        </w:numPr>
        <w:rPr>
          <w:highlight w:val="none"/>
          <w:shd w:fill="auto" w:val="clear"/>
        </w:rPr>
      </w:pPr>
      <w:bookmarkStart w:id="1" w:name="_Toc3844"/>
      <w:r>
        <w:rPr>
          <w:shd w:fill="auto" w:val="clear"/>
        </w:rPr>
        <w:t>OBJET ET DUREE DU MARCHE</w:t>
      </w:r>
      <w:bookmarkEnd w:id="1"/>
    </w:p>
    <w:p>
      <w:pPr>
        <w:pStyle w:val="Titre2"/>
        <w:numPr>
          <w:ilvl w:val="1"/>
          <w:numId w:val="2"/>
        </w:numPr>
        <w:rPr>
          <w:highlight w:val="none"/>
          <w:shd w:fill="auto" w:val="clear"/>
        </w:rPr>
      </w:pPr>
      <w:bookmarkStart w:id="2" w:name="_Toc3845"/>
      <w:r>
        <w:rPr>
          <w:shd w:fill="auto" w:val="clear"/>
        </w:rPr>
        <w:t>Intitulé et Objet des prestations</w:t>
      </w:r>
      <w:bookmarkEnd w:id="2"/>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Intitulé de la consultation :  Service d'agence de voyage pour la Ville de Marseille – déplacements protocolaires</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La présente consultation a pour objet la réservation de titres de transport, d’hébergements hôteliers et de prestations associées pour la Ville de Marseille dans le cadre de déplacements protocolaires.</w:t>
      </w:r>
    </w:p>
    <w:p>
      <w:pPr>
        <w:pStyle w:val="Titre2"/>
        <w:numPr>
          <w:ilvl w:val="1"/>
          <w:numId w:val="2"/>
        </w:numPr>
        <w:rPr>
          <w:highlight w:val="none"/>
          <w:shd w:fill="auto" w:val="clear"/>
        </w:rPr>
      </w:pPr>
      <w:bookmarkStart w:id="3" w:name="_Toc3846"/>
      <w:r>
        <w:rPr>
          <w:shd w:fill="auto" w:val="clear"/>
        </w:rPr>
        <w:t>Procédure</w:t>
      </w:r>
      <w:bookmarkEnd w:id="3"/>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La procédure de passation est la suivante : APPEL D'OFFRES OUVERT - selon les articles suivants :  articles R2124-2, R2161-2 à 5 du Code de la commande publique.</w:t>
      </w:r>
    </w:p>
    <w:p>
      <w:pPr>
        <w:pStyle w:val="Normal"/>
        <w:rPr>
          <w:rFonts w:ascii="arial" w:hAnsi="arial" w:eastAsia="arial" w:cs="arial"/>
          <w:color w:val="000000"/>
          <w:sz w:val="2"/>
          <w:highlight w:val="none"/>
          <w:shd w:fill="auto" w:val="clear"/>
        </w:rPr>
      </w:pPr>
      <w:r>
        <w:rPr>
          <w:rFonts w:eastAsia="arial" w:cs="arial" w:ascii="arial" w:hAnsi="arial"/>
          <w:color w:val="000000"/>
          <w:sz w:val="2"/>
          <w:shd w:fill="auto" w:val="clear"/>
        </w:rPr>
      </w:r>
    </w:p>
    <w:p>
      <w:pPr>
        <w:pStyle w:val="Normal"/>
        <w:spacing w:before="0" w:after="0"/>
        <w:ind w:left="0" w:right="0" w:hanging="0"/>
        <w:jc w:val="both"/>
        <w:rPr>
          <w:highlight w:val="none"/>
          <w:shd w:fill="auto" w:val="clear"/>
        </w:rPr>
      </w:pPr>
      <w:r>
        <w:rPr>
          <w:rFonts w:eastAsia="Arial" w:cs="Arial"/>
          <w:color w:val="000000"/>
          <w:sz w:val="20"/>
          <w:shd w:fill="auto" w:val="clear"/>
        </w:rPr>
        <w:t xml:space="preserve">Conformément à l'article R2122-7 du Code de la commande publique, le pouvoir adjudicateur se réserve la possibilité de conclure ultérieurement, avec le titulaire du marché, un marché ayant pour objet la réalisation de prestations similaires à celles confiées au titulaire dans le cadre de la présente consultation. </w:t>
      </w:r>
    </w:p>
    <w:p>
      <w:pPr>
        <w:pStyle w:val="Titre2"/>
        <w:numPr>
          <w:ilvl w:val="1"/>
          <w:numId w:val="2"/>
        </w:numPr>
        <w:rPr>
          <w:highlight w:val="none"/>
          <w:shd w:fill="auto" w:val="clear"/>
        </w:rPr>
      </w:pPr>
      <w:bookmarkStart w:id="4" w:name="_Toc3847"/>
      <w:r>
        <w:rPr>
          <w:shd w:fill="auto" w:val="clear"/>
        </w:rPr>
        <w:t>Décomposition en Lots, Tranches et postes</w:t>
      </w:r>
      <w:bookmarkEnd w:id="4"/>
    </w:p>
    <w:p>
      <w:pPr>
        <w:pStyle w:val="Titre3"/>
        <w:numPr>
          <w:ilvl w:val="2"/>
          <w:numId w:val="2"/>
        </w:numPr>
        <w:rPr>
          <w:highlight w:val="none"/>
          <w:shd w:fill="auto" w:val="clear"/>
        </w:rPr>
      </w:pPr>
      <w:bookmarkStart w:id="5" w:name="_Toc3848"/>
      <w:r>
        <w:rPr>
          <w:shd w:fill="auto" w:val="clear"/>
        </w:rPr>
        <w:t>Décomposition en lots</w:t>
      </w:r>
      <w:bookmarkEnd w:id="5"/>
    </w:p>
    <w:p>
      <w:pPr>
        <w:pStyle w:val="Normal"/>
        <w:rPr>
          <w:highlight w:val="none"/>
          <w:shd w:fill="auto" w:val="clear"/>
        </w:rPr>
      </w:pPr>
      <w:r>
        <w:rPr>
          <w:rFonts w:eastAsia="arial" w:cs="arial" w:ascii="arial" w:hAnsi="arial"/>
          <w:b w:val="false"/>
          <w:i w:val="false"/>
          <w:color w:val="000000"/>
          <w:sz w:val="20"/>
          <w:u w:val="none"/>
          <w:shd w:fill="auto" w:val="clear"/>
        </w:rPr>
        <w:t>La présente consultation n’est pas allotie.</w:t>
      </w:r>
    </w:p>
    <w:p>
      <w:pPr>
        <w:pStyle w:val="Titre3"/>
        <w:numPr>
          <w:ilvl w:val="2"/>
          <w:numId w:val="2"/>
        </w:numPr>
        <w:rPr>
          <w:highlight w:val="none"/>
          <w:shd w:fill="auto" w:val="clear"/>
        </w:rPr>
      </w:pPr>
      <w:bookmarkStart w:id="6" w:name="_Toc3849"/>
      <w:r>
        <w:rPr>
          <w:shd w:fill="auto" w:val="clear"/>
        </w:rPr>
        <w:t>Décomposition en tranches</w:t>
      </w:r>
      <w:bookmarkEnd w:id="6"/>
    </w:p>
    <w:p>
      <w:pPr>
        <w:pStyle w:val="Normal"/>
        <w:rPr>
          <w:highlight w:val="none"/>
          <w:shd w:fill="auto" w:val="clear"/>
        </w:rPr>
      </w:pPr>
      <w:r>
        <w:rPr>
          <w:rFonts w:eastAsia="arial" w:cs="arial" w:ascii="arial" w:hAnsi="arial"/>
          <w:b w:val="false"/>
          <w:i w:val="false"/>
          <w:color w:val="000000"/>
          <w:sz w:val="20"/>
          <w:u w:val="none"/>
          <w:shd w:fill="auto" w:val="clear"/>
        </w:rPr>
        <w:t>L'ensemble des prestations n'est pas subdivisé en tranches.</w:t>
      </w:r>
    </w:p>
    <w:p>
      <w:pPr>
        <w:pStyle w:val="Titre3"/>
        <w:numPr>
          <w:ilvl w:val="2"/>
          <w:numId w:val="2"/>
        </w:numPr>
        <w:rPr>
          <w:highlight w:val="none"/>
          <w:shd w:fill="auto" w:val="clear"/>
        </w:rPr>
      </w:pPr>
      <w:bookmarkStart w:id="7" w:name="_Toc3850"/>
      <w:r>
        <w:rPr>
          <w:shd w:fill="auto" w:val="clear"/>
        </w:rPr>
        <w:t>Décomposition en postes</w:t>
      </w:r>
      <w:bookmarkEnd w:id="7"/>
    </w:p>
    <w:p>
      <w:pPr>
        <w:pStyle w:val="Normal"/>
        <w:rPr>
          <w:highlight w:val="none"/>
          <w:shd w:fill="auto" w:val="clear"/>
        </w:rPr>
      </w:pPr>
      <w:r>
        <w:rPr>
          <w:rFonts w:eastAsia="arial" w:cs="arial" w:ascii="arial" w:hAnsi="arial"/>
          <w:b w:val="false"/>
          <w:i w:val="false"/>
          <w:color w:val="000000"/>
          <w:sz w:val="20"/>
          <w:u w:val="none"/>
          <w:shd w:fill="auto" w:val="clear"/>
        </w:rPr>
        <w:t>L'ensemble des prestations n'est pas subdivisé en postes.</w:t>
      </w:r>
    </w:p>
    <w:p>
      <w:pPr>
        <w:pStyle w:val="Titre2"/>
        <w:numPr>
          <w:ilvl w:val="1"/>
          <w:numId w:val="2"/>
        </w:numPr>
        <w:rPr>
          <w:highlight w:val="none"/>
          <w:shd w:fill="auto" w:val="clear"/>
        </w:rPr>
      </w:pPr>
      <w:bookmarkStart w:id="8" w:name="_Toc3851"/>
      <w:r>
        <w:rPr>
          <w:shd w:fill="auto" w:val="clear"/>
        </w:rPr>
        <w:t>Modalités d'exécution des tranches optionnelles</w:t>
      </w:r>
      <w:bookmarkEnd w:id="8"/>
    </w:p>
    <w:p>
      <w:pPr>
        <w:pStyle w:val="Normal"/>
        <w:rPr>
          <w:highlight w:val="none"/>
          <w:shd w:fill="auto" w:val="clear"/>
        </w:rPr>
      </w:pPr>
      <w:r>
        <w:rPr>
          <w:rFonts w:eastAsia="arial" w:cs="arial" w:ascii="arial" w:hAnsi="arial"/>
          <w:b w:val="false"/>
          <w:i w:val="false"/>
          <w:color w:val="000000"/>
          <w:sz w:val="20"/>
          <w:u w:val="none"/>
          <w:shd w:fill="auto" w:val="clear"/>
        </w:rPr>
        <w:t>L'ensemble des prestations n'est pas subdivisé en tranches.</w:t>
      </w:r>
    </w:p>
    <w:p>
      <w:pPr>
        <w:pStyle w:val="Titre2"/>
        <w:numPr>
          <w:ilvl w:val="1"/>
          <w:numId w:val="2"/>
        </w:numPr>
        <w:rPr>
          <w:highlight w:val="none"/>
          <w:shd w:fill="auto" w:val="clear"/>
        </w:rPr>
      </w:pPr>
      <w:bookmarkStart w:id="9" w:name="_Toc3852"/>
      <w:r>
        <w:rPr>
          <w:shd w:fill="auto" w:val="clear"/>
        </w:rPr>
        <w:t>Accord-cadre à bons de commande</w:t>
      </w:r>
      <w:bookmarkEnd w:id="9"/>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présent marché est un accord-cadre exécuté par l'émission de bons de commande, en application des articles R2162-1 à 6 et R2162-13 et 14 du Code de la commande publique.</w:t>
      </w:r>
    </w:p>
    <w:p>
      <w:pPr>
        <w:pStyle w:val="Normal"/>
        <w:rPr>
          <w:highlight w:val="none"/>
          <w:shd w:fill="auto" w:val="clear"/>
        </w:rPr>
      </w:pPr>
      <w:r>
        <w:rPr>
          <w:rFonts w:eastAsia="arial" w:cs="arial" w:ascii="arial" w:hAnsi="arial"/>
          <w:b w:val="false"/>
          <w:i w:val="false"/>
          <w:color w:val="000000"/>
          <w:sz w:val="20"/>
          <w:u w:val="none"/>
          <w:shd w:fill="auto" w:val="clear"/>
        </w:rPr>
        <w:t>Les bons de commandes seront émis dans les conditions et limites suivantes par période annuelle :</w:t>
      </w:r>
    </w:p>
    <w:p>
      <w:pPr>
        <w:pStyle w:val="Normal"/>
        <w:rPr>
          <w:highlight w:val="none"/>
          <w:shd w:fill="auto" w:val="clear"/>
        </w:rPr>
      </w:pPr>
      <w:r>
        <w:rPr>
          <w:rFonts w:eastAsia="arial" w:cs="arial" w:ascii="arial" w:hAnsi="arial"/>
          <w:b w:val="false"/>
          <w:i w:val="false"/>
          <w:color w:val="000000"/>
          <w:sz w:val="20"/>
          <w:u w:val="none"/>
          <w:shd w:fill="auto" w:val="clear"/>
        </w:rPr>
        <w:t>Montant minimum annuel : 0 € HT</w:t>
      </w:r>
    </w:p>
    <w:p>
      <w:pPr>
        <w:pStyle w:val="Normal"/>
        <w:rPr>
          <w:highlight w:val="none"/>
          <w:shd w:fill="auto" w:val="clear"/>
        </w:rPr>
      </w:pPr>
      <w:r>
        <w:rPr>
          <w:rFonts w:eastAsia="arial" w:cs="arial" w:ascii="arial" w:hAnsi="arial"/>
          <w:b w:val="false"/>
          <w:i w:val="false"/>
          <w:color w:val="000000"/>
          <w:sz w:val="20"/>
          <w:u w:val="none"/>
          <w:shd w:fill="auto" w:val="clear"/>
        </w:rPr>
        <w:t>Montant maximum annuel : 300 000 € HT</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bons de commandes pourront être émis jusqu'au dernier jour de la période de validité du marché.</w:t>
      </w:r>
    </w:p>
    <w:p>
      <w:pPr>
        <w:pStyle w:val="Titre2"/>
        <w:numPr>
          <w:ilvl w:val="1"/>
          <w:numId w:val="2"/>
        </w:numPr>
        <w:rPr>
          <w:highlight w:val="none"/>
          <w:shd w:fill="auto" w:val="clear"/>
        </w:rPr>
      </w:pPr>
      <w:bookmarkStart w:id="10" w:name="_Toc3853"/>
      <w:r>
        <w:rPr>
          <w:shd w:fill="auto" w:val="clear"/>
        </w:rPr>
        <w:t>Date d'effet du marché</w:t>
      </w:r>
      <w:bookmarkEnd w:id="10"/>
    </w:p>
    <w:p>
      <w:pPr>
        <w:pStyle w:val="Normal"/>
        <w:rPr>
          <w:highlight w:val="none"/>
          <w:shd w:fill="auto" w:val="clear"/>
        </w:rPr>
      </w:pPr>
      <w:r>
        <w:rPr>
          <w:rFonts w:eastAsia="arial" w:cs="arial" w:ascii="arial" w:hAnsi="arial"/>
          <w:b w:val="false"/>
          <w:i w:val="false"/>
          <w:color w:val="000000"/>
          <w:sz w:val="20"/>
          <w:u w:val="none"/>
          <w:shd w:fill="auto" w:val="clear"/>
        </w:rPr>
        <w:t>La date de début de la période de validité et d'exécution du marché est la date de notification du marché au titulaire.</w:t>
      </w:r>
    </w:p>
    <w:p>
      <w:pPr>
        <w:pStyle w:val="Titre2"/>
        <w:numPr>
          <w:ilvl w:val="1"/>
          <w:numId w:val="2"/>
        </w:numPr>
        <w:rPr>
          <w:highlight w:val="none"/>
          <w:shd w:fill="auto" w:val="clear"/>
        </w:rPr>
      </w:pPr>
      <w:bookmarkStart w:id="11" w:name="_Toc3854"/>
      <w:r>
        <w:rPr>
          <w:shd w:fill="auto" w:val="clear"/>
        </w:rPr>
        <w:t>Durée du marché - Période de validité</w:t>
      </w:r>
      <w:bookmarkEnd w:id="11"/>
    </w:p>
    <w:p>
      <w:pPr>
        <w:pStyle w:val="Normal"/>
        <w:rPr>
          <w:highlight w:val="none"/>
          <w:shd w:fill="auto" w:val="clear"/>
        </w:rPr>
      </w:pPr>
      <w:r>
        <w:rPr>
          <w:rFonts w:eastAsia="arial" w:cs="arial" w:ascii="arial" w:hAnsi="arial"/>
          <w:b w:val="false"/>
          <w:i w:val="false"/>
          <w:color w:val="000000"/>
          <w:sz w:val="20"/>
          <w:u w:val="none"/>
          <w:shd w:fill="auto" w:val="clear"/>
        </w:rPr>
        <w:t>La durée du marché se définit comme suit :</w:t>
      </w:r>
    </w:p>
    <w:p>
      <w:pPr>
        <w:pStyle w:val="Normal"/>
        <w:spacing w:before="0" w:after="200"/>
        <w:ind w:left="0" w:right="0" w:hanging="0"/>
        <w:jc w:val="both"/>
        <w:rPr>
          <w:highlight w:val="none"/>
          <w:shd w:fill="auto" w:val="clear"/>
        </w:rPr>
      </w:pPr>
      <w:r>
        <w:rPr>
          <w:rFonts w:eastAsia="Arial" w:cs="Arial"/>
          <w:color w:val="000000"/>
          <w:sz w:val="20"/>
          <w:shd w:fill="auto" w:val="clear"/>
        </w:rPr>
        <w:t>La durée du marché est de 12 mois à compter de la date de notification du marché au titulaire.</w:t>
      </w:r>
    </w:p>
    <w:p>
      <w:pPr>
        <w:pStyle w:val="Normal"/>
        <w:spacing w:before="200" w:after="200"/>
        <w:ind w:left="0" w:right="0" w:hanging="0"/>
        <w:jc w:val="both"/>
        <w:rPr>
          <w:highlight w:val="none"/>
          <w:shd w:fill="auto" w:val="clear"/>
        </w:rPr>
      </w:pPr>
      <w:r>
        <w:rPr>
          <w:rFonts w:eastAsia="Arial" w:cs="Arial"/>
          <w:color w:val="000000"/>
          <w:sz w:val="20"/>
          <w:shd w:fill="auto" w:val="clear"/>
        </w:rPr>
        <w:t>Le marché est reconductible par période de 12 mois, dans la limite de 3 reconductions.</w:t>
      </w:r>
    </w:p>
    <w:p>
      <w:pPr>
        <w:pStyle w:val="Normal"/>
        <w:spacing w:before="200" w:after="200"/>
        <w:ind w:left="0" w:right="0" w:hanging="0"/>
        <w:jc w:val="both"/>
        <w:rPr>
          <w:highlight w:val="none"/>
          <w:shd w:fill="auto" w:val="clear"/>
        </w:rPr>
      </w:pPr>
      <w:r>
        <w:rPr>
          <w:rFonts w:eastAsia="Arial" w:cs="Arial"/>
          <w:color w:val="000000"/>
          <w:sz w:val="20"/>
          <w:shd w:fill="auto" w:val="clear"/>
        </w:rPr>
        <w:t>La reconduction du marché se fera de manière tacite.</w:t>
      </w:r>
    </w:p>
    <w:p>
      <w:pPr>
        <w:pStyle w:val="Normal"/>
        <w:spacing w:before="200" w:after="200"/>
        <w:ind w:left="0" w:right="0" w:hanging="0"/>
        <w:jc w:val="both"/>
        <w:rPr>
          <w:highlight w:val="none"/>
          <w:shd w:fill="auto" w:val="clear"/>
        </w:rPr>
      </w:pPr>
      <w:r>
        <w:rPr>
          <w:rFonts w:eastAsia="Arial" w:cs="Arial"/>
          <w:color w:val="000000"/>
          <w:sz w:val="20"/>
          <w:shd w:fill="auto" w:val="clear"/>
        </w:rPr>
        <w:t>Cependant, si le montant maximum du marché est atteint avant la fin de la période de 12 mois, le marché pourra être reconduit par anticipation de manière expresse. Le cas échéant, le représentant du pouvoir adjudicateur transmet sa décision de reconduction anticipée au titulaire par lettre recommandée avec accusé de réception.</w:t>
      </w:r>
    </w:p>
    <w:p>
      <w:pPr>
        <w:pStyle w:val="Normal"/>
        <w:spacing w:before="200" w:after="200"/>
        <w:ind w:left="0" w:right="0" w:hanging="0"/>
        <w:jc w:val="both"/>
        <w:rPr>
          <w:highlight w:val="none"/>
          <w:shd w:fill="auto" w:val="clear"/>
        </w:rPr>
      </w:pPr>
      <w:r>
        <w:rPr>
          <w:rFonts w:eastAsia="Arial" w:cs="Arial"/>
          <w:color w:val="000000"/>
          <w:sz w:val="20"/>
          <w:shd w:fill="auto" w:val="clear"/>
        </w:rPr>
        <w:t>On considèrera que le montant maximum est atteint quand le montant résiduel du marché ne permet plus la passation d'un bon de commande nécessaire à l'exécution d'une prestation.</w:t>
      </w:r>
    </w:p>
    <w:p>
      <w:pPr>
        <w:pStyle w:val="Normal"/>
        <w:spacing w:before="200" w:after="200"/>
        <w:ind w:left="0" w:right="0" w:hanging="0"/>
        <w:jc w:val="both"/>
        <w:rPr>
          <w:highlight w:val="none"/>
          <w:shd w:fill="auto" w:val="clear"/>
        </w:rPr>
      </w:pPr>
      <w:r>
        <w:rPr>
          <w:rFonts w:eastAsia="Arial" w:cs="Arial"/>
          <w:color w:val="000000"/>
          <w:sz w:val="20"/>
          <w:shd w:fill="auto" w:val="clear"/>
        </w:rPr>
        <w:t>En cas de décision de non-reconduction du marché, le représentant du pouvoir adjudicateur transmet sa décision au titulaire par lettre recommandée avec accusé de réception au plus tard 3 mois avant la fin de la durée de validité du marché.</w:t>
      </w:r>
    </w:p>
    <w:p>
      <w:pPr>
        <w:pStyle w:val="Titre2"/>
        <w:numPr>
          <w:ilvl w:val="1"/>
          <w:numId w:val="2"/>
        </w:numPr>
        <w:rPr>
          <w:highlight w:val="none"/>
          <w:shd w:fill="auto" w:val="clear"/>
        </w:rPr>
      </w:pPr>
      <w:bookmarkStart w:id="12" w:name="_Toc3855"/>
      <w:r>
        <w:rPr>
          <w:shd w:fill="auto" w:val="clear"/>
        </w:rPr>
        <w:t>Clause obligatoire d'insertion par l'activité économique</w:t>
      </w:r>
      <w:bookmarkEnd w:id="12"/>
    </w:p>
    <w:p>
      <w:pPr>
        <w:pStyle w:val="Normal"/>
        <w:rPr>
          <w:highlight w:val="none"/>
          <w:shd w:fill="auto" w:val="clear"/>
        </w:rPr>
      </w:pPr>
      <w:r>
        <w:rPr>
          <w:rFonts w:eastAsia="arial" w:cs="arial" w:ascii="arial" w:hAnsi="arial"/>
          <w:b w:val="false"/>
          <w:i w:val="false"/>
          <w:color w:val="000000"/>
          <w:sz w:val="20"/>
          <w:u w:val="none"/>
          <w:shd w:fill="auto" w:val="clear"/>
        </w:rPr>
        <w:t>Le marché ne prévoit pas la mise en place d'une clause obligatoire d'insertion par l'activité économique.</w:t>
      </w:r>
    </w:p>
    <w:p>
      <w:pPr>
        <w:pStyle w:val="Titre2"/>
        <w:numPr>
          <w:ilvl w:val="1"/>
          <w:numId w:val="2"/>
        </w:numPr>
        <w:rPr>
          <w:highlight w:val="none"/>
          <w:shd w:fill="auto" w:val="clear"/>
        </w:rPr>
      </w:pPr>
      <w:bookmarkStart w:id="13" w:name="_Toc3856"/>
      <w:r>
        <w:rPr>
          <w:shd w:fill="auto" w:val="clear"/>
        </w:rPr>
        <w:t xml:space="preserve">Réemploi, réutilisation ou intégration de matières recyclées </w:t>
      </w:r>
      <w:bookmarkEnd w:id="13"/>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Sans objet</w:t>
      </w:r>
    </w:p>
    <w:p>
      <w:pPr>
        <w:pStyle w:val="Titre1"/>
        <w:numPr>
          <w:ilvl w:val="0"/>
          <w:numId w:val="2"/>
        </w:numPr>
        <w:rPr>
          <w:highlight w:val="none"/>
          <w:shd w:fill="auto" w:val="clear"/>
        </w:rPr>
      </w:pPr>
      <w:bookmarkStart w:id="14" w:name="_Toc3857"/>
      <w:r>
        <w:rPr>
          <w:shd w:fill="auto" w:val="clear"/>
        </w:rPr>
        <w:t>DOCUMENTS CONTRACTUELS</w:t>
      </w:r>
      <w:bookmarkEnd w:id="14"/>
    </w:p>
    <w:p>
      <w:pPr>
        <w:pStyle w:val="Normal"/>
        <w:rPr>
          <w:highlight w:val="none"/>
          <w:shd w:fill="auto" w:val="clear"/>
        </w:rPr>
      </w:pPr>
      <w:r>
        <w:rPr>
          <w:rFonts w:eastAsia="arial" w:cs="arial" w:ascii="arial" w:hAnsi="arial"/>
          <w:b/>
          <w:i w:val="false"/>
          <w:color w:val="000000"/>
          <w:sz w:val="20"/>
          <w:u w:val="none"/>
          <w:shd w:fill="auto" w:val="clear"/>
        </w:rPr>
        <w:t>L</w:t>
      </w:r>
      <w:r>
        <w:rPr>
          <w:rFonts w:eastAsia="arial" w:cs="arial" w:ascii="arial" w:hAnsi="arial"/>
          <w:b w:val="false"/>
          <w:i w:val="false"/>
          <w:color w:val="000000"/>
          <w:sz w:val="20"/>
          <w:u w:val="none"/>
          <w:shd w:fill="auto" w:val="clear"/>
        </w:rPr>
        <w:t>es pièces constitutives du marché sont les suivantes par ordre de priorité décroissante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L'Acte d'Engagement (AE), et ses annexes désignées ci-après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ab/>
        <w:t xml:space="preserve">- Le Bordereau des Prix Unitaires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ab/>
        <w:t>- Protection des données et politique de sécurité</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présent cahier des clauses administratives particulières (C.C.A.P.)</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document intitulé Cahier des Clauses Techniques Particulières (C.C.T.P.)</w:t>
      </w:r>
      <w:r>
        <w:rPr>
          <w:shd w:fill="auto" w:val="clear"/>
        </w:rPr>
        <w:t xml:space="preserve">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cahier des clauses administratives générales (C.C.A.G.) applicable aux marchés publics de Fournitures courantes et de services approuvé par l'arrêté du 30 mars 2021 publié au JORF du 1er avril 2021</w:t>
      </w:r>
    </w:p>
    <w:p>
      <w:pPr>
        <w:pStyle w:val="Normal"/>
        <w:ind w:left="0" w:hanging="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mémoire technique du titulaire et tout document remis par lui à l’appui de son offre.</w:t>
      </w:r>
    </w:p>
    <w:p>
      <w:pPr>
        <w:pStyle w:val="Normal"/>
        <w:ind w:left="0" w:hanging="0"/>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Catalogue tarifaire ou le barème des prix publics du titulaire</w:t>
      </w:r>
    </w:p>
    <w:p>
      <w:pPr>
        <w:pStyle w:val="Titre1"/>
        <w:numPr>
          <w:ilvl w:val="0"/>
          <w:numId w:val="2"/>
        </w:numPr>
        <w:rPr>
          <w:highlight w:val="none"/>
          <w:shd w:fill="auto" w:val="clear"/>
        </w:rPr>
      </w:pPr>
      <w:bookmarkStart w:id="15" w:name="_Toc3858"/>
      <w:r>
        <w:rPr>
          <w:shd w:fill="auto" w:val="clear"/>
        </w:rPr>
        <w:t>DELAIS DE LIVRAISON ET/OU D'EXECUTION</w:t>
      </w:r>
      <w:bookmarkEnd w:id="15"/>
    </w:p>
    <w:p>
      <w:pPr>
        <w:pStyle w:val="Titre2"/>
        <w:numPr>
          <w:ilvl w:val="1"/>
          <w:numId w:val="2"/>
        </w:numPr>
        <w:rPr>
          <w:highlight w:val="none"/>
          <w:shd w:fill="auto" w:val="clear"/>
        </w:rPr>
      </w:pPr>
      <w:bookmarkStart w:id="16" w:name="_Toc3859"/>
      <w:r>
        <w:rPr>
          <w:shd w:fill="auto" w:val="clear"/>
        </w:rPr>
        <w:t>Délais</w:t>
      </w:r>
      <w:bookmarkEnd w:id="16"/>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Le délai d</w:t>
      </w:r>
      <w:r>
        <w:rPr>
          <w:rFonts w:eastAsia="Arial" w:cs="Arial"/>
          <w:b/>
          <w:color w:val="000000"/>
          <w:sz w:val="20"/>
          <w:shd w:fill="auto" w:val="clear"/>
        </w:rPr>
        <w:t xml:space="preserve">'exécution </w:t>
      </w:r>
      <w:r>
        <w:rPr>
          <w:rFonts w:eastAsia="Arial" w:cs="Arial"/>
          <w:color w:val="000000"/>
          <w:sz w:val="20"/>
          <w:shd w:fill="auto" w:val="clear"/>
        </w:rPr>
        <w:t xml:space="preserve">des prestations est renseigné dans le Cahier des Clauses Techniques Particulières. </w:t>
      </w:r>
    </w:p>
    <w:p>
      <w:pPr>
        <w:pStyle w:val="Titre2"/>
        <w:numPr>
          <w:ilvl w:val="1"/>
          <w:numId w:val="2"/>
        </w:numPr>
        <w:rPr>
          <w:highlight w:val="none"/>
          <w:shd w:fill="auto" w:val="clear"/>
        </w:rPr>
      </w:pPr>
      <w:bookmarkStart w:id="17" w:name="_Toc3860"/>
      <w:r>
        <w:rPr>
          <w:shd w:fill="auto" w:val="clear"/>
        </w:rPr>
        <w:t xml:space="preserve">Emission des bons de commande </w:t>
      </w:r>
      <w:bookmarkEnd w:id="17"/>
    </w:p>
    <w:p>
      <w:pPr>
        <w:pStyle w:val="Normal"/>
        <w:rPr>
          <w:highlight w:val="none"/>
          <w:shd w:fill="auto" w:val="clear"/>
        </w:rPr>
      </w:pPr>
      <w:r>
        <w:rPr>
          <w:rFonts w:eastAsia="arial" w:cs="arial" w:ascii="arial" w:hAnsi="arial"/>
          <w:b w:val="false"/>
          <w:i w:val="false"/>
          <w:color w:val="000000"/>
          <w:sz w:val="20"/>
          <w:u w:val="none"/>
          <w:shd w:fill="auto" w:val="clear"/>
        </w:rPr>
        <w:t>Les commandes sont faites au fur et à mesure des besoins par le moyen de bons de commande délivrés par le service et qui comporteront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 référence au marché,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La désignation de la </w:t>
      </w:r>
      <w:r>
        <w:rPr>
          <w:rFonts w:eastAsia="arial" w:cs="arial" w:ascii="arial" w:hAnsi="arial"/>
          <w:b/>
          <w:i w:val="false"/>
          <w:color w:val="000000"/>
          <w:sz w:val="20"/>
          <w:u w:val="none"/>
          <w:shd w:fill="auto" w:val="clear"/>
        </w:rPr>
        <w:t>prestation</w:t>
      </w:r>
      <w:r>
        <w:rPr>
          <w:rFonts w:eastAsia="arial" w:cs="arial" w:ascii="arial" w:hAnsi="arial"/>
          <w:b w:val="false"/>
          <w:i w:val="false"/>
          <w:color w:val="000000"/>
          <w:sz w:val="20"/>
          <w:u w:val="none"/>
          <w:shd w:fill="auto" w:val="clear"/>
        </w:rPr>
        <w:t xml:space="preserve"> à effectuer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 quantité commandée,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délai </w:t>
      </w:r>
      <w:r>
        <w:rPr>
          <w:rFonts w:eastAsia="arial" w:cs="arial" w:ascii="arial" w:hAnsi="arial"/>
          <w:b/>
          <w:i w:val="false"/>
          <w:color w:val="000000"/>
          <w:sz w:val="20"/>
          <w:u w:val="none"/>
          <w:shd w:fill="auto" w:val="clear"/>
        </w:rPr>
        <w:t>d'exécution,</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Le montant total en Euro HT et TTC du bon de commande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 date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personne habilitée à signer les bons de commande est : Le Directeur Général des Services</w:t>
      </w:r>
      <w:r>
        <w:rPr>
          <w:rFonts w:eastAsia="arial" w:cs="arial" w:ascii="arial" w:hAnsi="arial"/>
          <w:b/>
          <w:i w:val="false"/>
          <w:color w:val="000000"/>
          <w:sz w:val="20"/>
          <w:u w:val="none"/>
          <w:shd w:fill="auto" w:val="clear"/>
        </w:rPr>
        <w: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Les bons de commande seront notifiés par </w:t>
      </w:r>
      <w:r>
        <w:rPr>
          <w:rFonts w:eastAsia="arial" w:cs="arial" w:ascii="arial" w:hAnsi="arial"/>
          <w:b/>
          <w:i w:val="false"/>
          <w:color w:val="000000"/>
          <w:sz w:val="20"/>
          <w:u w:val="none"/>
          <w:shd w:fill="auto" w:val="clear"/>
        </w:rPr>
        <w:t>par mail</w:t>
      </w:r>
      <w:r>
        <w:rPr>
          <w:rFonts w:eastAsia="arial" w:cs="arial" w:ascii="arial" w:hAnsi="arial"/>
          <w:b w:val="false"/>
          <w:i w:val="false"/>
          <w:color w:val="000000"/>
          <w:sz w:val="20"/>
          <w:u w:val="none"/>
          <w:shd w:fill="auto" w:val="clear"/>
        </w:rPr>
        <w:t xml:space="preserve"> (avec accusé de réception).</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délai d'exécution commence à courir à compter de la date de notification du bon de commande.</w:t>
      </w:r>
    </w:p>
    <w:p>
      <w:pPr>
        <w:pStyle w:val="Titre1"/>
        <w:numPr>
          <w:ilvl w:val="0"/>
          <w:numId w:val="2"/>
        </w:numPr>
        <w:rPr>
          <w:highlight w:val="none"/>
          <w:shd w:fill="auto" w:val="clear"/>
        </w:rPr>
      </w:pPr>
      <w:bookmarkStart w:id="18" w:name="_Toc3861"/>
      <w:r>
        <w:rPr>
          <w:shd w:fill="auto" w:val="clear"/>
        </w:rPr>
        <w:t>ENTREPRISES GROUPEES</w:t>
      </w:r>
      <w:bookmarkEnd w:id="18"/>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mandataire du groupement représente l'ensemble des entrepreneurs, vis-à-vis du représentant du pouvoir adjudicateur pour l'exécution du marché.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Il assure, sous sa responsabilité, la coordination de ces entrepreneurs.</w:t>
      </w:r>
    </w:p>
    <w:p>
      <w:pPr>
        <w:pStyle w:val="Normal"/>
        <w:rPr>
          <w:highlight w:val="none"/>
          <w:shd w:fill="auto" w:val="clear"/>
        </w:rPr>
      </w:pPr>
      <w:r>
        <w:rPr>
          <w:rFonts w:eastAsia="arial" w:cs="arial" w:ascii="arial" w:hAnsi="arial"/>
          <w:b w:val="false"/>
          <w:i w:val="false"/>
          <w:color w:val="000000"/>
          <w:sz w:val="20"/>
          <w:u w:val="none"/>
          <w:shd w:fill="auto"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rPr>
          <w:highlight w:val="none"/>
          <w:shd w:fill="auto" w:val="clear"/>
        </w:rPr>
      </w:pPr>
      <w:r>
        <w:rPr>
          <w:rFonts w:eastAsia="arial" w:cs="arial" w:ascii="arial" w:hAnsi="arial"/>
          <w:b w:val="false"/>
          <w:i w:val="false"/>
          <w:color w:val="000000"/>
          <w:sz w:val="20"/>
          <w:u w:val="none"/>
          <w:shd w:fill="auto" w:val="clear"/>
        </w:rPr>
        <w:t>Dans le cas d'entrepreneurs groupés solidaires, si le marché ne désigne pas l'entrepreneur mandataire, celui qui est énuméré le premier dans l'acte d'engagement est le mandataire des autres entrepreneurs.</w:t>
      </w:r>
    </w:p>
    <w:p>
      <w:pPr>
        <w:pStyle w:val="Titre1"/>
        <w:numPr>
          <w:ilvl w:val="0"/>
          <w:numId w:val="2"/>
        </w:numPr>
        <w:rPr>
          <w:highlight w:val="none"/>
          <w:shd w:fill="auto" w:val="clear"/>
        </w:rPr>
      </w:pPr>
      <w:bookmarkStart w:id="19" w:name="_Toc3862"/>
      <w:r>
        <w:rPr>
          <w:shd w:fill="auto" w:val="clear"/>
        </w:rPr>
        <w:t>CONDITIONS DE LIVRAISON ET D'EXECUTION</w:t>
      </w:r>
      <w:bookmarkEnd w:id="19"/>
    </w:p>
    <w:p>
      <w:pPr>
        <w:pStyle w:val="Titre2"/>
        <w:numPr>
          <w:ilvl w:val="1"/>
          <w:numId w:val="2"/>
        </w:numPr>
        <w:rPr>
          <w:highlight w:val="none"/>
          <w:shd w:fill="auto" w:val="clear"/>
        </w:rPr>
      </w:pPr>
      <w:bookmarkStart w:id="20" w:name="_Toc3863"/>
      <w:r>
        <w:rPr>
          <w:shd w:fill="auto" w:val="clear"/>
        </w:rPr>
        <w:t>Transport  et Emballages</w:t>
      </w:r>
      <w:bookmarkEnd w:id="20"/>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Il n'est pas prévu de dispositions particulières.</w:t>
      </w:r>
    </w:p>
    <w:p>
      <w:pPr>
        <w:pStyle w:val="Titre2"/>
        <w:numPr>
          <w:ilvl w:val="1"/>
          <w:numId w:val="2"/>
        </w:numPr>
        <w:rPr>
          <w:highlight w:val="none"/>
          <w:shd w:fill="auto" w:val="clear"/>
        </w:rPr>
      </w:pPr>
      <w:bookmarkStart w:id="21" w:name="_Toc3864"/>
      <w:r>
        <w:rPr>
          <w:shd w:fill="auto" w:val="clear"/>
        </w:rPr>
        <w:t>Lieux d'exécution ou de livraison</w:t>
      </w:r>
      <w:bookmarkEnd w:id="21"/>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prestations sont réalisées dans les locaux du titulaire du marché.</w:t>
      </w:r>
    </w:p>
    <w:p>
      <w:pPr>
        <w:pStyle w:val="Titre1"/>
        <w:numPr>
          <w:ilvl w:val="0"/>
          <w:numId w:val="2"/>
        </w:numPr>
        <w:rPr>
          <w:highlight w:val="none"/>
          <w:shd w:fill="auto" w:val="clear"/>
        </w:rPr>
      </w:pPr>
      <w:bookmarkStart w:id="22" w:name="_Toc3865"/>
      <w:r>
        <w:rPr>
          <w:shd w:fill="auto" w:val="clear"/>
        </w:rPr>
        <w:t>CONDITIONS PARTICULIERES D'EXECUTION</w:t>
      </w:r>
      <w:bookmarkEnd w:id="22"/>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C.C.T.P. du marché fixe les conditions particulières d'exécution.</w:t>
      </w:r>
    </w:p>
    <w:p>
      <w:pPr>
        <w:pStyle w:val="Titre1"/>
        <w:numPr>
          <w:ilvl w:val="0"/>
          <w:numId w:val="2"/>
        </w:numPr>
        <w:rPr>
          <w:highlight w:val="none"/>
          <w:shd w:fill="auto" w:val="clear"/>
        </w:rPr>
      </w:pPr>
      <w:bookmarkStart w:id="23" w:name="_Toc3866"/>
      <w:r>
        <w:rPr>
          <w:shd w:fill="auto" w:val="clear"/>
        </w:rPr>
        <w:t>OPERATIONS DE VERIFICATIONS / ADMISSION</w:t>
      </w:r>
      <w:bookmarkEnd w:id="23"/>
    </w:p>
    <w:p>
      <w:pPr>
        <w:pStyle w:val="Titre2"/>
        <w:numPr>
          <w:ilvl w:val="1"/>
          <w:numId w:val="2"/>
        </w:numPr>
        <w:rPr>
          <w:highlight w:val="none"/>
          <w:shd w:fill="auto" w:val="clear"/>
        </w:rPr>
      </w:pPr>
      <w:bookmarkStart w:id="24" w:name="_Toc3867"/>
      <w:r>
        <w:rPr>
          <w:shd w:fill="auto" w:val="clear"/>
        </w:rPr>
        <w:t>Vérifications</w:t>
      </w:r>
      <w:bookmarkEnd w:id="24"/>
    </w:p>
    <w:p>
      <w:pPr>
        <w:pStyle w:val="Normal"/>
        <w:rPr>
          <w:highlight w:val="none"/>
          <w:shd w:fill="auto" w:val="clear"/>
        </w:rPr>
      </w:pPr>
      <w:r>
        <w:rPr>
          <w:rFonts w:eastAsia="arial" w:cs="arial" w:ascii="arial" w:hAnsi="arial"/>
          <w:b w:val="false"/>
          <w:i w:val="false"/>
          <w:color w:val="000000"/>
          <w:sz w:val="20"/>
          <w:u w:val="none"/>
          <w:shd w:fill="auto" w:val="clear"/>
        </w:rPr>
        <w:t>Les opérations de vérifications prévues ci-dessous sont effectuées dans les conditions prévues aux articles 27 à 29 du CCAG/FCS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Vérification quantitative : Lors de la livraison, le réceptionnaire procède à des vérifications quantitatives entre la prestation demandée et la prestation effectivement réalisée.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Vérification qualitative : Lors de la livraison, le réceptionnaire procède à des vérifications qualitatives et indiquera, s'il y a lieu, au titulaire tout défaut constaté par rapport à la prestation demandée.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L'article 27.3 du CCAG/FCS n'est pas applicable.</w:t>
      </w:r>
    </w:p>
    <w:p>
      <w:pPr>
        <w:pStyle w:val="Titre2"/>
        <w:numPr>
          <w:ilvl w:val="1"/>
          <w:numId w:val="2"/>
        </w:numPr>
        <w:rPr>
          <w:highlight w:val="none"/>
          <w:shd w:fill="auto" w:val="clear"/>
        </w:rPr>
      </w:pPr>
      <w:bookmarkStart w:id="25" w:name="_Toc3868"/>
      <w:r>
        <w:rPr>
          <w:shd w:fill="auto" w:val="clear"/>
        </w:rPr>
        <w:t>Admission</w:t>
      </w:r>
      <w:bookmarkEnd w:id="25"/>
    </w:p>
    <w:p>
      <w:pPr>
        <w:pStyle w:val="Normal"/>
        <w:rPr>
          <w:highlight w:val="none"/>
          <w:shd w:fill="auto" w:val="clear"/>
        </w:rPr>
      </w:pPr>
      <w:r>
        <w:rPr>
          <w:rFonts w:eastAsia="arial" w:cs="arial" w:ascii="arial" w:hAnsi="arial"/>
          <w:b w:val="false"/>
          <w:i w:val="false"/>
          <w:color w:val="000000"/>
          <w:sz w:val="20"/>
          <w:u w:val="none"/>
          <w:shd w:fill="auto" w:val="clear"/>
        </w:rPr>
        <w:t xml:space="preserve">Suite aux vérifications, les décisions d'admission, de réfaction, d'ajournement ou de rejet des </w:t>
      </w:r>
      <w:r>
        <w:rPr>
          <w:rFonts w:eastAsia="arial" w:cs="arial" w:ascii="arial" w:hAnsi="arial"/>
          <w:b/>
          <w:i w:val="false"/>
          <w:color w:val="000000"/>
          <w:sz w:val="20"/>
          <w:u w:val="none"/>
          <w:shd w:fill="auto" w:val="clear"/>
        </w:rPr>
        <w:t>prestations</w:t>
      </w:r>
      <w:r>
        <w:rPr>
          <w:rFonts w:eastAsia="arial" w:cs="arial" w:ascii="arial" w:hAnsi="arial"/>
          <w:b w:val="false"/>
          <w:i w:val="false"/>
          <w:color w:val="000000"/>
          <w:sz w:val="20"/>
          <w:u w:val="none"/>
          <w:shd w:fill="auto" w:val="clear"/>
        </w:rPr>
        <w:t xml:space="preserve"> sont prises dans les conditions prévues à l'article 30 du C.C.A.G./F.C.S par le responsable désigné par la personne publique. Les opérations de vérification et la notification de la décision du pouvoir adjudicateur doivent être effectuées sous un délai de quinze jours. Passé ce délai, la décision d'admission des </w:t>
      </w:r>
      <w:r>
        <w:rPr>
          <w:rFonts w:eastAsia="arial" w:cs="arial" w:ascii="arial" w:hAnsi="arial"/>
          <w:b/>
          <w:i w:val="false"/>
          <w:color w:val="000000"/>
          <w:sz w:val="20"/>
          <w:u w:val="none"/>
          <w:shd w:fill="auto" w:val="clear"/>
        </w:rPr>
        <w:t>prestations</w:t>
      </w:r>
      <w:r>
        <w:rPr>
          <w:rFonts w:eastAsia="arial" w:cs="arial" w:ascii="arial" w:hAnsi="arial"/>
          <w:b w:val="false"/>
          <w:i w:val="false"/>
          <w:color w:val="000000"/>
          <w:sz w:val="20"/>
          <w:u w:val="none"/>
          <w:shd w:fill="auto" w:val="clear"/>
        </w:rPr>
        <w:t xml:space="preserve"> est réputée acquise.</w:t>
      </w:r>
    </w:p>
    <w:p>
      <w:pPr>
        <w:pStyle w:val="Titre1"/>
        <w:numPr>
          <w:ilvl w:val="0"/>
          <w:numId w:val="2"/>
        </w:numPr>
        <w:rPr>
          <w:highlight w:val="none"/>
          <w:shd w:fill="auto" w:val="clear"/>
        </w:rPr>
      </w:pPr>
      <w:bookmarkStart w:id="26" w:name="_Toc4557"/>
      <w:r>
        <w:rPr>
          <w:shd w:fill="auto" w:val="clear"/>
        </w:rPr>
        <w:t>CONFIDENTIALITE ET MESURES DE SECURITE</w:t>
      </w:r>
      <w:bookmarkEnd w:id="26"/>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Les dispositions du CCAG FCS (articles 5 et 14) s'appliquent.</w:t>
      </w:r>
    </w:p>
    <w:p>
      <w:pPr>
        <w:pStyle w:val="Normal"/>
        <w:numPr>
          <w:ilvl w:val="0"/>
          <w:numId w:val="0"/>
        </w:numPr>
        <w:spacing w:lineRule="atLeast" w:line="57" w:before="119" w:after="0"/>
        <w:ind w:left="0" w:right="0" w:hanging="0"/>
        <w:jc w:val="both"/>
        <w:rPr>
          <w:highlight w:val="none"/>
          <w:shd w:fill="auto" w:val="clear"/>
        </w:rPr>
      </w:pPr>
      <w:r>
        <w:rPr>
          <w:rFonts w:eastAsia="Times New Roman" w:cs="Times New Roman" w:ascii="Times New Roman" w:hAnsi="Times New Roman"/>
          <w:b/>
          <w:color w:val="000000"/>
          <w:sz w:val="24"/>
          <w:shd w:fill="auto" w:val="clear"/>
        </w:rPr>
        <w:t xml:space="preserve">Information relative aux déplacements professionnels </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 xml:space="preserve">Toute information relative aux déplacements, objet du présent marché, est réputée confidentielle. </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Le titulaire et l'acheteur qui, à l'occasion de l'exécution du marché, ont connaissance d'informations ou reçoivent communication de documents ou d'éléments de toute nature, présentant un caractère confidentiel, sont tenus de prendre toutes mesures nécessaires, afin d'éviter que ces informations, documents ou éléments ne soient divulgués à un tiers qui n'a pas à en connaître. Une partie ne peut demander la confidentialité d'informations, de documents ou d'éléments qu'elle a elle-même rendus publics.</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Une information confidentielle désigne toute information de quelque nature concernant un déplacement professionnel, sous quelque forme que ce soit (y inclus sous forme orale, écrite, magnétique ou électronique), sur tout support dont l'acheteur est propriétaire ou titulaire, et qui est communiquée au titulaire, ou obtenue de toute autre façon par ce dernier dans le cadre de ses relations avec l'acheteur. Le titulaire et son personnel, et le cas échéant ses sous-traitants, ne peuvent l'utiliser que pour l'accomplissement des prestations prévues au marché.</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Le titulaire doit informer ses sous-traitants des obligations de confidentialité et des mesures de sécurité qui s'imposent à lui pour l'exécution du marché. Il doit s'assurer du respect de ces obligations par ses sous-traitants.</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En cas de manquement par le titulaire ou son sous-traitant à ses obligations légales et contractuelles relatives à la confidentialité, le marché peut être résilié pour faute en application de l'article 41 du CCAG FCS.</w:t>
      </w:r>
    </w:p>
    <w:p>
      <w:pPr>
        <w:pStyle w:val="Normal"/>
        <w:numPr>
          <w:ilvl w:val="0"/>
          <w:numId w:val="0"/>
        </w:numPr>
        <w:spacing w:lineRule="atLeast" w:line="57" w:before="119" w:after="0"/>
        <w:ind w:left="0" w:right="0" w:hanging="0"/>
        <w:jc w:val="both"/>
        <w:rPr>
          <w:highlight w:val="none"/>
          <w:shd w:fill="auto" w:val="clear"/>
        </w:rPr>
      </w:pPr>
      <w:r>
        <w:rPr>
          <w:rFonts w:eastAsia="Times New Roman" w:cs="Times New Roman" w:ascii="Times New Roman" w:hAnsi="Times New Roman"/>
          <w:b/>
          <w:color w:val="000000"/>
          <w:sz w:val="24"/>
          <w:shd w:fill="auto" w:val="clear"/>
        </w:rPr>
        <w:t>Protection des données à caractère personnel</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Chaque partie au marché est tenue au respect des règles, européennes et françaises, applicables au traitement des données à caractère personnel éventuellement mis en oeuvre aux fins de l'exécution du marché. A ce titre, toute transmission de données à des tiers, y compris au bénéfice d'entités établies hors de l'Union européenne, qui ne serait pas strictement conforme à la réglementation en vigueur est formellement prohibée.</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En cas d'évolution de la réglementation sur la protection des données à caractère personnel en cours d'exécution du marché, les modifications nécessaires pour se conformer aux règles nouvelles, donnent lieu à la signature d'un avenant par les parties au marché ou, en l'absence d'accord entre les parties, à une modification unilatérale par l'acheteur.</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Lorsque le titulaire met en œuvre un traitement de données à caractère personnel pour le compte de l'acheteur, pour que ce traitement réponde aux exigences de la réglementation et garantisse en particulier la protection des droits des personnes physiques identifiées ou identifiables qu'il concerne, les documents particuliers du marché précisent notamment :</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 la finalité, la description et la durée du traitement dans le strict respect des instructions documentées de l'acheteur ;</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 les obligations de l'acheteur et celles du titulaire vis-à-vis de ce dernier, en particulier l'obligation de l'informer de toute difficulté dans l'application de la réglementation, de tout projet de recours à un tiers pour la mise en oeuvre du traitement, ou encore de toute demande de communication de données qui lui serait adressée, ainsi que, lorsque celle-ci serait contraire à la règlementation française et européenne, des mesures adoptées pour s'y opposer ;</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 les modalités de prise en compte du droit à l'information et des autres droits des personnes concernées, dont l'exercice doit être garanti ;</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 les mesures de sécurité mises en oeuvre pour garantir l'intégrité, la confidentialité et la disponibilité des données, ainsi que les conditions de notification des violations de données à caractère personnel ;</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 la durée et les modalités de conservation des données et le sort de celles-ci au terme de l'exécution du marché.</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Les documents particuliers du marché précisent également les pénalités applicables au titulaire en cas de méconnaissance de la réglementation.</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En cas de manquement par le titulaire ou son sous-traitant à ses obligations légales et contractuelles relatives à la protection des données personnelles, le marché peut être résilié pour faute en application de l'article 41 du CCAG FCS.</w:t>
      </w:r>
    </w:p>
    <w:p>
      <w:pPr>
        <w:pStyle w:val="Normal"/>
        <w:numPr>
          <w:ilvl w:val="0"/>
          <w:numId w:val="0"/>
        </w:numPr>
        <w:spacing w:lineRule="atLeast" w:line="57" w:before="119" w:after="0"/>
        <w:ind w:left="0" w:right="0" w:hanging="0"/>
        <w:jc w:val="both"/>
        <w:rPr>
          <w:highlight w:val="none"/>
          <w:shd w:fill="auto" w:val="clear"/>
        </w:rPr>
      </w:pPr>
      <w:r>
        <w:rPr>
          <w:rFonts w:eastAsia="Times New Roman" w:cs="Times New Roman" w:ascii="Times New Roman" w:hAnsi="Times New Roman"/>
          <w:b/>
          <w:color w:val="000000"/>
          <w:sz w:val="24"/>
          <w:shd w:fill="auto" w:val="clear"/>
        </w:rPr>
        <w:t>Information sur les vulnérabilités et les incidents de sécurité détectés sur le système d'information du titulaire</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Pour les prestations, produits et services fournis dans le cadre du marché, le titulaire met à disposition un dispositif d'information dédié à la sécurité informatique (notamment flux RSS/ATOM, liste de diffusion par courriel ou autre).</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Ce dispositif vise à tenir l'acheteur informé des événements et changements impactant la sécurité, notamment liés à la connaissance d'une vulnérabilité impactant le système (annonce de correctif, attaque en cours, violation de données à caractère personnel si le traitement de données est sous-traité au titulaire), et des mesures correctives ou conservatoires à appliquer.</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Le titulaire informe ses sous-traitants de leur soumission aux obligations énoncées au présent article du CCAP. Il reste responsable du respect de celles-ci.</w:t>
      </w:r>
    </w:p>
    <w:p>
      <w:pPr>
        <w:pStyle w:val="Normal"/>
        <w:numPr>
          <w:ilvl w:val="0"/>
          <w:numId w:val="0"/>
        </w:numPr>
        <w:spacing w:lineRule="atLeast" w:line="57" w:before="119" w:after="0"/>
        <w:ind w:left="0" w:right="0" w:hanging="0"/>
        <w:jc w:val="both"/>
        <w:rPr>
          <w:highlight w:val="none"/>
          <w:shd w:fill="auto" w:val="clear"/>
        </w:rPr>
      </w:pPr>
      <w:r>
        <w:rPr>
          <w:rFonts w:eastAsia="Times New Roman" w:cs="Times New Roman" w:ascii="Times New Roman" w:hAnsi="Times New Roman"/>
          <w:b/>
          <w:color w:val="000000"/>
          <w:sz w:val="24"/>
          <w:shd w:fill="auto" w:val="clear"/>
        </w:rPr>
        <w:t>Pénalités pour violation des obligations de sécurité ou de confidentialité :</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En cas de violation des mesures de sécurité ou de l'obligation de confidentialité énoncées à l'article 5.1 du CCAG FCS, et par dérogation à l'article 14 du même CCAG, le titulaire s'expose aux pénalités suivantes, appliquées dans les conditions prévues à l'article 14.1.1 du CCAG :</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 en cas de non-respect des règles de sécurité et de protection des informations confidentielles impliquant des données à caractère personnel : application d'une pénalité égale à 2 % du montant exécuté du marché public à la date de constatation du fait générateur.</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 en cas de constatation de plusieurs faits générateurs, les pénalités ainsi établies sont appliquées de façon cumulative.</w:t>
      </w:r>
    </w:p>
    <w:p>
      <w:pPr>
        <w:pStyle w:val="Titre1"/>
        <w:numPr>
          <w:ilvl w:val="0"/>
          <w:numId w:val="2"/>
        </w:numPr>
        <w:rPr>
          <w:highlight w:val="none"/>
          <w:shd w:fill="auto" w:val="clear"/>
        </w:rPr>
      </w:pPr>
      <w:bookmarkStart w:id="27" w:name="_Toc3872"/>
      <w:r>
        <w:rPr>
          <w:shd w:fill="auto" w:val="clear"/>
        </w:rPr>
        <w:t>MODALITES DE DETERMINATION DES PRIX</w:t>
      </w:r>
      <w:bookmarkEnd w:id="27"/>
    </w:p>
    <w:p>
      <w:pPr>
        <w:pStyle w:val="Titre2"/>
        <w:numPr>
          <w:ilvl w:val="1"/>
          <w:numId w:val="2"/>
        </w:numPr>
        <w:rPr>
          <w:highlight w:val="none"/>
          <w:shd w:fill="auto" w:val="clear"/>
        </w:rPr>
      </w:pPr>
      <w:bookmarkStart w:id="28" w:name="_Toc3873"/>
      <w:r>
        <w:rPr>
          <w:shd w:fill="auto" w:val="clear"/>
        </w:rPr>
        <w:t>Nature du prix</w:t>
      </w:r>
      <w:bookmarkEnd w:id="28"/>
    </w:p>
    <w:p>
      <w:pPr>
        <w:pStyle w:val="Normal"/>
        <w:rPr>
          <w:highlight w:val="none"/>
          <w:shd w:fill="auto" w:val="clear"/>
        </w:rPr>
      </w:pPr>
      <w:r>
        <w:rPr>
          <w:rFonts w:eastAsia="arial" w:cs="arial" w:ascii="arial" w:hAnsi="arial"/>
          <w:b w:val="false"/>
          <w:i w:val="false"/>
          <w:color w:val="000000"/>
          <w:sz w:val="20"/>
          <w:u w:val="single"/>
          <w:shd w:fill="auto" w:val="clear"/>
        </w:rPr>
        <w:t>Prix unitaires :</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Le marché est conclu aux prix unitaires figurant en annexe à l'acte d'engagement et au catalogue du titulaire.</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 xml:space="preserve">La rémunération du titulaire correspond aux frais de service renseigné au BPU. </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 xml:space="preserve">Les frais de service ne peuvent être perçus qu’à compter de l’émission, de la modification ou de l’annulation de la prestation réservée. Les demandes de réservations annulées avant émission ne font pas l’objet de frais de service. </w:t>
      </w:r>
    </w:p>
    <w:p>
      <w:pPr>
        <w:pStyle w:val="Normal"/>
        <w:spacing w:lineRule="atLeast" w:line="57" w:before="119" w:after="0"/>
        <w:ind w:left="0" w:right="0" w:hanging="0"/>
        <w:jc w:val="both"/>
        <w:rPr>
          <w:highlight w:val="none"/>
          <w:shd w:fill="auto" w:val="clear"/>
        </w:rPr>
      </w:pPr>
      <w:r>
        <w:rPr>
          <w:rFonts w:eastAsia="Arial" w:cs="Arial"/>
          <w:color w:val="000000"/>
          <w:sz w:val="20"/>
          <w:shd w:fill="auto" w:val="clear"/>
        </w:rPr>
        <w:t xml:space="preserve">Pour chaque période annuelle, le montant cumulé des achats sur catalogue ne pourra pas dépasser 10 % </w:t>
      </w:r>
      <w:r>
        <w:rPr>
          <w:rFonts w:eastAsia="Arial" w:cs="Arial"/>
          <w:color w:val="000000"/>
          <w:sz w:val="20"/>
          <w:shd w:fill="FFFF00" w:val="clear"/>
        </w:rPr>
        <w:t xml:space="preserve">du montant </w:t>
      </w:r>
      <w:r>
        <w:rPr>
          <w:rFonts w:eastAsia="Arial" w:cs="Arial"/>
          <w:color w:val="000000"/>
          <w:sz w:val="20"/>
          <w:shd w:fill="FFFF00" w:val="clear"/>
        </w:rPr>
        <w:t>total des commandes passées sur les 12 mois écoulés</w:t>
      </w:r>
      <w:r>
        <w:rPr>
          <w:rFonts w:eastAsia="Arial" w:cs="Arial"/>
          <w:color w:val="000000"/>
          <w:sz w:val="20"/>
          <w:shd w:fill="FFFF00" w:val="clear"/>
        </w:rPr>
        <w:t>.</w:t>
      </w:r>
    </w:p>
    <w:p>
      <w:pPr>
        <w:pStyle w:val="Normal"/>
        <w:spacing w:before="0" w:after="0"/>
        <w:ind w:left="0" w:right="0" w:hanging="0"/>
        <w:jc w:val="both"/>
        <w:rPr>
          <w:rFonts w:ascii="Arial" w:hAnsi="Arial" w:eastAsia="Arial" w:cs="Arial"/>
          <w:color w:val="000000"/>
          <w:sz w:val="10"/>
          <w:highlight w:val="none"/>
          <w:shd w:fill="auto" w:val="clear"/>
        </w:rPr>
      </w:pPr>
      <w:r>
        <w:rPr>
          <w:rFonts w:eastAsia="Arial" w:cs="Arial"/>
          <w:color w:val="000000"/>
          <w:sz w:val="10"/>
          <w:shd w:fill="auto" w:val="clear"/>
        </w:rPr>
      </w:r>
    </w:p>
    <w:p>
      <w:pPr>
        <w:pStyle w:val="Normal"/>
        <w:spacing w:before="0" w:after="0"/>
        <w:ind w:left="0" w:right="0" w:hanging="0"/>
        <w:jc w:val="both"/>
        <w:rPr>
          <w:highlight w:val="none"/>
          <w:shd w:fill="auto" w:val="clear"/>
        </w:rPr>
      </w:pPr>
      <w:r>
        <w:rPr>
          <w:rFonts w:eastAsia="Arial" w:cs="Arial"/>
          <w:color w:val="000000"/>
          <w:sz w:val="20"/>
          <w:shd w:fill="auto" w:val="clear"/>
        </w:rPr>
        <w:t xml:space="preserve">Le titulaire fait l'avance des prestations et des frais liées aux déplacement pour le compte de la Ville de Marseille. A cet effet, il assure le paiement direct et systématique des fournisseurs (compagnies aériennes, compagnies d’assurances, loueurs de voiture, prestations hôtelières, etc.) sans surfacturation. </w:t>
      </w:r>
    </w:p>
    <w:p>
      <w:pPr>
        <w:pStyle w:val="Normal"/>
        <w:spacing w:before="0" w:after="0"/>
        <w:ind w:left="0" w:right="0" w:hanging="0"/>
        <w:jc w:val="both"/>
        <w:rPr>
          <w:rFonts w:ascii="Arial" w:hAnsi="Arial" w:eastAsia="Arial" w:cs="Arial"/>
          <w:color w:val="000000"/>
          <w:sz w:val="10"/>
          <w:highlight w:val="none"/>
          <w:shd w:fill="auto" w:val="clear"/>
        </w:rPr>
      </w:pPr>
      <w:r>
        <w:rPr>
          <w:rFonts w:eastAsia="Arial" w:cs="Arial"/>
          <w:color w:val="000000"/>
          <w:sz w:val="10"/>
          <w:shd w:fill="auto" w:val="clear"/>
        </w:rPr>
      </w:r>
    </w:p>
    <w:p>
      <w:pPr>
        <w:pStyle w:val="Normal"/>
        <w:spacing w:before="0" w:after="0"/>
        <w:ind w:left="0" w:right="0" w:hanging="0"/>
        <w:jc w:val="both"/>
        <w:rPr>
          <w:highlight w:val="none"/>
          <w:shd w:fill="auto" w:val="clear"/>
        </w:rPr>
      </w:pPr>
      <w:r>
        <w:rPr>
          <w:rFonts w:eastAsia="Arial" w:cs="Arial"/>
          <w:color w:val="000000"/>
          <w:sz w:val="20"/>
          <w:shd w:fill="auto" w:val="clear"/>
        </w:rPr>
        <w:t>Le titulaire facturera à la Ville de Marseille les prestations réservées selon le tarif validé par la Ville de Marseille et indiqué dans le bon de commande.</w:t>
      </w:r>
      <w:r>
        <w:rPr>
          <w:rFonts w:eastAsia="arial" w:cs="arial" w:ascii="arial" w:hAnsi="arial"/>
          <w:color w:val="000000"/>
          <w:shd w:fill="auto" w:val="clear"/>
        </w:rPr>
        <w:tab/>
      </w:r>
    </w:p>
    <w:p>
      <w:pPr>
        <w:pStyle w:val="Normal"/>
        <w:tabs>
          <w:tab w:val="clear" w:pos="706"/>
          <w:tab w:val="center" w:pos="4317" w:leader="none"/>
        </w:tabs>
        <w:spacing w:lineRule="atLeast" w:line="57" w:before="119" w:after="0"/>
        <w:ind w:left="0" w:right="0" w:hanging="0"/>
        <w:jc w:val="both"/>
        <w:rPr>
          <w:rFonts w:ascii="Arial" w:hAnsi="Arial" w:eastAsia="Arial" w:cs="Arial"/>
          <w:sz w:val="10"/>
          <w:highlight w:val="none"/>
          <w:shd w:fill="auto" w:val="clear"/>
        </w:rPr>
      </w:pPr>
      <w:r>
        <w:rPr>
          <w:rFonts w:eastAsia="Arial" w:cs="Arial"/>
          <w:sz w:val="10"/>
          <w:shd w:fill="auto" w:val="clear"/>
        </w:rPr>
      </w:r>
    </w:p>
    <w:p>
      <w:pPr>
        <w:pStyle w:val="Normal"/>
        <w:rPr>
          <w:highlight w:val="none"/>
          <w:shd w:fill="auto" w:val="clear"/>
        </w:rPr>
      </w:pPr>
      <w:r>
        <w:rPr>
          <w:rFonts w:eastAsia="arial" w:cs="arial" w:ascii="arial" w:hAnsi="arial"/>
          <w:b/>
          <w:i w:val="false"/>
          <w:color w:val="000000"/>
          <w:sz w:val="20"/>
          <w:u w:val="single"/>
          <w:shd w:fill="auto" w:val="clear"/>
        </w:rPr>
        <w:t>OFFRES PROMOTIONNELLES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titulaire pourra facturer les prestations ou les fournitures en fonction des offres promotionnelles momentanées appliquées à ses tarifs publics, à condition qu'elles soient plus avantageuses que les prix prévus au marché.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Il signalera au service gestionnaire de la Ville de Marseille, suffisamment tôt, par message mail ou télécopie ou document promotionnel, l'existence de ces tarifs et leur période d'application, afin que celui-ci puisse en tenir compte dans ses commandes, ses bons de commande et leur planification.</w:t>
      </w:r>
    </w:p>
    <w:p>
      <w:pPr>
        <w:pStyle w:val="Normal"/>
        <w:rPr>
          <w:highlight w:val="none"/>
          <w:shd w:fill="auto" w:val="clear"/>
        </w:rPr>
      </w:pPr>
      <w:r>
        <w:rPr>
          <w:rFonts w:eastAsia="arial" w:cs="arial" w:ascii="arial" w:hAnsi="arial"/>
          <w:b w:val="false"/>
          <w:i w:val="false"/>
          <w:color w:val="000000"/>
          <w:sz w:val="20"/>
          <w:u w:val="none"/>
          <w:shd w:fill="auto" w:val="clear"/>
        </w:rPr>
        <w:t>Le taux de la TVA à prendre en considération est celui en vigueur à la date du fait générateur, conformément à l'article 269 du CGI.</w:t>
      </w:r>
    </w:p>
    <w:p>
      <w:pPr>
        <w:pStyle w:val="Titre2"/>
        <w:numPr>
          <w:ilvl w:val="1"/>
          <w:numId w:val="2"/>
        </w:numPr>
        <w:rPr>
          <w:highlight w:val="none"/>
          <w:shd w:fill="auto" w:val="clear"/>
        </w:rPr>
      </w:pPr>
      <w:bookmarkStart w:id="29" w:name="_Toc3874"/>
      <w:r>
        <w:rPr>
          <w:shd w:fill="auto" w:val="clear"/>
        </w:rPr>
        <w:t>Variations de prix</w:t>
      </w:r>
      <w:bookmarkEnd w:id="29"/>
    </w:p>
    <w:p>
      <w:pPr>
        <w:pStyle w:val="Normal"/>
        <w:rPr>
          <w:highlight w:val="none"/>
          <w:shd w:fill="auto" w:val="clear"/>
        </w:rPr>
      </w:pPr>
      <w:r>
        <w:rPr>
          <w:rFonts w:eastAsia="arial" w:cs="arial" w:ascii="arial" w:hAnsi="arial"/>
          <w:b w:val="false"/>
          <w:i w:val="false"/>
          <w:color w:val="000000"/>
          <w:sz w:val="20"/>
          <w:u w:val="none"/>
          <w:shd w:fill="auto" w:val="clear"/>
        </w:rPr>
        <w:t>Les prix sont révisables selon les modalités fixées ci-après.</w:t>
      </w:r>
    </w:p>
    <w:p>
      <w:pPr>
        <w:pStyle w:val="Normal"/>
        <w:rPr>
          <w:highlight w:val="none"/>
          <w:shd w:fill="auto" w:val="clear"/>
        </w:rPr>
      </w:pPr>
      <w:r>
        <w:rPr>
          <w:rFonts w:eastAsia="arial" w:cs="arial" w:ascii="arial" w:hAnsi="arial"/>
          <w:b w:val="false"/>
          <w:i w:val="false"/>
          <w:color w:val="000000"/>
          <w:sz w:val="20"/>
          <w:u w:val="single"/>
          <w:shd w:fill="auto" w:val="clear"/>
        </w:rPr>
        <w:t>Révision des prix selon formule paramétrique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Par dérogation à l'article 10.2.4 du CCAG, les prix du présent marché sont réputés établis sur la base des conditions économiques du mois de la date </w:t>
      </w:r>
      <w:r>
        <w:rPr>
          <w:rFonts w:eastAsia="arial" w:cs="arial" w:ascii="arial" w:hAnsi="arial"/>
          <w:b w:val="false"/>
          <w:i w:val="false"/>
          <w:color w:val="000000"/>
          <w:sz w:val="20"/>
          <w:u w:val="single"/>
          <w:shd w:fill="auto" w:val="clear"/>
        </w:rPr>
        <w:t>limite</w:t>
      </w:r>
      <w:r>
        <w:rPr>
          <w:rFonts w:eastAsia="arial" w:cs="arial" w:ascii="arial" w:hAnsi="arial"/>
          <w:b w:val="false"/>
          <w:i w:val="false"/>
          <w:color w:val="000000"/>
          <w:sz w:val="20"/>
          <w:u w:val="none"/>
          <w:shd w:fill="auto" w:val="clear"/>
        </w:rPr>
        <w:t xml:space="preserve"> de remise des offres ; ce mois est appelé "mois zéro".</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Les prix du marché évoluent de la manière suivante en fonction de l'évolution des conditions économiques. </w:t>
      </w:r>
      <w:r>
        <w:rPr>
          <w:rFonts w:eastAsia="arial" w:cs="arial" w:ascii="arial" w:hAnsi="arial"/>
          <w:b w:val="false"/>
          <w:i w:val="false"/>
          <w:color w:val="000000"/>
          <w:sz w:val="20"/>
          <w:u w:val="single"/>
          <w:shd w:fill="auto" w:val="clear"/>
        </w:rPr>
        <w:t>Les prix sont révisables</w:t>
      </w:r>
      <w:r>
        <w:rPr>
          <w:rFonts w:eastAsia="arial" w:cs="arial" w:ascii="arial" w:hAnsi="arial"/>
          <w:b w:val="false"/>
          <w:i w:val="false"/>
          <w:color w:val="000000"/>
          <w:sz w:val="20"/>
          <w:u w:val="none"/>
          <w:shd w:fill="auto" w:val="clear"/>
        </w:rPr>
        <w: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Pour déterminer les prix de règlement, il sera fait application de la formule de révision figurant ci-après.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Les prix sont révisés </w:t>
      </w:r>
      <w:r>
        <w:rPr>
          <w:rFonts w:eastAsia="arial" w:cs="arial" w:ascii="arial" w:hAnsi="arial"/>
          <w:b/>
          <w:i w:val="false"/>
          <w:color w:val="000000"/>
          <w:sz w:val="20"/>
          <w:u w:val="none"/>
          <w:shd w:fill="auto" w:val="clear"/>
        </w:rPr>
        <w:t xml:space="preserve">annuellement </w:t>
      </w:r>
      <w:r>
        <w:rPr>
          <w:rFonts w:eastAsia="arial" w:cs="arial" w:ascii="arial" w:hAnsi="arial"/>
          <w:b w:val="false"/>
          <w:i w:val="false"/>
          <w:color w:val="000000"/>
          <w:sz w:val="20"/>
          <w:u w:val="none"/>
          <w:shd w:fill="auto" w:val="clear"/>
        </w:rPr>
        <w:t>à chaque date anniversaire de la notification du marché, en application de la formule suivante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P(n) = P(o)* [0.15+0.85*(I(n)/I(0))]</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paramètres figurant dans la formule ont la signification suivante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 (n) : Prix après révision</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 (0) : Prix à la date limite de remise des offres</w:t>
      </w:r>
    </w:p>
    <w:p>
      <w:pPr>
        <w:pStyle w:val="Normal"/>
        <w:tabs>
          <w:tab w:val="clear" w:pos="706"/>
          <w:tab w:val="left" w:pos="2684" w:leader="none"/>
        </w:tabs>
        <w:spacing w:before="120" w:after="0"/>
        <w:rPr>
          <w:highlight w:val="none"/>
          <w:shd w:fill="auto" w:val="clear"/>
        </w:rPr>
      </w:pPr>
      <w:r>
        <w:rPr>
          <w:rFonts w:eastAsia="arial" w:cs="arial" w:ascii="arial" w:hAnsi="arial"/>
          <w:b w:val="false"/>
          <w:i w:val="false"/>
          <w:color w:val="000000"/>
          <w:sz w:val="20"/>
          <w:u w:val="none"/>
          <w:shd w:fill="auto" w:val="clear"/>
        </w:rPr>
        <w:t xml:space="preserve">I (n) : Valeur de l'indice </w:t>
      </w:r>
      <w:r>
        <w:rPr>
          <w:shd w:fill="auto" w:val="clear"/>
        </w:rPr>
        <w:t>des prix de production des services français aux entreprises françaises (BtoB) − CPF 79.1 − Services des agences de voyage et des voyagistes - Prix de marché − Base 2015 − Données trimestrielles brutes – Identifiant INSEE 010760503, pris à chaque date anniversaire de la notification</w:t>
        <w:tab/>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I (0) : Même indice pris à la date limite de remise des offres.</w:t>
      </w:r>
    </w:p>
    <w:p>
      <w:pPr>
        <w:pStyle w:val="Normal"/>
        <w:rPr>
          <w:highlight w:val="none"/>
          <w:shd w:fill="auto" w:val="clear"/>
        </w:rPr>
      </w:pPr>
      <w:r>
        <w:rPr>
          <w:rFonts w:eastAsia="arial" w:cs="arial" w:ascii="arial" w:hAnsi="arial"/>
          <w:b w:val="false"/>
          <w:i w:val="false"/>
          <w:color w:val="000000"/>
          <w:sz w:val="20"/>
          <w:u w:val="single"/>
          <w:shd w:fill="auto" w:val="clear"/>
        </w:rPr>
        <w:t>Révision provisoire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Lorsqu'une révision a été effectuée provisoirement en utilisant un index antérieur à celui qui doit être appliqué, il n'est procédé à aucune autre révision avant la révision définitive, laquelle intervient sur le premier acompte suivant la parution de l'index correspondant.</w:t>
      </w:r>
    </w:p>
    <w:p>
      <w:pPr>
        <w:pStyle w:val="Titre2"/>
        <w:numPr>
          <w:ilvl w:val="1"/>
          <w:numId w:val="2"/>
        </w:numPr>
        <w:rPr>
          <w:highlight w:val="none"/>
          <w:shd w:fill="auto" w:val="clear"/>
        </w:rPr>
      </w:pPr>
      <w:bookmarkStart w:id="30" w:name="_Toc3875"/>
      <w:r>
        <w:rPr>
          <w:shd w:fill="auto" w:val="clear"/>
        </w:rPr>
        <w:t>Disparition d'indice</w:t>
      </w:r>
      <w:bookmarkEnd w:id="30"/>
    </w:p>
    <w:p>
      <w:pPr>
        <w:pStyle w:val="Normal"/>
        <w:rPr>
          <w:highlight w:val="none"/>
          <w:shd w:fill="auto" w:val="clear"/>
        </w:rPr>
      </w:pPr>
      <w:r>
        <w:rPr>
          <w:rFonts w:eastAsia="arial" w:cs="arial" w:ascii="arial" w:hAnsi="arial"/>
          <w:b w:val="false"/>
          <w:i w:val="false"/>
          <w:color w:val="000000"/>
          <w:sz w:val="20"/>
          <w:u w:val="none"/>
          <w:shd w:fill="auto" w:val="clear"/>
        </w:rPr>
        <w:t xml:space="preserve">Dans le cas de disparition d'indice, le nouvel indice de substitution préconisé par l'organisme qui l'établit sera de plein droit applicable dès lors qu'il correspond à la structure de prix de la prestation.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Dans l'hypothèse où aucun indice de substitution ne serait préconisé, les parties conviennent que la substitution d'indice sera effectuée par avenant après accord de chacune d'elles.</w:t>
      </w:r>
    </w:p>
    <w:p>
      <w:pPr>
        <w:pStyle w:val="Titre1"/>
        <w:numPr>
          <w:ilvl w:val="0"/>
          <w:numId w:val="2"/>
        </w:numPr>
        <w:rPr>
          <w:highlight w:val="none"/>
          <w:shd w:fill="auto" w:val="clear"/>
        </w:rPr>
      </w:pPr>
      <w:bookmarkStart w:id="31" w:name="_Toc3876"/>
      <w:r>
        <w:rPr>
          <w:shd w:fill="auto" w:val="clear"/>
        </w:rPr>
        <w:t>AVANCE</w:t>
      </w:r>
      <w:bookmarkEnd w:id="31"/>
    </w:p>
    <w:p>
      <w:pPr>
        <w:pStyle w:val="Titre2"/>
        <w:numPr>
          <w:ilvl w:val="1"/>
          <w:numId w:val="2"/>
        </w:numPr>
        <w:rPr>
          <w:highlight w:val="none"/>
          <w:shd w:fill="auto" w:val="clear"/>
        </w:rPr>
      </w:pPr>
      <w:bookmarkStart w:id="32" w:name="_Toc3877"/>
      <w:r>
        <w:rPr>
          <w:shd w:fill="auto" w:val="clear"/>
        </w:rPr>
        <w:t>Régime de l'avance</w:t>
      </w:r>
      <w:bookmarkEnd w:id="32"/>
    </w:p>
    <w:p>
      <w:pPr>
        <w:pStyle w:val="Normal"/>
        <w:rPr>
          <w:highlight w:val="none"/>
          <w:shd w:fill="auto" w:val="clear"/>
        </w:rPr>
      </w:pPr>
      <w:r>
        <w:rPr>
          <w:rFonts w:eastAsia="arial" w:cs="arial" w:ascii="arial" w:hAnsi="arial"/>
          <w:b w:val="false"/>
          <w:i w:val="false"/>
          <w:color w:val="000000"/>
          <w:sz w:val="20"/>
          <w:u w:val="none"/>
          <w:shd w:fill="auto" w:val="clear"/>
        </w:rPr>
        <w:t>Sauf renoncement du titulaire porté à l'acte d'engagement, une avance sera versée au titulaire, dans les cas et selon les modalités prévues aux articles R2191-3 à 19 du Code de la commande publique et à l'acte d'engagement.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Elle est versée le cas échéant dans le délai de 30 jours à compter de la date de début du délai contractuel d'exécution du marché, du bon de commande ou de la tranche.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L'avance est remboursée dans les conditions prévues aux articles R2191-11, R2191-12 et R2191-29 du Code de la commande publique.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w:t>
      </w:r>
    </w:p>
    <w:p>
      <w:pPr>
        <w:pStyle w:val="Titre2"/>
        <w:numPr>
          <w:ilvl w:val="1"/>
          <w:numId w:val="2"/>
        </w:numPr>
        <w:rPr>
          <w:highlight w:val="none"/>
          <w:shd w:fill="auto" w:val="clear"/>
        </w:rPr>
      </w:pPr>
      <w:bookmarkStart w:id="33" w:name="_Toc3878"/>
      <w:r>
        <w:rPr>
          <w:shd w:fill="auto" w:val="clear"/>
        </w:rPr>
        <w:t>Dispositions complémentaires</w:t>
      </w:r>
      <w:bookmarkEnd w:id="33"/>
    </w:p>
    <w:p>
      <w:pPr>
        <w:pStyle w:val="Normal"/>
        <w:rPr>
          <w:highlight w:val="none"/>
          <w:shd w:fill="auto" w:val="clear"/>
        </w:rPr>
      </w:pPr>
      <w:r>
        <w:rPr>
          <w:rFonts w:eastAsia="arial" w:cs="arial" w:ascii="arial" w:hAnsi="arial"/>
          <w:b w:val="false"/>
          <w:i w:val="false"/>
          <w:color w:val="000000"/>
          <w:sz w:val="20"/>
          <w:u w:val="none"/>
          <w:shd w:fill="auto" w:val="clear"/>
        </w:rPr>
        <w:t>L'avance ne pourra toutefois être versée qu'après constitution par le titulaire d'une garantie à première demande ou, si le pouvoir adjudicateur en a donné son accord, d'une caution personnelle et solidaire d'un montant de 100 % du montant de l'avance et dont l'objet est de garantir le remboursement de l'avance consentie.</w:t>
      </w:r>
    </w:p>
    <w:p>
      <w:pPr>
        <w:pStyle w:val="Titre1"/>
        <w:numPr>
          <w:ilvl w:val="0"/>
          <w:numId w:val="2"/>
        </w:numPr>
        <w:rPr>
          <w:highlight w:val="none"/>
          <w:shd w:fill="auto" w:val="clear"/>
        </w:rPr>
      </w:pPr>
      <w:bookmarkStart w:id="34" w:name="_Toc3879"/>
      <w:r>
        <w:rPr>
          <w:shd w:fill="auto" w:val="clear"/>
        </w:rPr>
        <w:t>MODALITÉS DE REGLEMENT</w:t>
      </w:r>
      <w:bookmarkEnd w:id="34"/>
    </w:p>
    <w:p>
      <w:pPr>
        <w:pStyle w:val="Normal"/>
        <w:rPr>
          <w:highlight w:val="none"/>
          <w:shd w:fill="auto" w:val="clear"/>
        </w:rPr>
      </w:pPr>
      <w:r>
        <w:rPr>
          <w:rFonts w:eastAsia="arial" w:cs="arial" w:ascii="arial" w:hAnsi="arial"/>
          <w:b w:val="false"/>
          <w:i w:val="false"/>
          <w:color w:val="000000"/>
          <w:sz w:val="20"/>
          <w:u w:val="none"/>
          <w:shd w:fill="auto" w:val="clear"/>
        </w:rPr>
        <w:t>Les dispositions des articles R2191-20 à 22 du Code de la commande publique relatives aux acomptes sont applicables. Il n'est pas prévu de disposition complémentaire.</w:t>
      </w:r>
    </w:p>
    <w:p>
      <w:pPr>
        <w:pStyle w:val="Titre1"/>
        <w:numPr>
          <w:ilvl w:val="0"/>
          <w:numId w:val="2"/>
        </w:numPr>
        <w:rPr>
          <w:highlight w:val="none"/>
          <w:shd w:fill="auto" w:val="clear"/>
        </w:rPr>
      </w:pPr>
      <w:bookmarkStart w:id="35" w:name="_Toc3880"/>
      <w:r>
        <w:rPr>
          <w:shd w:fill="auto" w:val="clear"/>
        </w:rPr>
        <w:t>PAIEMENT ET ETABLISSEMENT DE LA FACTURE</w:t>
      </w:r>
      <w:bookmarkEnd w:id="35"/>
    </w:p>
    <w:p>
      <w:pPr>
        <w:pStyle w:val="Titre2"/>
        <w:numPr>
          <w:ilvl w:val="1"/>
          <w:numId w:val="2"/>
        </w:numPr>
        <w:rPr>
          <w:highlight w:val="none"/>
          <w:shd w:fill="auto" w:val="clear"/>
        </w:rPr>
      </w:pPr>
      <w:bookmarkStart w:id="36" w:name="_Toc3881"/>
      <w:r>
        <w:rPr>
          <w:shd w:fill="auto" w:val="clear"/>
        </w:rPr>
        <w:t>Délais de paiements</w:t>
      </w:r>
      <w:bookmarkEnd w:id="36"/>
    </w:p>
    <w:p>
      <w:pPr>
        <w:pStyle w:val="Normal"/>
        <w:rPr>
          <w:highlight w:val="none"/>
          <w:shd w:fill="auto" w:val="clear"/>
        </w:rPr>
      </w:pPr>
      <w:r>
        <w:rPr>
          <w:rFonts w:eastAsia="arial" w:cs="arial" w:ascii="arial" w:hAnsi="arial"/>
          <w:b w:val="false"/>
          <w:i w:val="false"/>
          <w:color w:val="000000"/>
          <w:sz w:val="20"/>
          <w:u w:val="none"/>
          <w:shd w:fill="auto" w:val="clear"/>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délai global de paiement pourra être suspendu dans les conditions prévues par la réglementation en vigueur.</w:t>
      </w:r>
    </w:p>
    <w:p>
      <w:pPr>
        <w:pStyle w:val="Titre2"/>
        <w:numPr>
          <w:ilvl w:val="1"/>
          <w:numId w:val="2"/>
        </w:numPr>
        <w:rPr>
          <w:highlight w:val="none"/>
          <w:shd w:fill="auto" w:val="clear"/>
        </w:rPr>
      </w:pPr>
      <w:bookmarkStart w:id="37" w:name="_Toc3882"/>
      <w:r>
        <w:rPr>
          <w:shd w:fill="auto" w:val="clear"/>
        </w:rPr>
        <w:t>Intérêts moratoires</w:t>
      </w:r>
      <w:bookmarkEnd w:id="37"/>
    </w:p>
    <w:p>
      <w:pPr>
        <w:pStyle w:val="Normal"/>
        <w:rPr>
          <w:highlight w:val="none"/>
          <w:shd w:fill="auto" w:val="clear"/>
        </w:rPr>
      </w:pPr>
      <w:r>
        <w:rPr>
          <w:rFonts w:eastAsia="arial" w:cs="arial" w:ascii="arial" w:hAnsi="arial"/>
          <w:b w:val="false"/>
          <w:i w:val="false"/>
          <w:color w:val="000000"/>
          <w:sz w:val="20"/>
          <w:u w:val="none"/>
          <w:shd w:fill="auto" w:val="clea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montant de l'indemnité forfaitaire pour frais de recouvrement est fixé à 40 Euros conformément à l'article D2192-35 du Code de la commande publique.</w:t>
      </w:r>
    </w:p>
    <w:p>
      <w:pPr>
        <w:pStyle w:val="Titre2"/>
        <w:numPr>
          <w:ilvl w:val="1"/>
          <w:numId w:val="2"/>
        </w:numPr>
        <w:rPr>
          <w:highlight w:val="none"/>
          <w:shd w:fill="auto" w:val="clear"/>
        </w:rPr>
      </w:pPr>
      <w:bookmarkStart w:id="38" w:name="_Toc3883"/>
      <w:r>
        <w:rPr>
          <w:shd w:fill="auto" w:val="clear"/>
        </w:rPr>
        <w:t>Modalités de paiement direct des sous-traitants</w:t>
      </w:r>
      <w:bookmarkEnd w:id="38"/>
    </w:p>
    <w:p>
      <w:pPr>
        <w:pStyle w:val="Normal"/>
        <w:spacing w:before="0" w:after="200"/>
        <w:ind w:left="0" w:right="0" w:hanging="0"/>
        <w:jc w:val="both"/>
        <w:rPr>
          <w:highlight w:val="none"/>
          <w:shd w:fill="auto" w:val="clear"/>
        </w:rPr>
      </w:pPr>
      <w:r>
        <w:rPr>
          <w:rFonts w:eastAsia="Arial" w:cs="Arial"/>
          <w:color w:val="000000"/>
          <w:sz w:val="20"/>
          <w:shd w:fill="auto" w:val="clear"/>
        </w:rPr>
        <w:t>Conformément aux dispositions des articles L2193-11et R2193-10 du Code de la commande publique, seuls les sous-traitants directs du titulaire du marché (qui ont été acceptés et dont les conditions de paiement ont été agréées) peuvent bénéficier du paiement direct.</w:t>
      </w:r>
    </w:p>
    <w:p>
      <w:pPr>
        <w:pStyle w:val="Normal"/>
        <w:spacing w:before="200" w:after="200"/>
        <w:ind w:left="0" w:right="0" w:hanging="0"/>
        <w:jc w:val="both"/>
        <w:rPr>
          <w:highlight w:val="none"/>
          <w:shd w:fill="auto" w:val="clear"/>
        </w:rPr>
      </w:pPr>
      <w:r>
        <w:rPr>
          <w:rFonts w:eastAsia="Arial" w:cs="Arial"/>
          <w:color w:val="000000"/>
          <w:sz w:val="20"/>
          <w:shd w:fill="auto" w:val="clear"/>
        </w:rPr>
        <w:t>Le paiement direct des sous-traitants régulièrement acceptés est mis en oeuvre selon les modalités prévues par le Code de la commande publique, et notamment, par ses articles R2193-11 à 16.</w:t>
      </w:r>
    </w:p>
    <w:p>
      <w:pPr>
        <w:pStyle w:val="Normal"/>
        <w:spacing w:before="200" w:after="200"/>
        <w:ind w:left="0" w:right="0" w:hanging="0"/>
        <w:jc w:val="both"/>
        <w:rPr>
          <w:highlight w:val="none"/>
          <w:shd w:fill="auto" w:val="clear"/>
        </w:rPr>
      </w:pPr>
      <w:r>
        <w:rPr>
          <w:rFonts w:eastAsia="Arial" w:cs="Arial"/>
          <w:color w:val="000000"/>
          <w:sz w:val="20"/>
          <w:shd w:fill="auto" w:val="clear"/>
        </w:rPr>
        <w:t>Les sous-traitants adressent leur demande de paiement, libellée au nom du pouvoir adjudicateur, au titulaire ainsi qu'à la Ville de Marseille par voie dématérialisée.</w:t>
      </w:r>
    </w:p>
    <w:p>
      <w:pPr>
        <w:pStyle w:val="Titre2"/>
        <w:numPr>
          <w:ilvl w:val="1"/>
          <w:numId w:val="2"/>
        </w:numPr>
        <w:rPr>
          <w:highlight w:val="none"/>
          <w:shd w:fill="auto" w:val="clear"/>
        </w:rPr>
      </w:pPr>
      <w:bookmarkStart w:id="39" w:name="_Toc3884"/>
      <w:r>
        <w:rPr>
          <w:shd w:fill="auto" w:val="clear"/>
        </w:rPr>
        <w:t>Présentation des demandes de paiement</w:t>
      </w:r>
      <w:bookmarkEnd w:id="39"/>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factures afférentes au marché sont établies en portant, outre les mentions légales, les indications suivantes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nom / la raison sociale et l'adresses du créancier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numéro de SIRET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numéro de son compte bancaire ou postal tel qu'il est précisé à l'acte d'engagement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numéro et la date du marché et de chaque avenant </w:t>
      </w:r>
    </w:p>
    <w:p>
      <w:pPr>
        <w:pStyle w:val="Normal"/>
        <w:spacing w:before="120" w:after="0"/>
        <w:rPr>
          <w:highlight w:val="none"/>
          <w:shd w:fill="auto" w:val="clear"/>
        </w:rPr>
      </w:pPr>
      <w:r>
        <w:rPr>
          <w:rFonts w:eastAsia="arial" w:cs="arial" w:ascii="arial" w:hAnsi="arial"/>
          <w:b/>
          <w:i w:val="false"/>
          <w:color w:val="000000"/>
          <w:sz w:val="20"/>
          <w:u w:val="none"/>
          <w:shd w:fill="auto" w:val="clear"/>
        </w:rPr>
        <w:t>- La date et le numéro du bon de commande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 nature des prestations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La quantité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prix de base hors révision et hors taxes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taux et le montant de la T.V.A.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Le montant total de la facture en euro HT et TTC</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 date et le numéro de facture.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Tout rabais remise ristourne ou escompte acquis et chiffrable lors de l'opération et directement applicable à cette opération</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Les factures dématérialisées indiquent l'adresse suivante :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Ville de Marseille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Direction Générale des Services - Direction d’Appui Fonctionnel</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Maison Diamantée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2 Rue de la Prison</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13 233 MARSEILLE CEDEX 20</w:t>
      </w:r>
    </w:p>
    <w:p>
      <w:pPr>
        <w:pStyle w:val="Normal"/>
        <w:rPr>
          <w:highlight w:val="none"/>
          <w:shd w:fill="auto" w:val="clear"/>
        </w:rPr>
      </w:pPr>
      <w:r>
        <w:rPr>
          <w:rFonts w:eastAsia="arial" w:cs="arial" w:ascii="arial" w:hAnsi="arial"/>
          <w:b w:val="false"/>
          <w:i w:val="false"/>
          <w:color w:val="000000"/>
          <w:sz w:val="20"/>
          <w:u w:val="none"/>
          <w:shd w:fill="auto" w:val="clear"/>
        </w:rPr>
        <w:t>Le paiement s'effectue suivant les règles de la comptabilité publique dans les conditions prévues aux articles 11 et 12 du C.C.A.G./F.C.S.</w:t>
      </w:r>
    </w:p>
    <w:p>
      <w:pPr>
        <w:pStyle w:val="Normal"/>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Pour les candidats européens sans établissement en France</w:t>
      </w:r>
      <w:r>
        <w:rPr>
          <w:rFonts w:eastAsia="arial" w:cs="arial" w:ascii="arial" w:hAnsi="arial"/>
          <w:b w:val="false"/>
          <w:i w:val="false"/>
          <w:color w:val="000000"/>
          <w:sz w:val="20"/>
          <w:u w:val="none"/>
          <w:shd w:fill="auto" w:val="clear"/>
        </w:rPr>
        <w:t xml:space="preserve"> : en lieu et place du numéro de SIRET, indiquer le N° de TVA intracommunautaire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N° de TVA intracommunautaire de la Ville de Marseille : FR75211300553</w:t>
      </w:r>
    </w:p>
    <w:p>
      <w:pPr>
        <w:pStyle w:val="Titre2"/>
        <w:numPr>
          <w:ilvl w:val="1"/>
          <w:numId w:val="2"/>
        </w:numPr>
        <w:rPr>
          <w:highlight w:val="none"/>
          <w:shd w:fill="auto" w:val="clear"/>
        </w:rPr>
      </w:pPr>
      <w:bookmarkStart w:id="40" w:name="_Toc3885"/>
      <w:r>
        <w:rPr>
          <w:shd w:fill="auto" w:val="clear"/>
        </w:rPr>
        <w:t>Dématérialisation des factures</w:t>
      </w:r>
      <w:bookmarkEnd w:id="40"/>
    </w:p>
    <w:p>
      <w:pPr>
        <w:pStyle w:val="Normal"/>
        <w:rPr>
          <w:highlight w:val="none"/>
          <w:shd w:fill="auto" w:val="clear"/>
        </w:rPr>
      </w:pPr>
      <w:r>
        <w:rPr>
          <w:rFonts w:eastAsia="arial" w:cs="arial" w:ascii="arial" w:hAnsi="arial"/>
          <w:b w:val="false"/>
          <w:i w:val="false"/>
          <w:color w:val="000000"/>
          <w:sz w:val="20"/>
          <w:u w:val="none"/>
          <w:shd w:fill="auto" w:val="clear"/>
        </w:rPr>
        <w:t>Le titulaire, ainsi que ses éventuels sous-traitants admis au paiement direct, transmettent leurs factures sous forme électronique, conformément aux dispositions des articles L2192-1 à L2192-7 et R2192-1 à R2192-3 du Code de la Commande Publique.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factures doivent être envoyées de façon dématérialisée et gratuite en utilisant le "portail public de facturation" sécurisé Chorus Pro à l'adresse suivante : https://chorus-pro.gouv.fr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Toutes les informations utiles aux modalités d'utilisation du portail et de transmission des factures sont </w:t>
      </w:r>
      <w:r>
        <w:rPr>
          <w:rFonts w:eastAsia="arial" w:cs="arial" w:ascii="arial" w:hAnsi="arial"/>
          <w:b/>
          <w:i w:val="false"/>
          <w:color w:val="000000"/>
          <w:sz w:val="20"/>
          <w:u w:val="single"/>
          <w:shd w:fill="auto" w:val="clear"/>
        </w:rPr>
        <w:t>disponibles directement sur le site</w:t>
      </w:r>
      <w:r>
        <w:rPr>
          <w:rFonts w:eastAsia="arial" w:cs="arial" w:ascii="arial" w:hAnsi="arial"/>
          <w:b w:val="false"/>
          <w:i w:val="false"/>
          <w:color w:val="000000"/>
          <w:sz w:val="20"/>
          <w:u w:val="none"/>
          <w:shd w:fill="auto" w:val="clear"/>
        </w:rPr>
        <w: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Pour accéder à la « structure »(au sens CHORUS PRO) Ville de Marseille adéquate, le titulaire sera informé du </w:t>
      </w:r>
      <w:r>
        <w:rPr>
          <w:rFonts w:eastAsia="arial" w:cs="arial" w:ascii="arial" w:hAnsi="arial"/>
          <w:b/>
          <w:i w:val="false"/>
          <w:color w:val="000000"/>
          <w:sz w:val="20"/>
          <w:u w:val="single"/>
          <w:shd w:fill="auto" w:val="clear"/>
        </w:rPr>
        <w:t>numéro SIRET</w:t>
      </w:r>
      <w:r>
        <w:rPr>
          <w:rFonts w:eastAsia="arial" w:cs="arial" w:ascii="arial" w:hAnsi="arial"/>
          <w:b w:val="false"/>
          <w:i w:val="false"/>
          <w:color w:val="000000"/>
          <w:sz w:val="20"/>
          <w:u w:val="none"/>
          <w:shd w:fill="auto" w:val="clear"/>
        </w:rPr>
        <w:t xml:space="preserve"> devant être utilisé.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De même, la Ville de Marseille a choisi de rendre obligatoire la </w:t>
      </w:r>
      <w:r>
        <w:rPr>
          <w:rFonts w:eastAsia="arial" w:cs="arial" w:ascii="arial" w:hAnsi="arial"/>
          <w:b/>
          <w:i w:val="false"/>
          <w:color w:val="000000"/>
          <w:sz w:val="20"/>
          <w:u w:val="single"/>
          <w:shd w:fill="auto" w:val="clear"/>
        </w:rPr>
        <w:t>référence à l'engagement</w:t>
      </w:r>
      <w:r>
        <w:rPr>
          <w:rFonts w:eastAsia="arial" w:cs="arial" w:ascii="arial" w:hAnsi="arial"/>
          <w:b w:val="false"/>
          <w:i w:val="false"/>
          <w:color w:val="000000"/>
          <w:sz w:val="20"/>
          <w:u w:val="none"/>
          <w:shd w:fill="auto" w:val="clear"/>
        </w:rPr>
        <w:t>. Le ou les numéros d'engagement seront communiqués au titulaire par le service gestionnaire du marché ou par le service acheteur.</w:t>
      </w:r>
    </w:p>
    <w:p>
      <w:pPr>
        <w:pStyle w:val="Normal"/>
        <w:spacing w:before="120" w:after="0"/>
        <w:rPr>
          <w:highlight w:val="none"/>
          <w:shd w:fill="auto" w:val="clear"/>
        </w:rPr>
      </w:pPr>
      <w:r>
        <w:rPr>
          <w:rFonts w:eastAsia="arial" w:cs="arial" w:ascii="arial" w:hAnsi="arial"/>
          <w:b/>
          <w:i w:val="false"/>
          <w:color w:val="000000"/>
          <w:sz w:val="20"/>
          <w:u w:val="none"/>
          <w:shd w:fill="auto" w:val="clear"/>
        </w:rPr>
        <w:t>Sous peine d'irrecevabilité, les factures seront déposées dans CHORUS PRO en respectant l'obligation de renseignement exact des 2 numéros précités.</w:t>
      </w:r>
    </w:p>
    <w:p>
      <w:pPr>
        <w:pStyle w:val="Normal"/>
        <w:spacing w:before="120" w:after="0"/>
        <w:rPr>
          <w:highlight w:val="none"/>
          <w:shd w:fill="auto" w:val="clear"/>
        </w:rPr>
      </w:pPr>
      <w:r>
        <w:rPr>
          <w:shd w:fill="auto" w:val="clear"/>
        </w:rPr>
      </w:r>
    </w:p>
    <w:p>
      <w:pPr>
        <w:pStyle w:val="Titre1"/>
        <w:numPr>
          <w:ilvl w:val="0"/>
          <w:numId w:val="2"/>
        </w:numPr>
        <w:rPr>
          <w:highlight w:val="none"/>
          <w:shd w:fill="auto" w:val="clear"/>
        </w:rPr>
      </w:pPr>
      <w:bookmarkStart w:id="41" w:name="_Toc3886"/>
      <w:r>
        <w:rPr>
          <w:shd w:fill="auto" w:val="clear"/>
        </w:rPr>
        <w:t>PENALITES</w:t>
      </w:r>
      <w:bookmarkEnd w:id="41"/>
    </w:p>
    <w:p>
      <w:pPr>
        <w:pStyle w:val="Titre2"/>
        <w:numPr>
          <w:ilvl w:val="1"/>
          <w:numId w:val="2"/>
        </w:numPr>
        <w:rPr>
          <w:highlight w:val="none"/>
          <w:shd w:fill="auto" w:val="clear"/>
        </w:rPr>
      </w:pPr>
      <w:bookmarkStart w:id="42" w:name="_Toc3887"/>
      <w:r>
        <w:rPr>
          <w:shd w:fill="auto" w:val="clear"/>
        </w:rPr>
        <w:t>Pénalités de retard</w:t>
      </w:r>
      <w:bookmarkEnd w:id="42"/>
    </w:p>
    <w:p>
      <w:pPr>
        <w:pStyle w:val="Normal"/>
        <w:spacing w:before="0" w:after="0"/>
        <w:ind w:left="0" w:right="0" w:hanging="0"/>
        <w:jc w:val="both"/>
        <w:rPr>
          <w:highlight w:val="none"/>
          <w:shd w:fill="auto" w:val="clear"/>
        </w:rPr>
      </w:pPr>
      <w:r>
        <w:rPr>
          <w:rFonts w:eastAsia="Arial" w:cs="Arial"/>
          <w:color w:val="000000"/>
          <w:sz w:val="20"/>
          <w:shd w:fill="auto" w:val="clear"/>
        </w:rPr>
        <w:t xml:space="preserve">Par dérogation à l’article 14 du CCAG FCS, en cas de retard dans l'exécution des prestations, imputable au titulaire, la Ville de Marseille se réserve la possibilité d’appliquer sans mise en demeure préalable, les pénalités suivantes : </w:t>
      </w:r>
    </w:p>
    <w:p>
      <w:pPr>
        <w:pStyle w:val="Normal"/>
        <w:spacing w:before="200" w:after="0"/>
        <w:ind w:left="0" w:right="0" w:hanging="0"/>
        <w:jc w:val="both"/>
        <w:rPr>
          <w:highlight w:val="none"/>
          <w:shd w:fill="auto" w:val="clear"/>
        </w:rPr>
      </w:pPr>
      <w:r>
        <w:rPr>
          <w:rFonts w:eastAsia="Arial" w:cs="Arial"/>
          <w:color w:val="000000"/>
          <w:sz w:val="20"/>
          <w:shd w:fill="auto" w:val="clear"/>
        </w:rPr>
        <w:t>- Retard dans l’émission, la modification ou l’annulation d’un billet ou d’un voucher et/ou de toute prestation associée : 50 € par heure de retard</w:t>
      </w:r>
    </w:p>
    <w:p>
      <w:pPr>
        <w:pStyle w:val="Normal"/>
        <w:spacing w:before="200" w:after="0"/>
        <w:ind w:left="0" w:right="0" w:hanging="0"/>
        <w:jc w:val="both"/>
        <w:rPr>
          <w:highlight w:val="none"/>
          <w:shd w:fill="auto" w:val="clear"/>
        </w:rPr>
      </w:pPr>
      <w:r>
        <w:rPr>
          <w:rFonts w:eastAsia="Arial" w:cs="Arial"/>
          <w:color w:val="000000"/>
          <w:sz w:val="20"/>
          <w:shd w:fill="auto" w:val="clear"/>
        </w:rPr>
        <w:t xml:space="preserve">- Indisponibilité du titulaire : 150€ par période de 4h d’indisponibilité. </w:t>
      </w:r>
    </w:p>
    <w:p>
      <w:pPr>
        <w:pStyle w:val="Normal"/>
        <w:spacing w:before="200" w:after="0"/>
        <w:ind w:left="0" w:right="0" w:hanging="0"/>
        <w:jc w:val="both"/>
        <w:rPr>
          <w:highlight w:val="none"/>
          <w:shd w:fill="auto" w:val="clear"/>
        </w:rPr>
      </w:pPr>
      <w:r>
        <w:rPr>
          <w:rFonts w:eastAsia="Arial" w:cs="Arial"/>
          <w:color w:val="000000"/>
          <w:sz w:val="20"/>
          <w:shd w:fill="auto" w:val="clear"/>
        </w:rPr>
        <w:t>- Indisponibilité de la plateforme de réservation en ligne : 100€ par période de 4h d’indisponibilité.</w:t>
      </w:r>
    </w:p>
    <w:p>
      <w:pPr>
        <w:pStyle w:val="Normal"/>
        <w:spacing w:before="200" w:after="0"/>
        <w:ind w:left="0" w:right="0" w:hanging="0"/>
        <w:jc w:val="both"/>
        <w:rPr>
          <w:highlight w:val="none"/>
          <w:shd w:fill="auto" w:val="clear"/>
        </w:rPr>
      </w:pPr>
      <w:r>
        <w:rPr>
          <w:rFonts w:eastAsia="Arial" w:cs="Arial"/>
          <w:color w:val="000000"/>
          <w:sz w:val="20"/>
          <w:shd w:fill="auto" w:val="clear"/>
        </w:rPr>
        <w:t xml:space="preserve">Par dérogation à l'article 14.1.3 du CCAG FCS, le titulaire n’est pas exonéré des pénalités dont le montant ne dépasse pas </w:t>
      </w:r>
      <w:r>
        <w:rPr>
          <w:rFonts w:eastAsia="Arial" w:cs="Arial"/>
          <w:b/>
          <w:color w:val="000000"/>
          <w:sz w:val="20"/>
          <w:shd w:fill="auto" w:val="clear"/>
        </w:rPr>
        <w:t xml:space="preserve">1 000 euros </w:t>
      </w:r>
      <w:r>
        <w:rPr>
          <w:rFonts w:eastAsia="Arial" w:cs="Arial"/>
          <w:color w:val="000000"/>
          <w:sz w:val="20"/>
          <w:shd w:fill="auto" w:val="clear"/>
        </w:rPr>
        <w:t>pour l'ensemble du marché.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En application de l'article 14.1.2 du CCAG FCS, le montant total des pénalités de retard ne peut excéder 10 % du montant total hors taxes du </w:t>
      </w:r>
      <w:r>
        <w:rPr>
          <w:rFonts w:eastAsia="arial" w:cs="arial" w:ascii="arial" w:hAnsi="arial"/>
          <w:b/>
          <w:i w:val="false"/>
          <w:color w:val="000000"/>
          <w:sz w:val="20"/>
          <w:u w:val="none"/>
          <w:shd w:fill="auto" w:val="clear"/>
        </w:rPr>
        <w:t>bon de commande</w:t>
      </w:r>
      <w:r>
        <w:rPr>
          <w:rFonts w:eastAsia="arial" w:cs="arial" w:ascii="arial" w:hAnsi="arial"/>
          <w:b w:val="false"/>
          <w:i w:val="false"/>
          <w:color w:val="000000"/>
          <w:sz w:val="20"/>
          <w:u w:val="none"/>
          <w:shd w:fill="auto" w:val="clear"/>
        </w:rPr>
        <w:t>.</w:t>
      </w:r>
    </w:p>
    <w:p>
      <w:pPr>
        <w:pStyle w:val="Titre2"/>
        <w:numPr>
          <w:ilvl w:val="1"/>
          <w:numId w:val="2"/>
        </w:numPr>
        <w:rPr>
          <w:highlight w:val="none"/>
          <w:shd w:fill="auto" w:val="clear"/>
        </w:rPr>
      </w:pPr>
      <w:bookmarkStart w:id="43" w:name="_Toc4545"/>
      <w:r>
        <w:rPr>
          <w:shd w:fill="auto" w:val="clear"/>
        </w:rPr>
        <w:t>Pénalités pour non respect des obligations environnementales du titulaire</w:t>
      </w:r>
      <w:bookmarkEnd w:id="43"/>
    </w:p>
    <w:p>
      <w:pPr>
        <w:pStyle w:val="Normal"/>
        <w:rPr>
          <w:highlight w:val="none"/>
          <w:shd w:fill="auto" w:val="clear"/>
        </w:rPr>
      </w:pPr>
      <w:r>
        <w:rPr>
          <w:rFonts w:eastAsia="arial" w:cs="arial" w:ascii="arial" w:hAnsi="arial"/>
          <w:b w:val="false"/>
          <w:i w:val="false"/>
          <w:color w:val="000000"/>
          <w:sz w:val="20"/>
          <w:u w:val="none"/>
          <w:shd w:fill="auto" w:val="clear"/>
        </w:rPr>
        <w:t>Par dérogation à l’article 16.2 du CCAG FCS,</w:t>
      </w:r>
      <w:r>
        <w:rPr>
          <w:rFonts w:eastAsia="arial" w:cs="arial" w:ascii="arial" w:hAnsi="arial"/>
          <w:b/>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le titulaire renseigne dans son mémoire technique les mesures environnementales mise en œuvre lors de l’exécution du marché.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pouvoir adjudicateur procédera à des contrôles afin de s'assurer de la mise en œuvre des engagements du titulaire, et se réserve la possibilité d'opérer par contrôle inopiné.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En cas de non-respect des obligations prévues en la matière, et conformément à l'article 16.2.3 du CCAG FCS,le titulaire se voit appliquer pour chaque manquement, après mise en demeure restée infructueuse, une pénalité dont le montant est fixé à</w:t>
      </w:r>
      <w:r>
        <w:rPr>
          <w:rFonts w:eastAsia="arial" w:cs="arial" w:ascii="arial" w:hAnsi="arial"/>
          <w:b/>
          <w:i w:val="false"/>
          <w:color w:val="000000"/>
          <w:sz w:val="20"/>
          <w:u w:val="none"/>
          <w:shd w:fill="auto" w:val="clear"/>
        </w:rPr>
        <w:t xml:space="preserve"> 50 euros.</w:t>
      </w:r>
    </w:p>
    <w:p>
      <w:pPr>
        <w:pStyle w:val="Titre2"/>
        <w:numPr>
          <w:ilvl w:val="1"/>
          <w:numId w:val="2"/>
        </w:numPr>
        <w:rPr>
          <w:highlight w:val="none"/>
          <w:shd w:fill="auto" w:val="clear"/>
        </w:rPr>
      </w:pPr>
      <w:bookmarkStart w:id="44" w:name="_Toc3888"/>
      <w:r>
        <w:rPr>
          <w:shd w:fill="auto" w:val="clear"/>
        </w:rPr>
        <w:t>Pénalités pour non respect des dispositions du Code du Travail</w:t>
      </w:r>
      <w:bookmarkEnd w:id="44"/>
    </w:p>
    <w:p>
      <w:pPr>
        <w:pStyle w:val="Normal"/>
        <w:rPr>
          <w:highlight w:val="none"/>
          <w:shd w:fill="auto" w:val="clear"/>
        </w:rPr>
      </w:pPr>
      <w:r>
        <w:rPr>
          <w:rFonts w:eastAsia="arial" w:cs="arial" w:ascii="arial" w:hAnsi="arial"/>
          <w:b w:val="false"/>
          <w:i w:val="false"/>
          <w:color w:val="000000"/>
          <w:sz w:val="20"/>
          <w:u w:val="none"/>
          <w:shd w:fill="auto"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i w:val="false"/>
          <w:color w:val="000000"/>
          <w:sz w:val="20"/>
          <w:u w:val="none"/>
          <w:shd w:fill="auto" w:val="clear"/>
        </w:rPr>
        <w:t>de</w:t>
      </w:r>
      <w:r>
        <w:rPr>
          <w:rFonts w:eastAsia="arial" w:cs="arial" w:ascii="arial" w:hAnsi="arial"/>
          <w:b w:val="false"/>
          <w:i w:val="false"/>
          <w:color w:val="000000"/>
          <w:sz w:val="20"/>
          <w:u w:val="none"/>
          <w:shd w:fill="auto" w:val="clear"/>
        </w:rPr>
        <w:t xml:space="preserve"> 50</w:t>
      </w:r>
      <w:r>
        <w:rPr>
          <w:rFonts w:eastAsia="arial" w:cs="arial" w:ascii="arial" w:hAnsi="arial"/>
          <w:b/>
          <w:i w:val="false"/>
          <w:color w:val="000000"/>
          <w:sz w:val="20"/>
          <w:u w:val="none"/>
          <w:shd w:fill="auto" w:val="clear"/>
        </w:rPr>
        <w:t>euros par jour de retard.</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rPr>
          <w:highlight w:val="none"/>
          <w:shd w:fill="auto" w:val="clear"/>
        </w:rPr>
      </w:pPr>
      <w:bookmarkStart w:id="45" w:name="_Toc3889"/>
      <w:r>
        <w:rPr>
          <w:shd w:fill="auto" w:val="clear"/>
        </w:rPr>
        <w:t>Autres pénalités</w:t>
      </w:r>
      <w:bookmarkEnd w:id="45"/>
    </w:p>
    <w:p>
      <w:pPr>
        <w:pStyle w:val="Normal"/>
        <w:rPr>
          <w:highlight w:val="none"/>
          <w:shd w:fill="auto" w:val="clear"/>
        </w:rPr>
      </w:pPr>
      <w:r>
        <w:rPr>
          <w:rFonts w:eastAsia="arial" w:cs="arial" w:ascii="arial" w:hAnsi="arial"/>
          <w:b w:val="false"/>
          <w:i w:val="false"/>
          <w:color w:val="000000"/>
          <w:sz w:val="20"/>
          <w:u w:val="none"/>
          <w:shd w:fill="auto" w:val="clear"/>
        </w:rPr>
        <w:t>Il n'est pas prévu d'autres pénalités.</w:t>
      </w:r>
    </w:p>
    <w:p>
      <w:pPr>
        <w:pStyle w:val="Titre1"/>
        <w:numPr>
          <w:ilvl w:val="0"/>
          <w:numId w:val="2"/>
        </w:numPr>
        <w:rPr>
          <w:highlight w:val="none"/>
          <w:shd w:fill="auto" w:val="clear"/>
        </w:rPr>
      </w:pPr>
      <w:bookmarkStart w:id="46" w:name="_Toc3890"/>
      <w:r>
        <w:rPr>
          <w:shd w:fill="auto" w:val="clear"/>
        </w:rPr>
        <w:t>RESILIATION ET EXECUTION DES PRESTATIONS AUX FRAIS ET RISQUES DU TITULAIRE</w:t>
      </w:r>
      <w:bookmarkEnd w:id="46"/>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L'ensemble des dispositions du CCAG/FCS (chapitre 7) est applicable.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Normal"/>
        <w:rPr>
          <w:highlight w:val="none"/>
          <w:shd w:fill="auto" w:val="clear"/>
        </w:rPr>
      </w:pPr>
      <w:r>
        <w:rPr>
          <w:rFonts w:eastAsia="arial" w:cs="arial" w:ascii="arial" w:hAnsi="arial"/>
          <w:b w:val="false"/>
          <w:i w:val="false"/>
          <w:color w:val="000000"/>
          <w:sz w:val="20"/>
          <w:u w:val="none"/>
          <w:shd w:fill="auto" w:val="clear"/>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highlight w:val="none"/>
          <w:shd w:fill="auto" w:val="clear"/>
        </w:rPr>
      </w:pPr>
      <w:bookmarkStart w:id="47" w:name="_Toc3891"/>
      <w:r>
        <w:rPr>
          <w:shd w:fill="auto" w:val="clear"/>
        </w:rPr>
        <w:t>CLAUSES DE GESTION DES DONNEES</w:t>
      </w:r>
      <w:bookmarkEnd w:id="47"/>
    </w:p>
    <w:p>
      <w:pPr>
        <w:pStyle w:val="Titre2"/>
        <w:numPr>
          <w:ilvl w:val="1"/>
          <w:numId w:val="2"/>
        </w:numPr>
        <w:rPr>
          <w:highlight w:val="none"/>
          <w:shd w:fill="auto" w:val="clear"/>
        </w:rPr>
      </w:pPr>
      <w:bookmarkStart w:id="48" w:name="_Toc3892"/>
      <w:r>
        <w:rPr>
          <w:shd w:fill="auto" w:val="clear"/>
        </w:rPr>
        <w:t xml:space="preserve">Les contraintes réglementaires </w:t>
      </w:r>
      <w:bookmarkEnd w:id="48"/>
    </w:p>
    <w:p>
      <w:pPr>
        <w:pStyle w:val="Titre3"/>
        <w:numPr>
          <w:ilvl w:val="2"/>
          <w:numId w:val="2"/>
        </w:numPr>
        <w:rPr>
          <w:highlight w:val="none"/>
          <w:shd w:fill="auto" w:val="clear"/>
        </w:rPr>
      </w:pPr>
      <w:bookmarkStart w:id="49" w:name="_Toc3893"/>
      <w:r>
        <w:rPr>
          <w:shd w:fill="auto" w:val="clear"/>
        </w:rPr>
        <w:t>Le RGS</w:t>
      </w:r>
      <w:bookmarkEnd w:id="49"/>
    </w:p>
    <w:p>
      <w:pPr>
        <w:pStyle w:val="Normal"/>
        <w:rPr>
          <w:highlight w:val="none"/>
          <w:shd w:fill="auto" w:val="clear"/>
        </w:rPr>
      </w:pPr>
      <w:r>
        <w:rPr>
          <w:rFonts w:eastAsia="arial" w:cs="arial" w:ascii="arial" w:hAnsi="arial"/>
          <w:b w:val="false"/>
          <w:i w:val="false"/>
          <w:color w:val="000000"/>
          <w:sz w:val="20"/>
          <w:u w:val="none"/>
          <w:shd w:fill="auto" w:val="clear"/>
        </w:rPr>
        <w:t xml:space="preserve">Le décret </w:t>
      </w:r>
      <w:r>
        <w:rPr>
          <w:rFonts w:eastAsia="arial" w:cs="arial" w:ascii="arial" w:hAnsi="arial"/>
          <w:b/>
          <w:i w:val="false"/>
          <w:color w:val="000000"/>
          <w:sz w:val="20"/>
          <w:u w:val="none"/>
          <w:shd w:fill="auto" w:val="clear"/>
        </w:rPr>
        <w:t>RGS</w:t>
      </w:r>
      <w:r>
        <w:rPr>
          <w:rFonts w:eastAsia="arial" w:cs="arial" w:ascii="arial" w:hAnsi="arial"/>
          <w:b w:val="false"/>
          <w:i/>
          <w:color w:val="000000"/>
          <w:sz w:val="20"/>
          <w:u w:val="none"/>
          <w:shd w:fill="auto" w:val="clear"/>
        </w:rPr>
        <w:t>(Référentiel Général de Sécurité)</w:t>
      </w:r>
      <w:r>
        <w:rPr>
          <w:rFonts w:eastAsia="arial" w:cs="arial" w:ascii="arial" w:hAnsi="arial"/>
          <w:b w:val="false"/>
          <w:i w:val="false"/>
          <w:color w:val="000000"/>
          <w:sz w:val="20"/>
          <w:u w:val="none"/>
          <w:shd w:fill="auto" w:val="clear"/>
        </w:rPr>
        <w:t>, pris en application de</w:t>
      </w:r>
      <w:r>
        <w:rPr>
          <w:rFonts w:eastAsia="arial" w:cs="arial" w:ascii="arial" w:hAnsi="arial"/>
          <w:b/>
          <w:i w:val="false"/>
          <w:color w:val="000000"/>
          <w:sz w:val="20"/>
          <w:u w:val="none"/>
          <w:shd w:fill="auto" w:val="clear"/>
        </w:rPr>
        <w:t xml:space="preserve"> l'ordonnance n° 2005-1516 du 8 Décembre 2005</w:t>
      </w:r>
      <w:r>
        <w:rPr>
          <w:rFonts w:eastAsia="arial" w:cs="arial" w:ascii="arial" w:hAnsi="arial"/>
          <w:b w:val="false"/>
          <w:i w:val="false"/>
          <w:color w:val="000000"/>
          <w:sz w:val="20"/>
          <w:u w:val="none"/>
          <w:shd w:fill="auto" w:val="clear"/>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shd w:fill="auto" w:val="clear"/>
        </w:rPr>
        <w:t xml:space="preserve"> télé-services</w:t>
      </w:r>
      <w:r>
        <w:rPr>
          <w:rFonts w:eastAsia="arial" w:cs="arial" w:ascii="arial" w:hAnsi="arial"/>
          <w:b w:val="false"/>
          <w:i w:val="false"/>
          <w:color w:val="000000"/>
          <w:sz w:val="20"/>
          <w:u w:val="none"/>
          <w:shd w:fill="auto" w:val="clear"/>
        </w:rPr>
        <w:t>.</w:t>
      </w:r>
    </w:p>
    <w:p>
      <w:pPr>
        <w:pStyle w:val="Titre3"/>
        <w:numPr>
          <w:ilvl w:val="2"/>
          <w:numId w:val="2"/>
        </w:numPr>
        <w:rPr>
          <w:highlight w:val="none"/>
          <w:shd w:fill="auto" w:val="clear"/>
        </w:rPr>
      </w:pPr>
      <w:bookmarkStart w:id="50" w:name="_Toc3894"/>
      <w:r>
        <w:rPr>
          <w:shd w:fill="auto" w:val="clear"/>
        </w:rPr>
        <w:t>Le Règlement Général sur la Protection des Données (RGPD)</w:t>
      </w:r>
      <w:bookmarkEnd w:id="50"/>
    </w:p>
    <w:p>
      <w:pPr>
        <w:pStyle w:val="Normal"/>
        <w:rPr>
          <w:highlight w:val="none"/>
          <w:shd w:fill="auto" w:val="clear"/>
        </w:rPr>
      </w:pPr>
      <w:r>
        <w:rPr>
          <w:rFonts w:eastAsia="arial" w:cs="arial" w:ascii="arial" w:hAnsi="arial"/>
          <w:b w:val="false"/>
          <w:i w:val="false"/>
          <w:color w:val="000000"/>
          <w:sz w:val="20"/>
          <w:u w:val="none"/>
          <w:shd w:fill="auto" w:val="clear"/>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L'ensemble des conditions sont définies dans l'annexe « Protection des données et Politique de sécurité » de l'acte d'engagement, le cas échéant.</w:t>
      </w:r>
    </w:p>
    <w:p>
      <w:pPr>
        <w:pStyle w:val="Titre3"/>
        <w:numPr>
          <w:ilvl w:val="2"/>
          <w:numId w:val="2"/>
        </w:numPr>
        <w:rPr>
          <w:highlight w:val="none"/>
          <w:shd w:fill="auto" w:val="clear"/>
        </w:rPr>
      </w:pPr>
      <w:bookmarkStart w:id="51" w:name="_Toc3895"/>
      <w:r>
        <w:rPr>
          <w:shd w:fill="auto" w:val="clear"/>
        </w:rPr>
        <w:t>Le Code du Patrimoine</w:t>
      </w:r>
      <w:bookmarkEnd w:id="51"/>
    </w:p>
    <w:p>
      <w:pPr>
        <w:pStyle w:val="Normal"/>
        <w:rPr>
          <w:highlight w:val="none"/>
          <w:shd w:fill="auto" w:val="clear"/>
        </w:rPr>
      </w:pPr>
      <w:r>
        <w:rPr>
          <w:rFonts w:eastAsia="arial" w:cs="arial" w:ascii="arial" w:hAnsi="arial"/>
          <w:b w:val="false"/>
          <w:i w:val="false"/>
          <w:color w:val="000000"/>
          <w:sz w:val="20"/>
          <w:u w:val="none"/>
          <w:shd w:fill="auto" w:val="clear"/>
        </w:rPr>
        <w:t>Les documents et données produits ou reçus par la Ville de Marseille constituent des archives publiques.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Or, la </w:t>
      </w:r>
      <w:r>
        <w:rPr>
          <w:rFonts w:eastAsia="arial" w:cs="arial" w:ascii="arial" w:hAnsi="arial"/>
          <w:b/>
          <w:i w:val="false"/>
          <w:color w:val="000000"/>
          <w:sz w:val="20"/>
          <w:u w:val="none"/>
          <w:shd w:fill="auto" w:val="clear"/>
        </w:rPr>
        <w:t>loi n°2015-195</w:t>
      </w:r>
      <w:r>
        <w:rPr>
          <w:rFonts w:eastAsia="arial" w:cs="arial" w:ascii="arial" w:hAnsi="arial"/>
          <w:b w:val="false"/>
          <w:i w:val="false"/>
          <w:color w:val="000000"/>
          <w:sz w:val="20"/>
          <w:u w:val="none"/>
          <w:shd w:fill="auto" w:val="clear"/>
        </w:rPr>
        <w:t xml:space="preserve"> promulguée le 20 février 2015 et modifiant</w:t>
      </w:r>
      <w:r>
        <w:rPr>
          <w:rFonts w:eastAsia="arial" w:cs="arial" w:ascii="arial" w:hAnsi="arial"/>
          <w:b/>
          <w:i w:val="false"/>
          <w:color w:val="000000"/>
          <w:sz w:val="20"/>
          <w:u w:val="none"/>
          <w:shd w:fill="auto" w:val="clear"/>
        </w:rPr>
        <w:t xml:space="preserve"> l'article L.111-1 du Code du Patrimoine</w:t>
      </w:r>
      <w:r>
        <w:rPr>
          <w:rFonts w:eastAsia="arial" w:cs="arial" w:ascii="arial" w:hAnsi="arial"/>
          <w:b w:val="false"/>
          <w:i w:val="false"/>
          <w:color w:val="000000"/>
          <w:sz w:val="20"/>
          <w:u w:val="none"/>
          <w:shd w:fill="auto" w:val="clear"/>
        </w:rPr>
        <w:t>, qualifie les archives publiques de "</w:t>
      </w:r>
      <w:r>
        <w:rPr>
          <w:rFonts w:eastAsia="arial" w:cs="arial" w:ascii="arial" w:hAnsi="arial"/>
          <w:b w:val="false"/>
          <w:i w:val="false"/>
          <w:color w:val="000000"/>
          <w:sz w:val="20"/>
          <w:u w:val="single"/>
          <w:shd w:fill="auto" w:val="clear"/>
        </w:rPr>
        <w:t>Trésors nationaux</w:t>
      </w:r>
      <w:r>
        <w:rPr>
          <w:rFonts w:eastAsia="arial" w:cs="arial" w:ascii="arial" w:hAnsi="arial"/>
          <w:b w:val="false"/>
          <w:i w:val="false"/>
          <w:color w:val="000000"/>
          <w:sz w:val="20"/>
          <w:u w:val="none"/>
          <w:shd w:fill="auto" w:val="clear"/>
        </w:rPr>
        <w:t>" et ne peuvent donc sortir du territoire douanier qu'après autorisation du Service inter-ministériel des Archives de France (SIAF) et seulement dans certains cas précis.</w:t>
      </w:r>
    </w:p>
    <w:p>
      <w:pPr>
        <w:pStyle w:val="Titre2"/>
        <w:numPr>
          <w:ilvl w:val="1"/>
          <w:numId w:val="2"/>
        </w:numPr>
        <w:rPr>
          <w:highlight w:val="none"/>
          <w:shd w:fill="auto" w:val="clear"/>
        </w:rPr>
      </w:pPr>
      <w:bookmarkStart w:id="52" w:name="_Toc3896"/>
      <w:r>
        <w:rPr>
          <w:shd w:fill="auto" w:val="clear"/>
        </w:rPr>
        <w:t>Les clauses générales de confidentialité</w:t>
      </w:r>
      <w:bookmarkEnd w:id="52"/>
    </w:p>
    <w:p>
      <w:pPr>
        <w:pStyle w:val="Normal"/>
        <w:rPr>
          <w:highlight w:val="none"/>
          <w:shd w:fill="auto" w:val="clear"/>
        </w:rPr>
      </w:pPr>
      <w:r>
        <w:rPr>
          <w:rFonts w:eastAsia="arial" w:cs="arial" w:ascii="arial" w:hAnsi="arial"/>
          <w:b w:val="false"/>
          <w:i w:val="false"/>
          <w:color w:val="000000"/>
          <w:sz w:val="20"/>
          <w:u w:val="none"/>
          <w:shd w:fill="auto" w:val="clear"/>
        </w:rPr>
        <w:t xml:space="preserve">Les supports informatiques physiques et documents fournis par la </w:t>
      </w:r>
      <w:r>
        <w:rPr>
          <w:rFonts w:eastAsia="arial" w:cs="arial" w:ascii="arial" w:hAnsi="arial"/>
          <w:b/>
          <w:i w:val="false"/>
          <w:color w:val="000000"/>
          <w:sz w:val="20"/>
          <w:u w:val="none"/>
          <w:shd w:fill="auto" w:val="clear"/>
        </w:rPr>
        <w:t>Ville de Marseille</w:t>
      </w:r>
      <w:r>
        <w:rPr>
          <w:rFonts w:eastAsia="arial" w:cs="arial" w:ascii="arial" w:hAnsi="arial"/>
          <w:b w:val="false"/>
          <w:i w:val="false"/>
          <w:color w:val="000000"/>
          <w:sz w:val="20"/>
          <w:u w:val="none"/>
          <w:shd w:fill="auto" w:val="clear"/>
        </w:rPr>
        <w:t xml:space="preserve"> à la société prestataire restent la propriété de la </w:t>
      </w:r>
      <w:r>
        <w:rPr>
          <w:rFonts w:eastAsia="arial" w:cs="arial" w:ascii="arial" w:hAnsi="arial"/>
          <w:b/>
          <w:i w:val="false"/>
          <w:color w:val="000000"/>
          <w:sz w:val="20"/>
          <w:u w:val="none"/>
          <w:shd w:fill="auto" w:val="clear"/>
        </w:rPr>
        <w:t>Ville de Marseille</w:t>
      </w:r>
      <w:r>
        <w:rPr>
          <w:rFonts w:eastAsia="arial" w:cs="arial" w:ascii="arial" w:hAnsi="arial"/>
          <w:b w:val="false"/>
          <w:i w:val="false"/>
          <w:color w:val="000000"/>
          <w:sz w:val="20"/>
          <w:u w:val="none"/>
          <w:shd w:fill="auto" w:val="clear"/>
        </w:rPr>
        <w:t>.</w:t>
      </w:r>
    </w:p>
    <w:p>
      <w:pPr>
        <w:pStyle w:val="Normal"/>
        <w:spacing w:before="120" w:after="0"/>
        <w:rPr>
          <w:highlight w:val="none"/>
          <w:shd w:fill="auto" w:val="clear"/>
        </w:rPr>
      </w:pPr>
      <w:r>
        <w:rPr>
          <w:rFonts w:eastAsia="arial" w:cs="arial" w:ascii="arial" w:hAnsi="arial"/>
          <w:b/>
          <w:i w:val="false"/>
          <w:color w:val="000000"/>
          <w:sz w:val="20"/>
          <w:u w:val="none"/>
          <w:shd w:fill="auto" w:val="clear"/>
        </w:rPr>
        <w:t>Les données</w:t>
      </w:r>
      <w:r>
        <w:rPr>
          <w:rFonts w:eastAsia="arial" w:cs="arial" w:ascii="arial" w:hAnsi="arial"/>
          <w:b w:val="false"/>
          <w:i w:val="false"/>
          <w:color w:val="000000"/>
          <w:sz w:val="20"/>
          <w:u w:val="none"/>
          <w:shd w:fill="auto" w:val="clear"/>
        </w:rPr>
        <w:t xml:space="preserve"> contenues dans ces supports et documents sont </w:t>
      </w:r>
      <w:r>
        <w:rPr>
          <w:rFonts w:eastAsia="arial" w:cs="arial" w:ascii="arial" w:hAnsi="arial"/>
          <w:b/>
          <w:i w:val="false"/>
          <w:color w:val="000000"/>
          <w:sz w:val="20"/>
          <w:u w:val="none"/>
          <w:shd w:fill="auto" w:val="clear"/>
        </w:rPr>
        <w:t>strictement couvertes par le secret professionnel</w:t>
      </w:r>
      <w:r>
        <w:rPr>
          <w:rFonts w:eastAsia="arial" w:cs="arial" w:ascii="arial" w:hAnsi="arial"/>
          <w:b w:val="false"/>
          <w:i w:val="false"/>
          <w:color w:val="000000"/>
          <w:sz w:val="20"/>
          <w:u w:val="none"/>
          <w:shd w:fill="auto" w:val="clear"/>
        </w:rPr>
        <w:t xml:space="preserve"> (article 226-13 du Code pénal), il en va de même pour toutes les données dont la société prestataire prendra connaissance à l'occasion de l'exécution de ce marché.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highlight w:val="none"/>
          <w:shd w:fill="auto" w:val="clear"/>
        </w:rPr>
      </w:pPr>
      <w:r>
        <w:rPr>
          <w:rFonts w:eastAsia="arial" w:cs="arial" w:ascii="arial" w:hAnsi="arial"/>
          <w:b/>
          <w:i w:val="false"/>
          <w:color w:val="000000"/>
          <w:sz w:val="20"/>
          <w:u w:val="none"/>
          <w:shd w:fill="auto" w:val="clear"/>
        </w:rPr>
        <w:t>La société</w:t>
      </w:r>
      <w:r>
        <w:rPr>
          <w:rFonts w:eastAsia="arial" w:cs="arial" w:ascii="arial" w:hAnsi="arial"/>
          <w:b w:val="false"/>
          <w:i w:val="false"/>
          <w:color w:val="000000"/>
          <w:sz w:val="20"/>
          <w:u w:val="none"/>
          <w:shd w:fill="auto" w:val="clear"/>
        </w:rPr>
        <w:t xml:space="preserve"> prestataire s'engage donc à respecter les obligations suivantes et à les faire respecter par son personnel :</w:t>
      </w:r>
    </w:p>
    <w:p>
      <w:pPr>
        <w:pStyle w:val="Normal"/>
        <w:numPr>
          <w:ilvl w:val="0"/>
          <w:numId w:val="3"/>
        </w:numPr>
        <w:rPr>
          <w:highlight w:val="none"/>
          <w:shd w:fill="auto" w:val="clear"/>
        </w:rPr>
      </w:pPr>
      <w:r>
        <w:rPr>
          <w:rFonts w:eastAsia="arial" w:cs="arial" w:ascii="arial" w:hAnsi="arial"/>
          <w:b w:val="false"/>
          <w:i w:val="false"/>
          <w:color w:val="000000"/>
          <w:sz w:val="20"/>
          <w:u w:val="none"/>
          <w:shd w:fill="auto" w:val="clear"/>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highlight w:val="none"/>
          <w:shd w:fill="auto" w:val="clear"/>
        </w:rPr>
      </w:pPr>
      <w:r>
        <w:rPr>
          <w:rFonts w:eastAsia="arial" w:cs="arial" w:ascii="arial" w:hAnsi="arial"/>
          <w:b w:val="false"/>
          <w:i w:val="false"/>
          <w:color w:val="000000"/>
          <w:sz w:val="20"/>
          <w:u w:val="none"/>
          <w:shd w:fill="auto" w:val="clear"/>
        </w:rPr>
        <w:t>ne pas utiliser les documents et informations traités à des fins autres que celles spécifiées dans ce marché ;</w:t>
      </w:r>
    </w:p>
    <w:p>
      <w:pPr>
        <w:pStyle w:val="Normal"/>
        <w:numPr>
          <w:ilvl w:val="0"/>
          <w:numId w:val="3"/>
        </w:numPr>
        <w:rPr>
          <w:highlight w:val="none"/>
          <w:shd w:fill="auto" w:val="clear"/>
        </w:rPr>
      </w:pPr>
      <w:r>
        <w:rPr>
          <w:rFonts w:eastAsia="arial" w:cs="arial" w:ascii="arial" w:hAnsi="arial"/>
          <w:b w:val="false"/>
          <w:i w:val="false"/>
          <w:color w:val="000000"/>
          <w:sz w:val="20"/>
          <w:u w:val="none"/>
          <w:shd w:fill="auto" w:val="clear"/>
        </w:rPr>
        <w:t>ne pas divulguer ces documents ou informations à d'autres personnes, qu'il s'agisse de personnes privées ou publiques, physiques ou morales ;</w:t>
      </w:r>
    </w:p>
    <w:p>
      <w:pPr>
        <w:pStyle w:val="Normal"/>
        <w:numPr>
          <w:ilvl w:val="0"/>
          <w:numId w:val="3"/>
        </w:numPr>
        <w:rPr>
          <w:highlight w:val="none"/>
          <w:shd w:fill="auto" w:val="clear"/>
        </w:rPr>
      </w:pPr>
      <w:r>
        <w:rPr>
          <w:rFonts w:eastAsia="arial" w:cs="arial" w:ascii="arial" w:hAnsi="arial"/>
          <w:b w:val="false"/>
          <w:i w:val="false"/>
          <w:color w:val="000000"/>
          <w:sz w:val="20"/>
          <w:u w:val="none"/>
          <w:shd w:fill="auto" w:val="clear"/>
        </w:rPr>
        <w:t>prendre toutes mesures permettant d'éviter toute utilisation détournée ou frauduleuse des fichiers informatiques en cours d'exécution du marché ;</w:t>
      </w:r>
    </w:p>
    <w:p>
      <w:pPr>
        <w:pStyle w:val="Normal"/>
        <w:numPr>
          <w:ilvl w:val="0"/>
          <w:numId w:val="3"/>
        </w:numPr>
        <w:rPr>
          <w:highlight w:val="none"/>
          <w:shd w:fill="auto" w:val="clear"/>
        </w:rPr>
      </w:pPr>
      <w:r>
        <w:rPr>
          <w:rFonts w:eastAsia="arial" w:cs="arial" w:ascii="arial" w:hAnsi="arial"/>
          <w:b w:val="false"/>
          <w:i w:val="false"/>
          <w:color w:val="000000"/>
          <w:sz w:val="20"/>
          <w:u w:val="none"/>
          <w:shd w:fill="auto" w:val="clear"/>
        </w:rPr>
        <w:t>prendre toutes mesures de sécurité, notamment matérielle, pour assurer la conservation et l'intégrité des documents et informations traités pendant la durée du marché ;</w:t>
      </w:r>
    </w:p>
    <w:p>
      <w:pPr>
        <w:pStyle w:val="Normal"/>
        <w:numPr>
          <w:ilvl w:val="0"/>
          <w:numId w:val="3"/>
        </w:numPr>
        <w:rPr>
          <w:highlight w:val="none"/>
          <w:shd w:fill="auto" w:val="clear"/>
        </w:rPr>
      </w:pPr>
      <w:r>
        <w:rPr>
          <w:rFonts w:eastAsia="arial" w:cs="arial" w:ascii="arial" w:hAnsi="arial"/>
          <w:b w:val="false"/>
          <w:i w:val="false"/>
          <w:color w:val="000000"/>
          <w:sz w:val="20"/>
          <w:u w:val="none"/>
          <w:shd w:fill="auto" w:val="clear"/>
        </w:rPr>
        <w:t>échanger des informations personnelles, sensibles ou des authentifications/identifications uniquement de manière chiffrée ;</w:t>
      </w:r>
    </w:p>
    <w:p>
      <w:pPr>
        <w:pStyle w:val="Normal"/>
        <w:numPr>
          <w:ilvl w:val="0"/>
          <w:numId w:val="3"/>
        </w:numPr>
        <w:rPr>
          <w:highlight w:val="none"/>
          <w:shd w:fill="auto" w:val="clear"/>
        </w:rPr>
      </w:pPr>
      <w:r>
        <w:rPr>
          <w:rFonts w:eastAsia="arial" w:cs="arial" w:ascii="arial" w:hAnsi="arial"/>
          <w:b w:val="false"/>
          <w:i w:val="false"/>
          <w:color w:val="000000"/>
          <w:sz w:val="20"/>
          <w:u w:val="none"/>
          <w:shd w:fill="auto" w:val="clear"/>
        </w:rPr>
        <w:t>en fin de marché à procéder à la mise à disposition de toutes les données appartenant à la Ville de Marseille ;</w:t>
      </w:r>
    </w:p>
    <w:p>
      <w:pPr>
        <w:pStyle w:val="Normal"/>
        <w:numPr>
          <w:ilvl w:val="0"/>
          <w:numId w:val="3"/>
        </w:numPr>
        <w:rPr>
          <w:highlight w:val="none"/>
          <w:shd w:fill="auto" w:val="clear"/>
        </w:rPr>
      </w:pPr>
      <w:r>
        <w:rPr>
          <w:rFonts w:eastAsia="arial" w:cs="arial" w:ascii="arial" w:hAnsi="arial"/>
          <w:b w:val="false"/>
          <w:i w:val="false"/>
          <w:color w:val="000000"/>
          <w:sz w:val="20"/>
          <w:u w:val="none"/>
          <w:shd w:fill="auto" w:val="clear"/>
        </w:rPr>
        <w:t>et en fin de marché à procéder à la destruction de tous fichiers manuels ou informatisés stockant les informations saisies.</w:t>
      </w:r>
    </w:p>
    <w:p>
      <w:pPr>
        <w:pStyle w:val="Titre2"/>
        <w:numPr>
          <w:ilvl w:val="1"/>
          <w:numId w:val="2"/>
        </w:numPr>
        <w:rPr>
          <w:highlight w:val="none"/>
          <w:shd w:fill="auto" w:val="clear"/>
        </w:rPr>
      </w:pPr>
      <w:bookmarkStart w:id="53" w:name="_Toc3897"/>
      <w:r>
        <w:rPr>
          <w:shd w:fill="auto" w:val="clear"/>
        </w:rPr>
        <w:t>Les contrôles</w:t>
      </w:r>
      <w:bookmarkEnd w:id="53"/>
    </w:p>
    <w:p>
      <w:pPr>
        <w:pStyle w:val="Normal"/>
        <w:rPr>
          <w:highlight w:val="none"/>
          <w:shd w:fill="auto" w:val="clear"/>
        </w:rPr>
      </w:pPr>
      <w:r>
        <w:rPr>
          <w:rFonts w:eastAsia="arial" w:cs="arial" w:ascii="arial" w:hAnsi="arial"/>
          <w:b/>
          <w:i w:val="false"/>
          <w:color w:val="000000"/>
          <w:sz w:val="20"/>
          <w:u w:val="none"/>
          <w:shd w:fill="auto" w:val="clear"/>
        </w:rPr>
        <w:t>La Ville de Marseille</w:t>
      </w:r>
      <w:r>
        <w:rPr>
          <w:rFonts w:eastAsia="arial" w:cs="arial" w:ascii="arial" w:hAnsi="arial"/>
          <w:b w:val="false"/>
          <w:i w:val="false"/>
          <w:color w:val="000000"/>
          <w:sz w:val="20"/>
          <w:u w:val="none"/>
          <w:shd w:fill="auto" w:val="clear"/>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En cas de non-respect des dispositions précitées, la responsabilité du titulaire peut également être engagée sur la base des dispositions des articles 226-5 et 226-17 du nouveau code pénal.</w:t>
      </w:r>
    </w:p>
    <w:p>
      <w:pPr>
        <w:pStyle w:val="Normal"/>
        <w:spacing w:before="120" w:after="0"/>
        <w:rPr>
          <w:highlight w:val="none"/>
          <w:shd w:fill="auto" w:val="clear"/>
        </w:rPr>
      </w:pPr>
      <w:r>
        <w:rPr>
          <w:rFonts w:eastAsia="arial" w:cs="arial" w:ascii="arial" w:hAnsi="arial"/>
          <w:b/>
          <w:i w:val="false"/>
          <w:color w:val="000000"/>
          <w:sz w:val="20"/>
          <w:u w:val="none"/>
          <w:shd w:fill="auto" w:val="clear"/>
        </w:rPr>
        <w:t>La Ville de Marseille</w:t>
      </w:r>
      <w:r>
        <w:rPr>
          <w:rFonts w:eastAsia="arial" w:cs="arial" w:ascii="arial" w:hAnsi="arial"/>
          <w:b w:val="false"/>
          <w:i w:val="false"/>
          <w:color w:val="000000"/>
          <w:sz w:val="20"/>
          <w:u w:val="none"/>
          <w:shd w:fill="auto" w:val="clear"/>
        </w:rPr>
        <w:t xml:space="preserve"> pourra prononcer la résiliation du marché, sans indemnisation du titulaire, en cas de violation du secret professionnel ou de non-respect des dispositions précitées.</w:t>
      </w:r>
    </w:p>
    <w:p>
      <w:pPr>
        <w:pStyle w:val="Titre2"/>
        <w:numPr>
          <w:ilvl w:val="1"/>
          <w:numId w:val="2"/>
        </w:numPr>
        <w:rPr>
          <w:highlight w:val="none"/>
          <w:shd w:fill="auto" w:val="clear"/>
        </w:rPr>
      </w:pPr>
      <w:bookmarkStart w:id="54" w:name="_Toc3898"/>
      <w:r>
        <w:rPr>
          <w:shd w:fill="auto" w:val="clear"/>
        </w:rPr>
        <w:t>Phase de réversibilité</w:t>
      </w:r>
      <w:bookmarkEnd w:id="54"/>
    </w:p>
    <w:p>
      <w:pPr>
        <w:pStyle w:val="Normal"/>
        <w:rPr>
          <w:highlight w:val="none"/>
          <w:shd w:fill="auto" w:val="clear"/>
        </w:rPr>
      </w:pPr>
      <w:r>
        <w:rPr>
          <w:rFonts w:eastAsia="arial" w:cs="arial" w:ascii="arial" w:hAnsi="arial"/>
          <w:b w:val="false"/>
          <w:i w:val="false"/>
          <w:color w:val="000000"/>
          <w:sz w:val="20"/>
          <w:u w:val="none"/>
          <w:shd w:fill="auto" w:val="clear"/>
        </w:rPr>
        <w:t xml:space="preserve">Au terme du marché, le prestataire s'engage à faciliter la réversibilité selon les modalités choisies par la </w:t>
      </w:r>
      <w:r>
        <w:rPr>
          <w:rFonts w:eastAsia="arial" w:cs="arial" w:ascii="arial" w:hAnsi="arial"/>
          <w:b/>
          <w:i w:val="false"/>
          <w:color w:val="000000"/>
          <w:sz w:val="20"/>
          <w:u w:val="none"/>
          <w:shd w:fill="auto" w:val="clear"/>
        </w:rPr>
        <w:t>Ville de Marseille</w:t>
      </w:r>
      <w:r>
        <w:rPr>
          <w:rFonts w:eastAsia="arial" w:cs="arial" w:ascii="arial" w:hAnsi="arial"/>
          <w:b w:val="false"/>
          <w:i w:val="false"/>
          <w:color w:val="000000"/>
          <w:sz w:val="20"/>
          <w:u w:val="none"/>
          <w:shd w:fill="auto" w:val="clear"/>
        </w:rPr>
        <w:t xml:space="preserve"> et à fournir toutes les informations et prestations utiles à sa mise en oeuvre.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fourniture de toutes les</w:t>
      </w:r>
      <w:r>
        <w:rPr>
          <w:rFonts w:eastAsia="arial" w:cs="arial" w:ascii="arial" w:hAnsi="arial"/>
          <w:b/>
          <w:i w:val="false"/>
          <w:color w:val="000000"/>
          <w:sz w:val="20"/>
          <w:u w:val="none"/>
          <w:shd w:fill="auto" w:val="clear"/>
        </w:rPr>
        <w:t xml:space="preserve"> informations relatives à l'exécution du marché</w:t>
      </w:r>
      <w:r>
        <w:rPr>
          <w:rFonts w:eastAsia="arial" w:cs="arial" w:ascii="arial" w:hAnsi="arial"/>
          <w:b w:val="false"/>
          <w:i w:val="false"/>
          <w:color w:val="000000"/>
          <w:sz w:val="20"/>
          <w:u w:val="none"/>
          <w:shd w:fill="auto" w:val="clear"/>
        </w:rPr>
        <w:t xml:space="preserve">, la </w:t>
      </w:r>
      <w:r>
        <w:rPr>
          <w:rFonts w:eastAsia="arial" w:cs="arial" w:ascii="arial" w:hAnsi="arial"/>
          <w:b/>
          <w:i w:val="false"/>
          <w:color w:val="000000"/>
          <w:sz w:val="20"/>
          <w:u w:val="none"/>
          <w:shd w:fill="auto" w:val="clear"/>
        </w:rPr>
        <w:t>documentation</w:t>
      </w:r>
      <w:r>
        <w:rPr>
          <w:rFonts w:eastAsia="arial" w:cs="arial" w:ascii="arial" w:hAnsi="arial"/>
          <w:b w:val="false"/>
          <w:i w:val="false"/>
          <w:color w:val="000000"/>
          <w:sz w:val="20"/>
          <w:u w:val="none"/>
          <w:shd w:fill="auto" w:val="clear"/>
        </w:rPr>
        <w:t xml:space="preserve"> constituée durant la prestation, sous forme électronique mise à jour, ainsi que le</w:t>
      </w:r>
      <w:r>
        <w:rPr>
          <w:rFonts w:eastAsia="arial" w:cs="arial" w:ascii="arial" w:hAnsi="arial"/>
          <w:b/>
          <w:i w:val="false"/>
          <w:color w:val="000000"/>
          <w:sz w:val="20"/>
          <w:u w:val="none"/>
          <w:shd w:fill="auto" w:val="clear"/>
        </w:rPr>
        <w:t xml:space="preserve"> transfert de connaissance</w:t>
      </w:r>
      <w:r>
        <w:rPr>
          <w:rFonts w:eastAsia="arial" w:cs="arial" w:ascii="arial" w:hAnsi="arial"/>
          <w:b w:val="false"/>
          <w:i w:val="false"/>
          <w:color w:val="000000"/>
          <w:sz w:val="20"/>
          <w:u w:val="none"/>
          <w:shd w:fill="auto" w:val="clear"/>
        </w:rPr>
        <w:t xml:space="preserve"> sont inclus dans le présent marché.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Ce transfert se fera directement aux équipes de la Ville de Marseille.</w:t>
      </w:r>
    </w:p>
    <w:p>
      <w:pPr>
        <w:pStyle w:val="Normal"/>
        <w:spacing w:before="120" w:after="0"/>
        <w:rPr>
          <w:highlight w:val="none"/>
          <w:shd w:fill="auto" w:val="clear"/>
        </w:rPr>
      </w:pPr>
      <w:r>
        <w:rPr>
          <w:shd w:fill="auto" w:val="clear"/>
        </w:rPr>
      </w:r>
    </w:p>
    <w:p>
      <w:pPr>
        <w:pStyle w:val="Titre1"/>
        <w:numPr>
          <w:ilvl w:val="0"/>
          <w:numId w:val="2"/>
        </w:numPr>
        <w:rPr>
          <w:highlight w:val="none"/>
          <w:shd w:fill="auto" w:val="clear"/>
        </w:rPr>
      </w:pPr>
      <w:bookmarkStart w:id="55" w:name="_Toc3899"/>
      <w:r>
        <w:rPr>
          <w:shd w:fill="auto" w:val="clear"/>
        </w:rPr>
        <w:t>LOGICIEL E-ATTESTATIONS</w:t>
      </w:r>
      <w:bookmarkEnd w:id="55"/>
    </w:p>
    <w:p>
      <w:pPr>
        <w:pStyle w:val="Normal"/>
        <w:rPr>
          <w:highlight w:val="none"/>
          <w:shd w:fill="auto" w:val="clear"/>
        </w:rPr>
      </w:pPr>
      <w:r>
        <w:rPr>
          <w:rFonts w:eastAsia="arial" w:cs="arial" w:ascii="arial" w:hAnsi="arial"/>
          <w:b w:val="false"/>
          <w:i w:val="false"/>
          <w:color w:val="000000"/>
          <w:sz w:val="20"/>
          <w:u w:val="none"/>
          <w:shd w:fill="auto" w:val="clear"/>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les attestations fiscales et sociales,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l'inscription au RCS (K ou K Bis),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 garantie décennale pour les marchés de travaux,</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 liste nominative des travailleurs étrangers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l'attestation sur l'honneur relative à l'égalité réelle entre les femmes et les hommes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L'interface e-attestations est une solution </w:t>
      </w:r>
      <w:r>
        <w:rPr>
          <w:rFonts w:eastAsia="arial" w:cs="arial" w:ascii="arial" w:hAnsi="arial"/>
          <w:b/>
          <w:i w:val="false"/>
          <w:color w:val="000000"/>
          <w:sz w:val="20"/>
          <w:u w:val="none"/>
          <w:shd w:fill="auto" w:val="clear"/>
        </w:rPr>
        <w:t>gratuite</w:t>
      </w:r>
      <w:r>
        <w:rPr>
          <w:rFonts w:eastAsia="arial" w:cs="arial" w:ascii="arial" w:hAnsi="arial"/>
          <w:b w:val="false"/>
          <w:i w:val="false"/>
          <w:color w:val="000000"/>
          <w:sz w:val="20"/>
          <w:u w:val="none"/>
          <w:shd w:fill="auto" w:val="clear"/>
        </w:rPr>
        <w:t xml:space="preserve"> de dépôt et de mise à jour, l'adresse du site est la suivante : http://www.e-attestations.com/</w:t>
      </w:r>
    </w:p>
    <w:p>
      <w:pPr>
        <w:pStyle w:val="Titre1"/>
        <w:numPr>
          <w:ilvl w:val="0"/>
          <w:numId w:val="2"/>
        </w:numPr>
        <w:rPr>
          <w:highlight w:val="none"/>
          <w:shd w:fill="auto" w:val="clear"/>
        </w:rPr>
      </w:pPr>
      <w:bookmarkStart w:id="56" w:name="_Toc3900"/>
      <w:r>
        <w:rPr>
          <w:shd w:fill="auto" w:val="clear"/>
        </w:rPr>
        <w:t>LOI APPLICABLE</w:t>
      </w:r>
      <w:bookmarkEnd w:id="56"/>
    </w:p>
    <w:p>
      <w:pPr>
        <w:pStyle w:val="Normal"/>
        <w:rPr>
          <w:highlight w:val="none"/>
          <w:shd w:fill="auto" w:val="clear"/>
        </w:rPr>
      </w:pPr>
      <w:r>
        <w:rPr>
          <w:rFonts w:eastAsia="arial" w:cs="arial" w:ascii="arial" w:hAnsi="arial"/>
          <w:b w:val="false"/>
          <w:i w:val="false"/>
          <w:color w:val="000000"/>
          <w:sz w:val="20"/>
          <w:u w:val="none"/>
          <w:shd w:fill="auto" w:val="clear"/>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highlight w:val="none"/>
          <w:shd w:fill="auto" w:val="clear"/>
        </w:rPr>
      </w:pPr>
      <w:bookmarkStart w:id="57" w:name="_Toc3901"/>
      <w:r>
        <w:rPr>
          <w:shd w:fill="auto" w:val="clear"/>
        </w:rPr>
        <w:t>CONFORMITE AUX NORMES</w:t>
      </w:r>
      <w:bookmarkEnd w:id="57"/>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fournitures seront conformes aux normes en vigueur, normes homologuées ou autres normes reconnues équivalentes, en vertu de l'article R2111-11 du Code de la commande publique.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2"/>
        </w:numPr>
        <w:rPr>
          <w:highlight w:val="none"/>
          <w:shd w:fill="auto" w:val="clear"/>
        </w:rPr>
      </w:pPr>
      <w:bookmarkStart w:id="58" w:name="_Toc3902"/>
      <w:r>
        <w:rPr>
          <w:shd w:fill="auto" w:val="clear"/>
        </w:rPr>
        <w:t>ASSURANCES</w:t>
      </w:r>
      <w:bookmarkEnd w:id="58"/>
    </w:p>
    <w:p>
      <w:pPr>
        <w:pStyle w:val="Normal"/>
        <w:rPr>
          <w:highlight w:val="none"/>
          <w:shd w:fill="auto" w:val="clear"/>
        </w:rPr>
      </w:pPr>
      <w:r>
        <w:rPr>
          <w:rFonts w:eastAsia="arial" w:cs="arial" w:ascii="arial" w:hAnsi="arial"/>
          <w:b w:val="false"/>
          <w:i w:val="false"/>
          <w:color w:val="000000"/>
          <w:sz w:val="20"/>
          <w:u w:val="none"/>
          <w:shd w:fill="auto" w:val="clea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A tout moment durant l'exécution du marché, le titulaire doit être en mesure de produire cette attestation, sur demande du pouvoir adjudicateur et dans un délai de quinze jours à compter de la réception de la demande.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shd w:fill="auto" w:val="clear"/>
        </w:rPr>
      </w:r>
    </w:p>
    <w:p>
      <w:pPr>
        <w:pStyle w:val="Titre1"/>
        <w:numPr>
          <w:ilvl w:val="0"/>
          <w:numId w:val="2"/>
        </w:numPr>
        <w:rPr>
          <w:highlight w:val="none"/>
          <w:shd w:fill="auto" w:val="clear"/>
        </w:rPr>
      </w:pPr>
      <w:bookmarkStart w:id="59" w:name="_Toc3903"/>
      <w:r>
        <w:rPr>
          <w:shd w:fill="auto" w:val="clear"/>
        </w:rPr>
        <w:t>DEROGATIONS AUX DOCUMENTS GENERAUX</w:t>
      </w:r>
      <w:bookmarkEnd w:id="59"/>
    </w:p>
    <w:p>
      <w:pPr>
        <w:pStyle w:val="Normal"/>
        <w:rPr>
          <w:highlight w:val="none"/>
          <w:shd w:fill="auto" w:val="clear"/>
        </w:rPr>
      </w:pPr>
      <w:r>
        <w:rPr>
          <w:rFonts w:eastAsia="arial" w:cs="arial" w:ascii="arial" w:hAnsi="arial"/>
          <w:b w:val="false"/>
          <w:i w:val="false"/>
          <w:color w:val="000000"/>
          <w:sz w:val="20"/>
          <w:u w:val="none"/>
          <w:shd w:fill="auto" w:val="clear"/>
        </w:rPr>
        <w:t>Les dérogations explicitées dans les articles désignés ci-après du C.C.A.P. sont apportées au CCAG-FCS: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l'article 8  déroge à l'article 14 du CCAG</w:t>
      </w:r>
      <w:r>
        <w:rPr>
          <w:shd w:fill="auto" w:val="clear"/>
        </w:rPr>
        <w:t xml:space="preserve"> FCS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l'article 9.2 déroge à l'article 10.2 du CCAG FCS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l'article 13.1 déroge à l'article 14 du CCAG FCS</w:t>
      </w:r>
    </w:p>
    <w:p>
      <w:pPr>
        <w:pStyle w:val="Normal"/>
        <w:spacing w:before="120" w:after="0"/>
        <w:ind w:left="0" w:hanging="0"/>
        <w:rPr>
          <w:highlight w:val="none"/>
          <w:shd w:fill="auto" w:val="clear"/>
        </w:rPr>
      </w:pPr>
      <w:r>
        <w:rPr>
          <w:rFonts w:eastAsia="arial" w:cs="arial" w:ascii="arial" w:hAnsi="arial"/>
          <w:b w:val="false"/>
          <w:i w:val="false"/>
          <w:color w:val="000000"/>
          <w:sz w:val="20"/>
          <w:u w:val="none"/>
          <w:shd w:fill="auto" w:val="clear"/>
        </w:rPr>
        <w:t>- l’article 13.2 déroge à l’article 16.2 du CCAG FCS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l'article 11 déroge à l'article 14.1.3 du CCAG FCS</w:t>
      </w:r>
    </w:p>
    <w:p>
      <w:pPr>
        <w:pStyle w:val="Normal"/>
        <w:spacing w:before="120" w:after="0"/>
        <w:ind w:left="0" w:hanging="0"/>
        <w:rPr>
          <w:highlight w:val="none"/>
          <w:shd w:fill="auto" w:val="clear"/>
        </w:rPr>
      </w:pPr>
      <w:r>
        <w:rPr>
          <w:rFonts w:eastAsia="arial" w:cs="arial" w:ascii="arial" w:hAnsi="arial"/>
          <w:b w:val="false"/>
          <w:i w:val="false"/>
          <w:color w:val="000000"/>
          <w:sz w:val="20"/>
          <w:u w:val="none"/>
          <w:shd w:fill="auto" w:val="clear"/>
        </w:rPr>
        <w:t>L’article 27.3 du CCAG FCS n’est pas applicable</w:t>
      </w:r>
    </w:p>
    <w:p>
      <w:pPr>
        <w:pStyle w:val="Normal"/>
        <w:rPr>
          <w:highlight w:val="none"/>
          <w:shd w:fill="auto" w:val="clear"/>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21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Arial">
    <w:charset w:val="01"/>
    <w:family w:val="roman"/>
    <w:pitch w:val="default"/>
  </w:font>
  <w:font w:name="Arial Gras">
    <w:charset w:val="01"/>
    <w:family w:val="roman"/>
    <w:pitch w:val="default"/>
  </w:font>
  <w:font w:name="Calibri Light">
    <w:charset w:val="01"/>
    <w:family w:val="roman"/>
    <w:pitch w:val="default"/>
  </w:font>
  <w:font w:name="arial">
    <w:charset w:val="01"/>
    <w:family w:val="roman"/>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000000" w:themeColor="text1"/>
      </w:rPr>
      <w:t>CCAP_déplacements protocolaires</w:t>
    </w:r>
    <w:r>
      <w:rPr/>
      <w:tab/>
    </w:r>
    <w:r>
      <w:rPr/>
      <w:fldChar w:fldCharType="begin"/>
    </w:r>
    <w:r>
      <w:rPr/>
      <w:instrText> PAGE </w:instrText>
    </w:r>
    <w:r>
      <w:rPr/>
      <w:fldChar w:fldCharType="separate"/>
    </w:r>
    <w:r>
      <w:rPr/>
      <w:t>17</w:t>
    </w:r>
    <w:r>
      <w:rPr/>
      <w:fldChar w:fldCharType="end"/>
    </w:r>
    <w:r>
      <w:rPr/>
      <w:t>/</w:t>
    </w:r>
    <w:r>
      <w:rPr/>
      <w:fldChar w:fldCharType="begin"/>
    </w:r>
    <w:r>
      <w:rPr/>
      <w:instrText> NUMPAGES </w:instrText>
    </w:r>
    <w:r>
      <w:rPr/>
      <w:fldChar w:fldCharType="separate"/>
    </w:r>
    <w:r>
      <w:rPr/>
      <w:t>17</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color w:val="000000"/>
      </w:rPr>
    </w:pPr>
    <w:r>
      <w:rPr>
        <w:rStyle w:val="Policepardfaut"/>
        <w:rFonts w:cs="Arial"/>
        <w:b w:val="false"/>
        <w:bCs w:val="false"/>
        <w:i/>
        <w:color w:val="000000" w:themeColor="text1"/>
        <w:sz w:val="18"/>
        <w:szCs w:val="18"/>
        <w:highlight w:val="white"/>
        <w:lang w:val="fr-FR"/>
      </w:rPr>
      <w:t>Cahier des charges administratives particulières  consultation : 2</w:t>
    </w:r>
    <w:r>
      <w:rPr>
        <w:rStyle w:val="Policepardfaut"/>
        <w:rFonts w:cs="Arial"/>
        <w:b w:val="false"/>
        <w:bCs w:val="false"/>
        <w:i/>
        <w:color w:val="000000"/>
        <w:sz w:val="18"/>
        <w:szCs w:val="18"/>
        <w:highlight w:val="white"/>
        <w:lang w:val="fr-FR"/>
      </w:rPr>
      <w:t>3_0832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37"/>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38"/>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39"/>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40"/>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41"/>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42"/>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43"/>
    <w:qFormat/>
    <w:pPr>
      <w:numPr>
        <w:ilvl w:val="6"/>
        <w:numId w:val="1"/>
      </w:numPr>
      <w:spacing w:before="283" w:after="57"/>
      <w:jc w:val="both"/>
      <w:outlineLvl w:val="6"/>
    </w:pPr>
    <w:rPr>
      <w:bCs/>
      <w:sz w:val="22"/>
    </w:rPr>
  </w:style>
  <w:style w:type="paragraph" w:styleId="Titre8">
    <w:name w:val="Heading 8"/>
    <w:basedOn w:val="Titre"/>
    <w:link w:val="844"/>
    <w:qFormat/>
    <w:pPr>
      <w:numPr>
        <w:ilvl w:val="7"/>
        <w:numId w:val="1"/>
      </w:numPr>
      <w:spacing w:before="283" w:after="57"/>
      <w:jc w:val="both"/>
      <w:outlineLvl w:val="7"/>
    </w:pPr>
    <w:rPr>
      <w:bCs/>
      <w:sz w:val="21"/>
    </w:rPr>
  </w:style>
  <w:style w:type="paragraph" w:styleId="Titre9">
    <w:name w:val="Heading 9"/>
    <w:basedOn w:val="Titre"/>
    <w:link w:val="845"/>
    <w:qFormat/>
    <w:pPr>
      <w:numPr>
        <w:ilvl w:val="8"/>
        <w:numId w:val="1"/>
      </w:numPr>
      <w:spacing w:before="283" w:after="57"/>
      <w:jc w:val="both"/>
      <w:outlineLvl w:val="8"/>
    </w:pPr>
    <w:rPr>
      <w:bCs/>
      <w:sz w:val="21"/>
    </w:rPr>
  </w:style>
  <w:style w:type="character" w:styleId="Heading1Char">
    <w:name w:val="Heading 1 Char"/>
    <w:basedOn w:val="DefaultParagraphFont"/>
    <w:link w:val="827"/>
    <w:uiPriority w:val="9"/>
    <w:qFormat/>
    <w:rPr>
      <w:rFonts w:ascii="Arial" w:hAnsi="Arial" w:eastAsia="Arial" w:cs="Arial"/>
      <w:sz w:val="40"/>
      <w:szCs w:val="40"/>
    </w:rPr>
  </w:style>
  <w:style w:type="character" w:styleId="Heading2Char">
    <w:name w:val="Heading 2 Char"/>
    <w:basedOn w:val="DefaultParagraphFont"/>
    <w:link w:val="828"/>
    <w:uiPriority w:val="9"/>
    <w:qFormat/>
    <w:rPr>
      <w:rFonts w:ascii="Arial" w:hAnsi="Arial" w:eastAsia="Arial" w:cs="Arial"/>
      <w:sz w:val="34"/>
    </w:rPr>
  </w:style>
  <w:style w:type="character" w:styleId="Heading3Char">
    <w:name w:val="Heading 3 Char"/>
    <w:basedOn w:val="DefaultParagraphFont"/>
    <w:link w:val="829"/>
    <w:uiPriority w:val="9"/>
    <w:qFormat/>
    <w:rPr>
      <w:rFonts w:ascii="Arial" w:hAnsi="Arial" w:eastAsia="Arial" w:cs="Arial"/>
      <w:sz w:val="30"/>
      <w:szCs w:val="30"/>
    </w:rPr>
  </w:style>
  <w:style w:type="character" w:styleId="Heading4Char">
    <w:name w:val="Heading 4 Char"/>
    <w:basedOn w:val="DefaultParagraphFont"/>
    <w:link w:val="830"/>
    <w:uiPriority w:val="9"/>
    <w:qFormat/>
    <w:rPr>
      <w:rFonts w:ascii="Arial" w:hAnsi="Arial" w:eastAsia="Arial" w:cs="Arial"/>
      <w:b/>
      <w:bCs/>
      <w:sz w:val="26"/>
      <w:szCs w:val="26"/>
    </w:rPr>
  </w:style>
  <w:style w:type="character" w:styleId="Heading5Char">
    <w:name w:val="Heading 5 Char"/>
    <w:basedOn w:val="DefaultParagraphFont"/>
    <w:link w:val="831"/>
    <w:uiPriority w:val="9"/>
    <w:qFormat/>
    <w:rPr>
      <w:rFonts w:ascii="Arial" w:hAnsi="Arial" w:eastAsia="Arial" w:cs="Arial"/>
      <w:b/>
      <w:bCs/>
      <w:sz w:val="24"/>
      <w:szCs w:val="24"/>
    </w:rPr>
  </w:style>
  <w:style w:type="character" w:styleId="Heading6Char">
    <w:name w:val="Heading 6 Char"/>
    <w:basedOn w:val="DefaultParagraphFont"/>
    <w:link w:val="832"/>
    <w:uiPriority w:val="9"/>
    <w:qFormat/>
    <w:rPr>
      <w:rFonts w:ascii="Arial" w:hAnsi="Arial" w:eastAsia="Arial" w:cs="Arial"/>
      <w:b/>
      <w:bCs/>
      <w:sz w:val="22"/>
      <w:szCs w:val="22"/>
    </w:rPr>
  </w:style>
  <w:style w:type="character" w:styleId="Heading7Char">
    <w:name w:val="Heading 7 Char"/>
    <w:basedOn w:val="DefaultParagraphFont"/>
    <w:link w:val="833"/>
    <w:uiPriority w:val="9"/>
    <w:qFormat/>
    <w:rPr>
      <w:rFonts w:ascii="Arial" w:hAnsi="Arial" w:eastAsia="Arial" w:cs="Arial"/>
      <w:b/>
      <w:bCs/>
      <w:i/>
      <w:iCs/>
      <w:sz w:val="22"/>
      <w:szCs w:val="22"/>
    </w:rPr>
  </w:style>
  <w:style w:type="character" w:styleId="Heading8Char">
    <w:name w:val="Heading 8 Char"/>
    <w:basedOn w:val="DefaultParagraphFont"/>
    <w:link w:val="834"/>
    <w:uiPriority w:val="9"/>
    <w:qFormat/>
    <w:rPr>
      <w:rFonts w:ascii="Arial" w:hAnsi="Arial" w:eastAsia="Arial" w:cs="Arial"/>
      <w:i/>
      <w:iCs/>
      <w:sz w:val="22"/>
      <w:szCs w:val="22"/>
    </w:rPr>
  </w:style>
  <w:style w:type="character" w:styleId="Heading9Char">
    <w:name w:val="Heading 9 Char"/>
    <w:basedOn w:val="DefaultParagraphFont"/>
    <w:link w:val="835"/>
    <w:uiPriority w:val="9"/>
    <w:qFormat/>
    <w:rPr>
      <w:rFonts w:ascii="Arial" w:hAnsi="Arial" w:eastAsia="Arial" w:cs="Arial"/>
      <w:i/>
      <w:iCs/>
      <w:sz w:val="21"/>
      <w:szCs w:val="21"/>
    </w:rPr>
  </w:style>
  <w:style w:type="character" w:styleId="TitleChar">
    <w:name w:val="Title Char"/>
    <w:basedOn w:val="DefaultParagraphFont"/>
    <w:link w:val="870"/>
    <w:uiPriority w:val="10"/>
    <w:qFormat/>
    <w:rPr>
      <w:sz w:val="48"/>
      <w:szCs w:val="48"/>
    </w:rPr>
  </w:style>
  <w:style w:type="character" w:styleId="SubtitleChar">
    <w:name w:val="Subtitle Char"/>
    <w:basedOn w:val="DefaultParagraphFont"/>
    <w:link w:val="871"/>
    <w:uiPriority w:val="11"/>
    <w:qFormat/>
    <w:rPr>
      <w:sz w:val="24"/>
      <w:szCs w:val="24"/>
    </w:rPr>
  </w:style>
  <w:style w:type="character" w:styleId="QuoteChar">
    <w:name w:val="Quote Char"/>
    <w:link w:val="872"/>
    <w:uiPriority w:val="29"/>
    <w:qFormat/>
    <w:rPr>
      <w:i/>
    </w:rPr>
  </w:style>
  <w:style w:type="character" w:styleId="IntenseQuoteChar">
    <w:name w:val="Intense Quote Char"/>
    <w:link w:val="873"/>
    <w:uiPriority w:val="30"/>
    <w:qFormat/>
    <w:rPr>
      <w:i/>
    </w:rPr>
  </w:style>
  <w:style w:type="character" w:styleId="HeaderChar">
    <w:name w:val="Header Char"/>
    <w:basedOn w:val="DefaultParagraphFont"/>
    <w:link w:val="888"/>
    <w:uiPriority w:val="99"/>
    <w:qFormat/>
    <w:rPr/>
  </w:style>
  <w:style w:type="character" w:styleId="CaptionChar">
    <w:name w:val="Caption Char"/>
    <w:link w:val="896"/>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74"/>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75"/>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27"/>
    <w:uiPriority w:val="9"/>
    <w:qFormat/>
    <w:rPr>
      <w:rFonts w:ascii="Arial" w:hAnsi="Arial" w:eastAsia="Arial" w:cs="Arial"/>
      <w:sz w:val="40"/>
      <w:szCs w:val="40"/>
    </w:rPr>
  </w:style>
  <w:style w:type="character" w:styleId="Titre2Car" w:customStyle="1">
    <w:name w:val="Titre 2 Car"/>
    <w:basedOn w:val="DefaultParagraphFont"/>
    <w:link w:val="828"/>
    <w:uiPriority w:val="9"/>
    <w:qFormat/>
    <w:rPr>
      <w:rFonts w:ascii="Arial" w:hAnsi="Arial"/>
      <w:b/>
      <w:bCs/>
      <w:iCs/>
      <w:color w:val="666699"/>
      <w:sz w:val="22"/>
      <w:szCs w:val="28"/>
      <w:u w:val="single"/>
    </w:rPr>
  </w:style>
  <w:style w:type="character" w:styleId="Titre3Car" w:customStyle="1">
    <w:name w:val="Titre 3 Car"/>
    <w:basedOn w:val="DefaultParagraphFont"/>
    <w:link w:val="829"/>
    <w:uiPriority w:val="9"/>
    <w:qFormat/>
    <w:rPr>
      <w:rFonts w:ascii="Arial" w:hAnsi="Arial" w:eastAsia="Arial" w:cs="Arial"/>
      <w:sz w:val="30"/>
      <w:szCs w:val="30"/>
    </w:rPr>
  </w:style>
  <w:style w:type="character" w:styleId="Titre4Car" w:customStyle="1">
    <w:name w:val="Titre 4 Car"/>
    <w:basedOn w:val="DefaultParagraphFont"/>
    <w:link w:val="830"/>
    <w:uiPriority w:val="9"/>
    <w:qFormat/>
    <w:rPr>
      <w:rFonts w:ascii="Arial" w:hAnsi="Arial" w:eastAsia="Arial" w:cs="Arial"/>
      <w:b/>
      <w:bCs/>
      <w:sz w:val="26"/>
      <w:szCs w:val="26"/>
    </w:rPr>
  </w:style>
  <w:style w:type="character" w:styleId="Titre5Car" w:customStyle="1">
    <w:name w:val="Titre 5 Car"/>
    <w:basedOn w:val="DefaultParagraphFont"/>
    <w:link w:val="831"/>
    <w:uiPriority w:val="9"/>
    <w:qFormat/>
    <w:rPr>
      <w:rFonts w:ascii="Arial" w:hAnsi="Arial" w:eastAsia="Arial" w:cs="Arial"/>
      <w:b/>
      <w:bCs/>
      <w:sz w:val="24"/>
      <w:szCs w:val="24"/>
    </w:rPr>
  </w:style>
  <w:style w:type="character" w:styleId="Titre6Car" w:customStyle="1">
    <w:name w:val="Titre 6 Car"/>
    <w:basedOn w:val="DefaultParagraphFont"/>
    <w:link w:val="832"/>
    <w:uiPriority w:val="9"/>
    <w:qFormat/>
    <w:rPr>
      <w:rFonts w:ascii="Arial" w:hAnsi="Arial" w:eastAsia="Arial" w:cs="Arial"/>
      <w:b/>
      <w:bCs/>
      <w:sz w:val="22"/>
      <w:szCs w:val="22"/>
    </w:rPr>
  </w:style>
  <w:style w:type="character" w:styleId="Titre7Car" w:customStyle="1">
    <w:name w:val="Titre 7 Car"/>
    <w:basedOn w:val="DefaultParagraphFont"/>
    <w:link w:val="833"/>
    <w:uiPriority w:val="9"/>
    <w:qFormat/>
    <w:rPr>
      <w:rFonts w:ascii="Arial" w:hAnsi="Arial" w:eastAsia="Arial" w:cs="Arial"/>
      <w:b/>
      <w:bCs/>
      <w:i/>
      <w:iCs/>
      <w:sz w:val="22"/>
      <w:szCs w:val="22"/>
    </w:rPr>
  </w:style>
  <w:style w:type="character" w:styleId="Titre8Car" w:customStyle="1">
    <w:name w:val="Titre 8 Car"/>
    <w:basedOn w:val="DefaultParagraphFont"/>
    <w:link w:val="834"/>
    <w:uiPriority w:val="9"/>
    <w:qFormat/>
    <w:rPr>
      <w:rFonts w:ascii="Arial" w:hAnsi="Arial" w:eastAsia="Arial" w:cs="Arial"/>
      <w:i/>
      <w:iCs/>
      <w:sz w:val="22"/>
      <w:szCs w:val="22"/>
    </w:rPr>
  </w:style>
  <w:style w:type="character" w:styleId="Titre9Car" w:customStyle="1">
    <w:name w:val="Titre 9 Car"/>
    <w:basedOn w:val="DefaultParagraphFont"/>
    <w:link w:val="835"/>
    <w:uiPriority w:val="9"/>
    <w:qFormat/>
    <w:rPr>
      <w:rFonts w:ascii="Arial" w:hAnsi="Arial" w:eastAsia="Arial" w:cs="Arial"/>
      <w:i/>
      <w:iCs/>
      <w:sz w:val="21"/>
      <w:szCs w:val="21"/>
    </w:rPr>
  </w:style>
  <w:style w:type="character" w:styleId="TitreCar" w:customStyle="1">
    <w:name w:val="Titre Car"/>
    <w:basedOn w:val="DefaultParagraphFont"/>
    <w:link w:val="863"/>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96"/>
    <w:uiPriority w:val="99"/>
    <w:qFormat/>
    <w:rPr/>
  </w:style>
  <w:style w:type="character" w:styleId="NotedebasdepageCar" w:customStyle="1">
    <w:name w:val="Note de bas de page Car"/>
    <w:link w:val="874"/>
    <w:uiPriority w:val="99"/>
    <w:qFormat/>
    <w:rPr>
      <w:sz w:val="18"/>
    </w:rPr>
  </w:style>
  <w:style w:type="character" w:styleId="NotedefinCar" w:customStyle="1">
    <w:name w:val="Note de fin Car"/>
    <w:link w:val="875"/>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82"/>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46"/>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48"/>
    <w:uiPriority w:val="29"/>
    <w:qFormat/>
    <w:pPr>
      <w:ind w:left="720" w:right="720" w:hanging="0"/>
    </w:pPr>
    <w:rPr>
      <w:i/>
    </w:rPr>
  </w:style>
  <w:style w:type="paragraph" w:styleId="IntenseQuote">
    <w:name w:val="Intense Quote"/>
    <w:basedOn w:val="Normal"/>
    <w:link w:val="84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53"/>
    <w:uiPriority w:val="99"/>
    <w:semiHidden/>
    <w:unhideWhenUsed/>
    <w:qFormat/>
    <w:pPr>
      <w:spacing w:before="120" w:after="40"/>
    </w:pPr>
    <w:rPr>
      <w:sz w:val="18"/>
    </w:rPr>
  </w:style>
  <w:style w:type="paragraph" w:styleId="Notedefin">
    <w:name w:val="Endnote Text"/>
    <w:basedOn w:val="Normal"/>
    <w:link w:val="856"/>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61"/>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52"/>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glossary/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cc88d16f57a4472bba34073fa8cdb268"/>
        <w:types>
          <w:type w:val="none"/>
        </w:types>
        <w:behaviors>
          <w:behavior w:val="content"/>
        </w:behaviors>
      </w:docPartPr>
      <w:docPartBody>
        <w:p>
          <w:r>
            <w:t xml:space="preserve">    </w:t>
          </w:r>
          <w:r/>
        </w:p>
      </w:docPartBody>
    </w:docPart>
    <w:docPart>
      <w:docPartPr>
        <w:name w:val="667c68dfc37a4a818bb6467755371053"/>
        <w:types>
          <w:type w:val="none"/>
        </w:types>
        <w:behaviors>
          <w:behavior w:val="content"/>
        </w:behaviors>
      </w:docPartPr>
      <w:docPartBody>
        <w:p>
          <w:r>
            <w:t xml:space="preserve">    </w:t>
          </w:r>
          <w:r/>
        </w:p>
      </w:docPartBody>
    </w:docPart>
    <w:docPart>
      <w:docPartPr>
        <w:name w:val="1c8871ed691c4e4fa78f386ff01fa24b"/>
        <w:types>
          <w:type w:val="none"/>
        </w:types>
        <w:behaviors>
          <w:behavior w:val="content"/>
        </w:behaviors>
      </w:docPartPr>
      <w:docPartBody>
        <w:p>
          <w:r>
            <w:t xml:space="preserve">    </w:t>
          </w:r>
          <w:r/>
        </w:p>
      </w:docPartBody>
    </w:docPart>
    <w:docPart>
      <w:docPartPr>
        <w:name w:val="23d9217736164dc6a585a1df6b0e74be"/>
        <w:types>
          <w:type w:val="none"/>
        </w:types>
        <w:behaviors>
          <w:behavior w:val="content"/>
        </w:behaviors>
      </w:docPartPr>
      <w:docPartBody>
        <w:p>
          <w:r>
            <w:t xml:space="preserve">    </w:t>
          </w:r>
          <w:r/>
        </w:p>
      </w:docPartBody>
    </w:docPart>
    <w:docPart>
      <w:docPartPr>
        <w:name w:val="a2812d175c5744f78f2969111968c84b"/>
        <w:types>
          <w:type w:val="none"/>
        </w:types>
        <w:behaviors>
          <w:behavior w:val="content"/>
        </w:behaviors>
      </w:docPartPr>
      <w:docPartBody>
        <w:p>
          <w:r>
            <w:t xml:space="preserve">    </w:t>
          </w:r>
          <w:r/>
        </w:p>
      </w:docPartBody>
    </w:docPart>
    <w:docPart>
      <w:docPartPr>
        <w:name w:val="c8d665a3ea004c878949aa88fdda29ab"/>
        <w:types>
          <w:type w:val="none"/>
        </w:types>
        <w:behaviors>
          <w:behavior w:val="content"/>
        </w:behaviors>
      </w:docPartPr>
      <w:docPartBody>
        <w:p>
          <w:r>
            <w:t xml:space="preserve">    </w:t>
          </w:r>
          <w:r/>
        </w:p>
      </w:docPartBody>
    </w:docPart>
    <w:docPart>
      <w:docPartPr>
        <w:name w:val="867811944d5e4064aca80b918aae88c5"/>
        <w:types>
          <w:type w:val="none"/>
        </w:types>
        <w:behaviors>
          <w:behavior w:val="content"/>
        </w:behaviors>
      </w:docPartPr>
      <w:docPartBody>
        <w:p>
          <w:r>
            <w:t xml:space="preserve">    </w:t>
          </w:r>
          <w:r/>
        </w:p>
      </w:docPartBody>
    </w:docPart>
    <w:docPart>
      <w:docPartPr>
        <w:name w:val="a4ffc181b10a457e87905b2a9b96cf01"/>
        <w:types>
          <w:type w:val="none"/>
        </w:types>
        <w:behaviors>
          <w:behavior w:val="content"/>
        </w:behaviors>
      </w:docPartPr>
      <w:docPartBody>
        <w:p>
          <w:r>
            <w:t xml:space="preserve">    </w:t>
          </w:r>
          <w:r/>
        </w:p>
      </w:docPartBody>
    </w:docPart>
    <w:docPart>
      <w:docPartPr>
        <w:name w:val="7c21d69afffa4766ba73aa94b38734b0"/>
        <w:types>
          <w:type w:val="none"/>
        </w:types>
        <w:behaviors>
          <w:behavior w:val="content"/>
        </w:behaviors>
      </w:docPartPr>
      <w:docPartBody>
        <w:p>
          <w:r>
            <w:t xml:space="preserve">    </w:t>
          </w:r>
          <w:r/>
        </w:p>
      </w:docPartBody>
    </w:docPart>
    <w:docPart>
      <w:docPartPr>
        <w:name w:val="1e0011dcc98943179254c04d97e43cdb"/>
        <w:types>
          <w:type w:val="none"/>
        </w:types>
        <w:behaviors>
          <w:behavior w:val="content"/>
        </w:behaviors>
      </w:docPartPr>
      <w:docPartBody>
        <w:p>
          <w:r>
            <w:t xml:space="preserve">    </w:t>
          </w:r>
          <w:r/>
        </w:p>
      </w:docPartBody>
    </w:docPart>
    <w:docPart>
      <w:docPartPr>
        <w:name w:val="06d57bd3299e4545b04b77f03340a3b4"/>
        <w:types>
          <w:type w:val="none"/>
        </w:types>
        <w:behaviors>
          <w:behavior w:val="content"/>
        </w:behaviors>
      </w:docPartPr>
      <w:docPartBody>
        <w:p>
          <w:r>
            <w:t xml:space="preserve">    </w:t>
          </w:r>
          <w:r/>
        </w:p>
      </w:docPartBody>
    </w:docPart>
    <w:docPart>
      <w:docPartPr>
        <w:name w:val="ca1f9a3762d24e8ba3a46f7856651a1d"/>
        <w:types>
          <w:type w:val="none"/>
        </w:types>
        <w:behaviors>
          <w:behavior w:val="content"/>
        </w:behaviors>
      </w:docPartPr>
      <w:docPartBody>
        <w:p>
          <w:r>
            <w:t xml:space="preserve">    </w:t>
          </w:r>
          <w:r/>
        </w:p>
      </w:docPartBody>
    </w:docPart>
    <w:docPart>
      <w:docPartPr>
        <w:name w:val="643b181b2f724282bcd4439c52418fc2"/>
        <w:types>
          <w:type w:val="none"/>
        </w:types>
        <w:behaviors>
          <w:behavior w:val="content"/>
        </w:behaviors>
      </w:docPartPr>
      <w:docPartBody>
        <w:p>
          <w:r>
            <w:t xml:space="preserve">    </w:t>
          </w: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6"/>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496" w:default="1">
    <w:name w:val="Normal"/>
    <w:qFormat/>
  </w:style>
  <w:style w:type="character" w:styleId="1497" w:default="1">
    <w:name w:val="Default Paragraph Font"/>
    <w:uiPriority w:val="1"/>
    <w:semiHidden/>
    <w:unhideWhenUsed/>
  </w:style>
  <w:style w:type="numbering" w:styleId="1498" w:default="1">
    <w:name w:val="No List"/>
    <w:uiPriority w:val="99"/>
    <w:semiHidden/>
    <w:unhideWhenUsed/>
  </w:style>
  <w:style w:type="paragraph" w:styleId="1499">
    <w:name w:val="Heading 1"/>
    <w:basedOn w:val="1496"/>
    <w:next w:val="1496"/>
    <w:link w:val="1500"/>
    <w:uiPriority w:val="9"/>
    <w:qFormat/>
    <w:pPr>
      <w:keepLines/>
      <w:keepNext/>
      <w:spacing w:before="480" w:after="200"/>
      <w:outlineLvl w:val="0"/>
    </w:pPr>
    <w:rPr>
      <w:rFonts w:ascii="Arial" w:hAnsi="Arial" w:eastAsia="Arial" w:cs="Arial"/>
      <w:sz w:val="40"/>
      <w:szCs w:val="40"/>
    </w:rPr>
  </w:style>
  <w:style w:type="character" w:styleId="1500">
    <w:name w:val="Heading 1 Char"/>
    <w:basedOn w:val="1497"/>
    <w:link w:val="1499"/>
    <w:uiPriority w:val="9"/>
    <w:rPr>
      <w:rFonts w:ascii="Arial" w:hAnsi="Arial" w:eastAsia="Arial" w:cs="Arial"/>
      <w:sz w:val="40"/>
      <w:szCs w:val="40"/>
    </w:rPr>
  </w:style>
  <w:style w:type="paragraph" w:styleId="1501">
    <w:name w:val="Heading 2"/>
    <w:basedOn w:val="1496"/>
    <w:next w:val="1496"/>
    <w:link w:val="1502"/>
    <w:uiPriority w:val="9"/>
    <w:unhideWhenUsed/>
    <w:qFormat/>
    <w:pPr>
      <w:keepLines/>
      <w:keepNext/>
      <w:spacing w:before="360" w:after="200"/>
      <w:outlineLvl w:val="1"/>
    </w:pPr>
    <w:rPr>
      <w:rFonts w:ascii="Arial" w:hAnsi="Arial" w:eastAsia="Arial" w:cs="Arial"/>
      <w:sz w:val="34"/>
    </w:rPr>
  </w:style>
  <w:style w:type="character" w:styleId="1502">
    <w:name w:val="Heading 2 Char"/>
    <w:basedOn w:val="1497"/>
    <w:link w:val="1501"/>
    <w:uiPriority w:val="9"/>
    <w:rPr>
      <w:rFonts w:ascii="Arial" w:hAnsi="Arial" w:eastAsia="Arial" w:cs="Arial"/>
      <w:sz w:val="34"/>
    </w:rPr>
  </w:style>
  <w:style w:type="paragraph" w:styleId="1503">
    <w:name w:val="Heading 3"/>
    <w:basedOn w:val="1496"/>
    <w:next w:val="1496"/>
    <w:link w:val="1504"/>
    <w:uiPriority w:val="9"/>
    <w:unhideWhenUsed/>
    <w:qFormat/>
    <w:pPr>
      <w:keepLines/>
      <w:keepNext/>
      <w:spacing w:before="320" w:after="200"/>
      <w:outlineLvl w:val="2"/>
    </w:pPr>
    <w:rPr>
      <w:rFonts w:ascii="Arial" w:hAnsi="Arial" w:eastAsia="Arial" w:cs="Arial"/>
      <w:sz w:val="30"/>
      <w:szCs w:val="30"/>
    </w:rPr>
  </w:style>
  <w:style w:type="character" w:styleId="1504">
    <w:name w:val="Heading 3 Char"/>
    <w:basedOn w:val="1497"/>
    <w:link w:val="1503"/>
    <w:uiPriority w:val="9"/>
    <w:rPr>
      <w:rFonts w:ascii="Arial" w:hAnsi="Arial" w:eastAsia="Arial" w:cs="Arial"/>
      <w:sz w:val="30"/>
      <w:szCs w:val="30"/>
    </w:rPr>
  </w:style>
  <w:style w:type="paragraph" w:styleId="1505">
    <w:name w:val="Heading 4"/>
    <w:basedOn w:val="1496"/>
    <w:next w:val="1496"/>
    <w:link w:val="1506"/>
    <w:uiPriority w:val="9"/>
    <w:unhideWhenUsed/>
    <w:qFormat/>
    <w:pPr>
      <w:keepLines/>
      <w:keepNext/>
      <w:spacing w:before="320" w:after="200"/>
      <w:outlineLvl w:val="3"/>
    </w:pPr>
    <w:rPr>
      <w:rFonts w:ascii="Arial" w:hAnsi="Arial" w:eastAsia="Arial" w:cs="Arial"/>
      <w:b/>
      <w:bCs/>
      <w:sz w:val="26"/>
      <w:szCs w:val="26"/>
    </w:rPr>
  </w:style>
  <w:style w:type="character" w:styleId="1506">
    <w:name w:val="Heading 4 Char"/>
    <w:basedOn w:val="1497"/>
    <w:link w:val="1505"/>
    <w:uiPriority w:val="9"/>
    <w:rPr>
      <w:rFonts w:ascii="Arial" w:hAnsi="Arial" w:eastAsia="Arial" w:cs="Arial"/>
      <w:b/>
      <w:bCs/>
      <w:sz w:val="26"/>
      <w:szCs w:val="26"/>
    </w:rPr>
  </w:style>
  <w:style w:type="paragraph" w:styleId="1507">
    <w:name w:val="Heading 5"/>
    <w:basedOn w:val="1496"/>
    <w:next w:val="1496"/>
    <w:link w:val="1508"/>
    <w:uiPriority w:val="9"/>
    <w:unhideWhenUsed/>
    <w:qFormat/>
    <w:pPr>
      <w:keepLines/>
      <w:keepNext/>
      <w:spacing w:before="320" w:after="200"/>
      <w:outlineLvl w:val="4"/>
    </w:pPr>
    <w:rPr>
      <w:rFonts w:ascii="Arial" w:hAnsi="Arial" w:eastAsia="Arial" w:cs="Arial"/>
      <w:b/>
      <w:bCs/>
      <w:sz w:val="24"/>
      <w:szCs w:val="24"/>
    </w:rPr>
  </w:style>
  <w:style w:type="character" w:styleId="1508">
    <w:name w:val="Heading 5 Char"/>
    <w:basedOn w:val="1497"/>
    <w:link w:val="1507"/>
    <w:uiPriority w:val="9"/>
    <w:rPr>
      <w:rFonts w:ascii="Arial" w:hAnsi="Arial" w:eastAsia="Arial" w:cs="Arial"/>
      <w:b/>
      <w:bCs/>
      <w:sz w:val="24"/>
      <w:szCs w:val="24"/>
    </w:rPr>
  </w:style>
  <w:style w:type="paragraph" w:styleId="1509">
    <w:name w:val="Heading 6"/>
    <w:basedOn w:val="1496"/>
    <w:next w:val="1496"/>
    <w:link w:val="1510"/>
    <w:uiPriority w:val="9"/>
    <w:unhideWhenUsed/>
    <w:qFormat/>
    <w:pPr>
      <w:keepLines/>
      <w:keepNext/>
      <w:spacing w:before="320" w:after="200"/>
      <w:outlineLvl w:val="5"/>
    </w:pPr>
    <w:rPr>
      <w:rFonts w:ascii="Arial" w:hAnsi="Arial" w:eastAsia="Arial" w:cs="Arial"/>
      <w:b/>
      <w:bCs/>
      <w:sz w:val="22"/>
      <w:szCs w:val="22"/>
    </w:rPr>
  </w:style>
  <w:style w:type="character" w:styleId="1510">
    <w:name w:val="Heading 6 Char"/>
    <w:basedOn w:val="1497"/>
    <w:link w:val="1509"/>
    <w:uiPriority w:val="9"/>
    <w:rPr>
      <w:rFonts w:ascii="Arial" w:hAnsi="Arial" w:eastAsia="Arial" w:cs="Arial"/>
      <w:b/>
      <w:bCs/>
      <w:sz w:val="22"/>
      <w:szCs w:val="22"/>
    </w:rPr>
  </w:style>
  <w:style w:type="paragraph" w:styleId="1511">
    <w:name w:val="Heading 7"/>
    <w:basedOn w:val="1496"/>
    <w:next w:val="1496"/>
    <w:link w:val="1512"/>
    <w:uiPriority w:val="9"/>
    <w:unhideWhenUsed/>
    <w:qFormat/>
    <w:pPr>
      <w:keepLines/>
      <w:keepNext/>
      <w:spacing w:before="320" w:after="200"/>
      <w:outlineLvl w:val="6"/>
    </w:pPr>
    <w:rPr>
      <w:rFonts w:ascii="Arial" w:hAnsi="Arial" w:eastAsia="Arial" w:cs="Arial"/>
      <w:b/>
      <w:bCs/>
      <w:i/>
      <w:iCs/>
      <w:sz w:val="22"/>
      <w:szCs w:val="22"/>
    </w:rPr>
  </w:style>
  <w:style w:type="character" w:styleId="1512">
    <w:name w:val="Heading 7 Char"/>
    <w:basedOn w:val="1497"/>
    <w:link w:val="1511"/>
    <w:uiPriority w:val="9"/>
    <w:rPr>
      <w:rFonts w:ascii="Arial" w:hAnsi="Arial" w:eastAsia="Arial" w:cs="Arial"/>
      <w:b/>
      <w:bCs/>
      <w:i/>
      <w:iCs/>
      <w:sz w:val="22"/>
      <w:szCs w:val="22"/>
    </w:rPr>
  </w:style>
  <w:style w:type="paragraph" w:styleId="1513">
    <w:name w:val="Heading 8"/>
    <w:basedOn w:val="1496"/>
    <w:next w:val="1496"/>
    <w:link w:val="1514"/>
    <w:uiPriority w:val="9"/>
    <w:unhideWhenUsed/>
    <w:qFormat/>
    <w:pPr>
      <w:keepLines/>
      <w:keepNext/>
      <w:spacing w:before="320" w:after="200"/>
      <w:outlineLvl w:val="7"/>
    </w:pPr>
    <w:rPr>
      <w:rFonts w:ascii="Arial" w:hAnsi="Arial" w:eastAsia="Arial" w:cs="Arial"/>
      <w:i/>
      <w:iCs/>
      <w:sz w:val="22"/>
      <w:szCs w:val="22"/>
    </w:rPr>
  </w:style>
  <w:style w:type="character" w:styleId="1514">
    <w:name w:val="Heading 8 Char"/>
    <w:basedOn w:val="1497"/>
    <w:link w:val="1513"/>
    <w:uiPriority w:val="9"/>
    <w:rPr>
      <w:rFonts w:ascii="Arial" w:hAnsi="Arial" w:eastAsia="Arial" w:cs="Arial"/>
      <w:i/>
      <w:iCs/>
      <w:sz w:val="22"/>
      <w:szCs w:val="22"/>
    </w:rPr>
  </w:style>
  <w:style w:type="paragraph" w:styleId="1515">
    <w:name w:val="Heading 9"/>
    <w:basedOn w:val="1496"/>
    <w:next w:val="1496"/>
    <w:link w:val="1516"/>
    <w:uiPriority w:val="9"/>
    <w:unhideWhenUsed/>
    <w:qFormat/>
    <w:pPr>
      <w:keepLines/>
      <w:keepNext/>
      <w:spacing w:before="320" w:after="200"/>
      <w:outlineLvl w:val="8"/>
    </w:pPr>
    <w:rPr>
      <w:rFonts w:ascii="Arial" w:hAnsi="Arial" w:eastAsia="Arial" w:cs="Arial"/>
      <w:i/>
      <w:iCs/>
      <w:sz w:val="21"/>
      <w:szCs w:val="21"/>
    </w:rPr>
  </w:style>
  <w:style w:type="character" w:styleId="1516">
    <w:name w:val="Heading 9 Char"/>
    <w:basedOn w:val="1497"/>
    <w:link w:val="1515"/>
    <w:uiPriority w:val="9"/>
    <w:rPr>
      <w:rFonts w:ascii="Arial" w:hAnsi="Arial" w:eastAsia="Arial" w:cs="Arial"/>
      <w:i/>
      <w:iCs/>
      <w:sz w:val="21"/>
      <w:szCs w:val="21"/>
    </w:rPr>
  </w:style>
  <w:style w:type="paragraph" w:styleId="1517">
    <w:name w:val="List Paragraph"/>
    <w:basedOn w:val="1496"/>
    <w:uiPriority w:val="34"/>
    <w:qFormat/>
    <w:pPr>
      <w:contextualSpacing/>
      <w:ind w:left="720"/>
    </w:pPr>
  </w:style>
  <w:style w:type="table" w:styleId="1518" w:default="1">
    <w:name w:val="Normal Table"/>
    <w:uiPriority w:val="99"/>
    <w:semiHidden/>
    <w:unhideWhenUsed/>
    <w:tblPr>
      <w:tblInd w:w="0" w:type="dxa"/>
      <w:tblCellMar>
        <w:left w:w="108" w:type="dxa"/>
        <w:top w:w="0" w:type="dxa"/>
        <w:right w:w="108" w:type="dxa"/>
        <w:bottom w:w="0" w:type="dxa"/>
      </w:tblCellMar>
    </w:tblPr>
  </w:style>
  <w:style w:type="paragraph" w:styleId="1519">
    <w:name w:val="No Spacing"/>
    <w:uiPriority w:val="1"/>
    <w:qFormat/>
    <w:pPr>
      <w:spacing w:before="0" w:after="0" w:line="240" w:lineRule="auto"/>
    </w:pPr>
  </w:style>
  <w:style w:type="paragraph" w:styleId="1520">
    <w:name w:val="Title"/>
    <w:basedOn w:val="1496"/>
    <w:next w:val="1496"/>
    <w:link w:val="1521"/>
    <w:uiPriority w:val="10"/>
    <w:qFormat/>
    <w:pPr>
      <w:contextualSpacing/>
      <w:spacing w:before="300" w:after="200"/>
    </w:pPr>
    <w:rPr>
      <w:sz w:val="48"/>
      <w:szCs w:val="48"/>
    </w:rPr>
  </w:style>
  <w:style w:type="character" w:styleId="1521">
    <w:name w:val="Title Char"/>
    <w:basedOn w:val="1497"/>
    <w:link w:val="1520"/>
    <w:uiPriority w:val="10"/>
    <w:rPr>
      <w:sz w:val="48"/>
      <w:szCs w:val="48"/>
    </w:rPr>
  </w:style>
  <w:style w:type="paragraph" w:styleId="1522">
    <w:name w:val="Subtitle"/>
    <w:basedOn w:val="1496"/>
    <w:next w:val="1496"/>
    <w:link w:val="1523"/>
    <w:uiPriority w:val="11"/>
    <w:qFormat/>
    <w:pPr>
      <w:spacing w:before="200" w:after="200"/>
    </w:pPr>
    <w:rPr>
      <w:sz w:val="24"/>
      <w:szCs w:val="24"/>
    </w:rPr>
  </w:style>
  <w:style w:type="character" w:styleId="1523">
    <w:name w:val="Subtitle Char"/>
    <w:basedOn w:val="1497"/>
    <w:link w:val="1522"/>
    <w:uiPriority w:val="11"/>
    <w:rPr>
      <w:sz w:val="24"/>
      <w:szCs w:val="24"/>
    </w:rPr>
  </w:style>
  <w:style w:type="paragraph" w:styleId="1524">
    <w:name w:val="Quote"/>
    <w:basedOn w:val="1496"/>
    <w:next w:val="1496"/>
    <w:link w:val="1525"/>
    <w:uiPriority w:val="29"/>
    <w:qFormat/>
    <w:pPr>
      <w:ind w:left="720" w:right="720"/>
    </w:pPr>
    <w:rPr>
      <w:i/>
    </w:rPr>
  </w:style>
  <w:style w:type="character" w:styleId="1525">
    <w:name w:val="Quote Char"/>
    <w:link w:val="1524"/>
    <w:uiPriority w:val="29"/>
    <w:rPr>
      <w:i/>
    </w:rPr>
  </w:style>
  <w:style w:type="paragraph" w:styleId="1526">
    <w:name w:val="Intense Quote"/>
    <w:basedOn w:val="1496"/>
    <w:next w:val="1496"/>
    <w:link w:val="1527"/>
    <w:uiPriority w:val="30"/>
    <w:qFormat/>
    <w:pPr>
      <w:contextualSpacing w:val="0"/>
      <w:ind w:left="720" w:right="720"/>
      <w:shd w:val="clear" w:color="f2f2f2" w:fill="f2f2f2"/>
      <w:pBdr>
        <w:top w:val="single" w:color="FFFFFF" w:sz="4" w:space="5"/>
        <w:left w:val="single" w:color="FFFFFF" w:sz="4" w:space="10"/>
        <w:bottom w:val="single" w:color="FFFFFF" w:sz="4" w:space="5"/>
        <w:right w:val="single" w:color="FFFFFF" w:sz="4" w:space="10"/>
      </w:pBdr>
    </w:pPr>
    <w:rPr>
      <w:i/>
    </w:rPr>
  </w:style>
  <w:style w:type="character" w:styleId="1527">
    <w:name w:val="Intense Quote Char"/>
    <w:link w:val="1526"/>
    <w:uiPriority w:val="30"/>
    <w:rPr>
      <w:i/>
    </w:rPr>
  </w:style>
  <w:style w:type="paragraph" w:styleId="1528">
    <w:name w:val="Header"/>
    <w:basedOn w:val="1496"/>
    <w:link w:val="1529"/>
    <w:uiPriority w:val="99"/>
    <w:unhideWhenUsed/>
    <w:pPr>
      <w:spacing w:after="0" w:line="240" w:lineRule="auto"/>
      <w:tabs>
        <w:tab w:val="center" w:pos="7143" w:leader="none"/>
        <w:tab w:val="right" w:pos="14287" w:leader="none"/>
      </w:tabs>
    </w:pPr>
  </w:style>
  <w:style w:type="character" w:styleId="1529">
    <w:name w:val="Header Char"/>
    <w:basedOn w:val="1497"/>
    <w:link w:val="1528"/>
    <w:uiPriority w:val="99"/>
  </w:style>
  <w:style w:type="paragraph" w:styleId="1530">
    <w:name w:val="Footer"/>
    <w:basedOn w:val="1496"/>
    <w:link w:val="1533"/>
    <w:uiPriority w:val="99"/>
    <w:unhideWhenUsed/>
    <w:pPr>
      <w:spacing w:after="0" w:line="240" w:lineRule="auto"/>
      <w:tabs>
        <w:tab w:val="center" w:pos="7143" w:leader="none"/>
        <w:tab w:val="right" w:pos="14287" w:leader="none"/>
      </w:tabs>
    </w:pPr>
  </w:style>
  <w:style w:type="character" w:styleId="1531">
    <w:name w:val="Footer Char"/>
    <w:basedOn w:val="1497"/>
    <w:link w:val="1530"/>
    <w:uiPriority w:val="99"/>
  </w:style>
  <w:style w:type="paragraph" w:styleId="1532">
    <w:name w:val="Caption"/>
    <w:basedOn w:val="1496"/>
    <w:next w:val="1496"/>
    <w:uiPriority w:val="35"/>
    <w:semiHidden/>
    <w:unhideWhenUsed/>
    <w:qFormat/>
    <w:pPr>
      <w:spacing w:line="276" w:lineRule="auto"/>
    </w:pPr>
    <w:rPr>
      <w:b/>
      <w:bCs/>
      <w:color w:val="4f81bd" w:themeColor="accent1"/>
      <w:sz w:val="18"/>
      <w:szCs w:val="18"/>
    </w:rPr>
  </w:style>
  <w:style w:type="character" w:styleId="1533">
    <w:name w:val="Caption Char"/>
    <w:basedOn w:val="1532"/>
    <w:link w:val="1530"/>
    <w:uiPriority w:val="99"/>
  </w:style>
  <w:style w:type="table" w:styleId="1534">
    <w:name w:val="Table Grid"/>
    <w:basedOn w:val="15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35">
    <w:name w:val="Table Grid Light"/>
    <w:basedOn w:val="15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536">
    <w:name w:val="Plain Table 1"/>
    <w:basedOn w:val="15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fill="ffffff" w:themeFill="text1" w:themeFillTint="0D"/>
      </w:tcPr>
    </w:tblStylePr>
    <w:tblStylePr w:type="band1Vert">
      <w:tcPr>
        <w:shd w:val="clear" w:color="ffffff"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537">
    <w:name w:val="Plain Table 2"/>
    <w:basedOn w:val="15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538">
    <w:name w:val="Plain Table 3"/>
    <w:basedOn w:val="15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539">
    <w:name w:val="Plain Table 4"/>
    <w:basedOn w:val="15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540">
    <w:name w:val="Plain Table 5"/>
    <w:basedOn w:val="15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bottom w:val="single" w:color="404040" w:sz="4" w:space="0"/>
          <w:right w:val="none" w:color="00000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top w:val="single" w:color="404040" w:sz="4" w:space="0"/>
          <w:left w:val="none" w:color="000000" w:sz="4" w:space="0"/>
          <w:right w:val="none" w:color="000000" w:sz="4" w:space="0"/>
        </w:tcBorders>
      </w:tcPr>
    </w:tblStylePr>
  </w:style>
  <w:style w:type="table" w:styleId="1541">
    <w:name w:val="Grid Table 1 Light"/>
    <w:basedOn w:val="15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542">
    <w:name w:val="Grid Table 1 Light - Accent 1"/>
    <w:basedOn w:val="15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543">
    <w:name w:val="Grid Table 1 Light - Accent 2"/>
    <w:basedOn w:val="15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544">
    <w:name w:val="Grid Table 1 Light - Accent 3"/>
    <w:basedOn w:val="15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545">
    <w:name w:val="Grid Table 1 Light - Accent 4"/>
    <w:basedOn w:val="15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546">
    <w:name w:val="Grid Table 1 Light - Accent 5"/>
    <w:basedOn w:val="15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547">
    <w:name w:val="Grid Table 1 Light - Accent 6"/>
    <w:basedOn w:val="15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548">
    <w:name w:val="Grid Table 2"/>
    <w:basedOn w:val="15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text1" w:themeTint="95" w:sz="4" w:space="0"/>
          <w:left w:val="none" w:color="000000" w:sz="4" w:space="0"/>
          <w:bottom w:val="none" w:color="000000" w:sz="4" w:space="0"/>
          <w:right w:val="none" w:color="000000" w:sz="4" w:space="0"/>
        </w:tcBorders>
      </w:tcPr>
    </w:tblStylePr>
  </w:style>
  <w:style w:type="table" w:styleId="1549">
    <w:name w:val="Grid Table 2 - Accent 1"/>
    <w:basedOn w:val="15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hemeFill="accent1" w:themeFillTint="34"/>
      </w:tcPr>
    </w:tblStylePr>
    <w:tblStylePr w:type="band1Vert">
      <w:rPr>
        <w:rFonts w:ascii="Arial" w:hAnsi="Arial"/>
        <w:color w:val="404040"/>
        <w:sz w:val="22"/>
      </w:rPr>
      <w:tcPr>
        <w:shd w:val="clear" w:color="ffffff" w:fill="ffffff" w:themeFill="accent1"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550">
    <w:name w:val="Grid Table 2 - Accent 2"/>
    <w:basedOn w:val="15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551">
    <w:name w:val="Grid Table 2 - Accent 3"/>
    <w:basedOn w:val="15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552">
    <w:name w:val="Grid Table 2 - Accent 4"/>
    <w:basedOn w:val="15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553">
    <w:name w:val="Grid Table 2 - Accent 5"/>
    <w:basedOn w:val="15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5" w:sz="4" w:space="0"/>
          <w:left w:val="none" w:color="000000" w:sz="4" w:space="0"/>
          <w:bottom w:val="none" w:color="000000" w:sz="4" w:space="0"/>
          <w:right w:val="none" w:color="000000" w:sz="4" w:space="0"/>
        </w:tcBorders>
      </w:tcPr>
    </w:tblStylePr>
  </w:style>
  <w:style w:type="table" w:styleId="1554">
    <w:name w:val="Grid Table 2 - Accent 6"/>
    <w:basedOn w:val="15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6" w:sz="4" w:space="0"/>
          <w:left w:val="none" w:color="000000" w:sz="4" w:space="0"/>
          <w:bottom w:val="none" w:color="000000" w:sz="4" w:space="0"/>
          <w:right w:val="none" w:color="000000" w:sz="4" w:space="0"/>
        </w:tcBorders>
      </w:tcPr>
    </w:tblStylePr>
  </w:style>
  <w:style w:type="table" w:styleId="1555">
    <w:name w:val="Grid Table 3"/>
    <w:basedOn w:val="15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1556">
    <w:name w:val="Grid Table 3 - Accent 1"/>
    <w:basedOn w:val="15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hemeFill="accent1" w:themeFillTint="34"/>
      </w:tcPr>
    </w:tblStylePr>
    <w:tblStylePr w:type="band1Vert">
      <w:rPr>
        <w:rFonts w:ascii="Arial" w:hAnsi="Arial"/>
        <w:color w:val="404040"/>
        <w:sz w:val="22"/>
      </w:rPr>
      <w:tcPr>
        <w:shd w:val="clear" w:color="ffffff" w:fill="ffffff" w:themeFill="accent1"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1557">
    <w:name w:val="Grid Table 3 - Accent 2"/>
    <w:basedOn w:val="15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1558">
    <w:name w:val="Grid Table 3 - Accent 3"/>
    <w:basedOn w:val="15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1559">
    <w:name w:val="Grid Table 3 - Accent 4"/>
    <w:basedOn w:val="15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1560">
    <w:name w:val="Grid Table 3 - Accent 5"/>
    <w:basedOn w:val="15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1561">
    <w:name w:val="Grid Table 3 - Accent 6"/>
    <w:basedOn w:val="15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1562">
    <w:name w:val="Grid Table 4"/>
    <w:basedOn w:val="15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b/>
        <w:color w:val="404040"/>
      </w:rPr>
    </w:tblStylePr>
    <w:tblStylePr w:type="firstRow">
      <w:rPr>
        <w:rFonts w:ascii="Arial" w:hAnsi="Arial"/>
        <w:b/>
        <w:color w:val="ffffff"/>
        <w:sz w:val="22"/>
      </w:rPr>
      <w:tcPr>
        <w:shd w:val="clear" w:color="ffffff" w:fill="ffffff"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563">
    <w:name w:val="Grid Table 4 - Accent 1"/>
    <w:basedOn w:val="15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fill="ffffff" w:themeFill="accent1" w:themeFillTint="32"/>
      </w:tcPr>
    </w:tblStylePr>
    <w:tblStylePr w:type="band1Vert">
      <w:rPr>
        <w:rFonts w:ascii="Arial" w:hAnsi="Arial"/>
        <w:color w:val="404040"/>
        <w:sz w:val="22"/>
      </w:rPr>
      <w:tcPr>
        <w:shd w:val="clear" w:color="ffffff" w:fill="ffffff" w:themeFill="accent1" w:themeFillTint="32"/>
      </w:tcPr>
    </w:tblStylePr>
    <w:tblStylePr w:type="firstCol">
      <w:rPr>
        <w:b/>
        <w:color w:val="404040"/>
      </w:rPr>
    </w:tblStylePr>
    <w:tblStylePr w:type="firstRow">
      <w:rPr>
        <w:rFonts w:ascii="Arial" w:hAnsi="Arial"/>
        <w:b/>
        <w:color w:val="ffffff"/>
        <w:sz w:val="22"/>
      </w:rPr>
      <w:tcPr>
        <w:shd w:val="clear" w:color="ffffff" w:fill="fffff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564">
    <w:name w:val="Grid Table 4 - Accent 2"/>
    <w:basedOn w:val="15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b/>
        <w:color w:val="404040"/>
      </w:rPr>
    </w:tblStylePr>
    <w:tblStylePr w:type="firstRow">
      <w:rPr>
        <w:rFonts w:ascii="Arial" w:hAnsi="Arial"/>
        <w:b/>
        <w:color w:val="ffffff"/>
        <w:sz w:val="22"/>
      </w:rPr>
      <w:tcPr>
        <w:shd w:val="clear" w:color="ffffff" w:fill="ffffff"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565">
    <w:name w:val="Grid Table 4 - Accent 3"/>
    <w:basedOn w:val="15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b/>
        <w:color w:val="404040"/>
      </w:rPr>
    </w:tblStylePr>
    <w:tblStylePr w:type="firstRow">
      <w:rPr>
        <w:rFonts w:ascii="Arial" w:hAnsi="Arial"/>
        <w:b/>
        <w:color w:val="ffffff"/>
        <w:sz w:val="22"/>
      </w:rPr>
      <w:tcPr>
        <w:shd w:val="clear" w:color="ffffff" w:fill="ffffff"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566">
    <w:name w:val="Grid Table 4 - Accent 4"/>
    <w:basedOn w:val="15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b/>
        <w:color w:val="404040"/>
      </w:rPr>
    </w:tblStylePr>
    <w:tblStylePr w:type="firstRow">
      <w:rPr>
        <w:rFonts w:ascii="Arial" w:hAnsi="Arial"/>
        <w:b/>
        <w:color w:val="ffffff"/>
        <w:sz w:val="22"/>
      </w:rPr>
      <w:tcPr>
        <w:shd w:val="clear" w:color="ffffff" w:fill="ffffff"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567">
    <w:name w:val="Grid Table 4 - Accent 5"/>
    <w:basedOn w:val="15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b/>
        <w:color w:val="404040"/>
      </w:rPr>
    </w:tblStylePr>
    <w:tblStylePr w:type="firstRow">
      <w:rPr>
        <w:rFonts w:ascii="Arial" w:hAnsi="Arial"/>
        <w:b/>
        <w:color w:val="ffffff"/>
        <w:sz w:val="22"/>
      </w:rPr>
      <w:tcPr>
        <w:shd w:val="clear" w:color="ffffff" w:fill="ffffff"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568">
    <w:name w:val="Grid Table 4 - Accent 6"/>
    <w:basedOn w:val="15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b/>
        <w:color w:val="404040"/>
      </w:rPr>
    </w:tblStylePr>
    <w:tblStylePr w:type="firstRow">
      <w:rPr>
        <w:rFonts w:ascii="Arial" w:hAnsi="Arial"/>
        <w:b/>
        <w:color w:val="ffffff"/>
        <w:sz w:val="22"/>
      </w:rPr>
      <w:tcPr>
        <w:shd w:val="clear" w:color="ffffff" w:fill="ffffff"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569">
    <w:name w:val="Grid Table 5 Dark"/>
    <w:basedOn w:val="15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text1" w:themeFillTint="40"/>
    </w:tblPr>
    <w:tblStylePr w:type="band1Horz">
      <w:tcPr>
        <w:shd w:val="clear" w:color="ffffff" w:fill="ffffff" w:themeFill="text1" w:themeFillTint="75"/>
      </w:tcPr>
    </w:tblStylePr>
    <w:tblStylePr w:type="band1Vert">
      <w:tcPr>
        <w:shd w:val="clear" w:color="ffffff" w:fill="ffffff" w:themeFill="text1" w:themeFillTint="75"/>
      </w:tcPr>
    </w:tblStylePr>
    <w:tblStylePr w:type="firstCol">
      <w:rPr>
        <w:rFonts w:ascii="Arial" w:hAnsi="Arial"/>
        <w:b/>
        <w:color w:val="ffffff"/>
        <w:sz w:val="22"/>
      </w:rPr>
      <w:tcPr>
        <w:shd w:val="clear" w:color="ffffff" w:fill="ffffff" w:themeFill="text1"/>
      </w:tcPr>
    </w:tblStylePr>
    <w:tblStylePr w:type="firstRow">
      <w:rPr>
        <w:rFonts w:ascii="Arial" w:hAnsi="Arial"/>
        <w:b/>
        <w:color w:val="ffffff"/>
        <w:sz w:val="22"/>
      </w:rPr>
      <w:tcPr>
        <w:shd w:val="clear" w:color="ffffff" w:fill="ffffff" w:themeFill="text1"/>
      </w:tcPr>
    </w:tblStylePr>
    <w:tblStylePr w:type="lastCol">
      <w:rPr>
        <w:rFonts w:ascii="Arial" w:hAnsi="Arial"/>
        <w:b/>
        <w:color w:val="ffffff"/>
        <w:sz w:val="22"/>
      </w:rPr>
      <w:tcPr>
        <w:shd w:val="clear" w:color="ffffff" w:fill="ffffff" w:themeFill="text1"/>
      </w:tcPr>
    </w:tblStylePr>
    <w:tblStylePr w:type="lastRow">
      <w:rPr>
        <w:rFonts w:ascii="Arial" w:hAnsi="Arial"/>
        <w:b/>
        <w:color w:val="ffffff"/>
        <w:sz w:val="22"/>
      </w:rPr>
      <w:tcPr>
        <w:shd w:val="clear" w:color="ffffff" w:fill="ffffff" w:themeFill="text1"/>
        <w:tcBorders>
          <w:top w:val="single" w:color="000000" w:themeColor="light1" w:sz="4" w:space="0"/>
        </w:tcBorders>
      </w:tcPr>
    </w:tblStylePr>
  </w:style>
  <w:style w:type="table" w:styleId="1570">
    <w:name w:val="Grid Table 5 Dark- Accent 1"/>
    <w:basedOn w:val="15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1" w:themeFillTint="34"/>
    </w:tblPr>
    <w:tblStylePr w:type="band1Horz">
      <w:tcPr>
        <w:shd w:val="clear" w:color="ffffff" w:fill="ffffff" w:themeFill="accent1" w:themeFillTint="75"/>
      </w:tcPr>
    </w:tblStylePr>
    <w:tblStylePr w:type="band1Vert">
      <w:tcPr>
        <w:shd w:val="clear" w:color="ffffff" w:fill="ffffff" w:themeFill="accent1" w:themeFillTint="75"/>
      </w:tcPr>
    </w:tblStylePr>
    <w:tblStylePr w:type="firstCol">
      <w:rPr>
        <w:rFonts w:ascii="Arial" w:hAnsi="Arial"/>
        <w:b/>
        <w:color w:val="ffffff"/>
        <w:sz w:val="22"/>
      </w:rPr>
      <w:tcPr>
        <w:shd w:val="clear" w:color="ffffff" w:fill="ffffff" w:themeFill="accent1"/>
      </w:tcPr>
    </w:tblStylePr>
    <w:tblStylePr w:type="firstRow">
      <w:rPr>
        <w:rFonts w:ascii="Arial" w:hAnsi="Arial"/>
        <w:b/>
        <w:color w:val="ffffff"/>
        <w:sz w:val="22"/>
      </w:rPr>
      <w:tcPr>
        <w:shd w:val="clear" w:color="ffffff" w:fill="ffffff" w:themeFill="accent1"/>
      </w:tcPr>
    </w:tblStylePr>
    <w:tblStylePr w:type="lastCol">
      <w:rPr>
        <w:rFonts w:ascii="Arial" w:hAnsi="Arial"/>
        <w:b/>
        <w:color w:val="ffffff"/>
        <w:sz w:val="22"/>
      </w:rPr>
      <w:tcPr>
        <w:shd w:val="clear" w:color="ffffff" w:fill="ffffff" w:themeFill="accent1"/>
      </w:tcPr>
    </w:tblStylePr>
    <w:tblStylePr w:type="lastRow">
      <w:rPr>
        <w:rFonts w:ascii="Arial" w:hAnsi="Arial"/>
        <w:b/>
        <w:color w:val="ffffff"/>
        <w:sz w:val="22"/>
      </w:rPr>
      <w:tcPr>
        <w:shd w:val="clear" w:color="ffffff" w:fill="ffffff" w:themeFill="accent1"/>
        <w:tcBorders>
          <w:top w:val="single" w:color="000000" w:themeColor="light1" w:sz="4" w:space="0"/>
        </w:tcBorders>
      </w:tcPr>
    </w:tblStylePr>
  </w:style>
  <w:style w:type="table" w:styleId="1571">
    <w:name w:val="Grid Table 5 Dark - Accent 2"/>
    <w:basedOn w:val="15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2" w:themeFillTint="32"/>
    </w:tblPr>
    <w:tblStylePr w:type="band1Horz">
      <w:tcPr>
        <w:shd w:val="clear" w:color="ffffff" w:fill="ffffff" w:themeFill="accent2" w:themeFillTint="75"/>
      </w:tcPr>
    </w:tblStylePr>
    <w:tblStylePr w:type="band1Vert">
      <w:tcPr>
        <w:shd w:val="clear" w:color="ffffff" w:fill="ffffff" w:themeFill="accent2" w:themeFillTint="75"/>
      </w:tcPr>
    </w:tblStylePr>
    <w:tblStylePr w:type="firstCol">
      <w:rPr>
        <w:rFonts w:ascii="Arial" w:hAnsi="Arial"/>
        <w:b/>
        <w:color w:val="ffffff"/>
        <w:sz w:val="22"/>
      </w:rPr>
      <w:tcPr>
        <w:shd w:val="clear" w:color="ffffff" w:fill="ffffff" w:themeFill="accent2"/>
      </w:tcPr>
    </w:tblStylePr>
    <w:tblStylePr w:type="firstRow">
      <w:rPr>
        <w:rFonts w:ascii="Arial" w:hAnsi="Arial"/>
        <w:b/>
        <w:color w:val="ffffff"/>
        <w:sz w:val="22"/>
      </w:rPr>
      <w:tcPr>
        <w:shd w:val="clear" w:color="ffffff" w:fill="ffffff" w:themeFill="accent2"/>
      </w:tcPr>
    </w:tblStylePr>
    <w:tblStylePr w:type="lastCol">
      <w:rPr>
        <w:rFonts w:ascii="Arial" w:hAnsi="Arial"/>
        <w:b/>
        <w:color w:val="ffffff"/>
        <w:sz w:val="22"/>
      </w:rPr>
      <w:tcPr>
        <w:shd w:val="clear" w:color="ffffff" w:fill="ffffff" w:themeFill="accent2"/>
      </w:tcPr>
    </w:tblStylePr>
    <w:tblStylePr w:type="lastRow">
      <w:rPr>
        <w:rFonts w:ascii="Arial" w:hAnsi="Arial"/>
        <w:b/>
        <w:color w:val="ffffff"/>
        <w:sz w:val="22"/>
      </w:rPr>
      <w:tcPr>
        <w:shd w:val="clear" w:color="ffffff" w:fill="ffffff" w:themeFill="accent2"/>
        <w:tcBorders>
          <w:top w:val="single" w:color="000000" w:themeColor="light1" w:sz="4" w:space="0"/>
        </w:tcBorders>
      </w:tcPr>
    </w:tblStylePr>
  </w:style>
  <w:style w:type="table" w:styleId="1572">
    <w:name w:val="Grid Table 5 Dark - Accent 3"/>
    <w:basedOn w:val="15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3" w:themeFillTint="34"/>
    </w:tblPr>
    <w:tblStylePr w:type="band1Horz">
      <w:tcPr>
        <w:shd w:val="clear" w:color="ffffff" w:fill="ffffff" w:themeFill="accent3" w:themeFillTint="75"/>
      </w:tcPr>
    </w:tblStylePr>
    <w:tblStylePr w:type="band1Vert">
      <w:tcPr>
        <w:shd w:val="clear" w:color="ffffff" w:fill="ffffff" w:themeFill="accent3" w:themeFillTint="75"/>
      </w:tcPr>
    </w:tblStylePr>
    <w:tblStylePr w:type="firstCol">
      <w:rPr>
        <w:rFonts w:ascii="Arial" w:hAnsi="Arial"/>
        <w:b/>
        <w:color w:val="ffffff"/>
        <w:sz w:val="22"/>
      </w:rPr>
      <w:tcPr>
        <w:shd w:val="clear" w:color="ffffff" w:fill="ffffff" w:themeFill="accent3"/>
      </w:tcPr>
    </w:tblStylePr>
    <w:tblStylePr w:type="firstRow">
      <w:rPr>
        <w:rFonts w:ascii="Arial" w:hAnsi="Arial"/>
        <w:b/>
        <w:color w:val="ffffff"/>
        <w:sz w:val="22"/>
      </w:rPr>
      <w:tcPr>
        <w:shd w:val="clear" w:color="ffffff" w:fill="ffffff" w:themeFill="accent3"/>
      </w:tcPr>
    </w:tblStylePr>
    <w:tblStylePr w:type="lastCol">
      <w:rPr>
        <w:rFonts w:ascii="Arial" w:hAnsi="Arial"/>
        <w:b/>
        <w:color w:val="ffffff"/>
        <w:sz w:val="22"/>
      </w:rPr>
      <w:tcPr>
        <w:shd w:val="clear" w:color="ffffff" w:fill="ffffff" w:themeFill="accent3"/>
      </w:tcPr>
    </w:tblStylePr>
    <w:tblStylePr w:type="lastRow">
      <w:rPr>
        <w:rFonts w:ascii="Arial" w:hAnsi="Arial"/>
        <w:b/>
        <w:color w:val="ffffff"/>
        <w:sz w:val="22"/>
      </w:rPr>
      <w:tcPr>
        <w:shd w:val="clear" w:color="ffffff" w:fill="ffffff" w:themeFill="accent3"/>
        <w:tcBorders>
          <w:top w:val="single" w:color="000000" w:themeColor="light1" w:sz="4" w:space="0"/>
        </w:tcBorders>
      </w:tcPr>
    </w:tblStylePr>
  </w:style>
  <w:style w:type="table" w:styleId="1573">
    <w:name w:val="Grid Table 5 Dark- Accent 4"/>
    <w:basedOn w:val="15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4" w:themeFillTint="34"/>
    </w:tblPr>
    <w:tblStylePr w:type="band1Horz">
      <w:tcPr>
        <w:shd w:val="clear" w:color="ffffff" w:fill="ffffff" w:themeFill="accent4" w:themeFillTint="75"/>
      </w:tcPr>
    </w:tblStylePr>
    <w:tblStylePr w:type="band1Vert">
      <w:tcPr>
        <w:shd w:val="clear" w:color="ffffff" w:fill="ffffff" w:themeFill="accent4" w:themeFillTint="75"/>
      </w:tcPr>
    </w:tblStylePr>
    <w:tblStylePr w:type="firstCol">
      <w:rPr>
        <w:rFonts w:ascii="Arial" w:hAnsi="Arial"/>
        <w:b/>
        <w:color w:val="ffffff"/>
        <w:sz w:val="22"/>
      </w:rPr>
      <w:tcPr>
        <w:shd w:val="clear" w:color="ffffff" w:fill="ffffff" w:themeFill="accent4"/>
      </w:tcPr>
    </w:tblStylePr>
    <w:tblStylePr w:type="firstRow">
      <w:rPr>
        <w:rFonts w:ascii="Arial" w:hAnsi="Arial"/>
        <w:b/>
        <w:color w:val="ffffff"/>
        <w:sz w:val="22"/>
      </w:rPr>
      <w:tcPr>
        <w:shd w:val="clear" w:color="ffffff" w:fill="ffffff" w:themeFill="accent4"/>
      </w:tcPr>
    </w:tblStylePr>
    <w:tblStylePr w:type="lastCol">
      <w:rPr>
        <w:rFonts w:ascii="Arial" w:hAnsi="Arial"/>
        <w:b/>
        <w:color w:val="ffffff"/>
        <w:sz w:val="22"/>
      </w:rPr>
      <w:tcPr>
        <w:shd w:val="clear" w:color="ffffff" w:fill="ffffff" w:themeFill="accent4"/>
      </w:tcPr>
    </w:tblStylePr>
    <w:tblStylePr w:type="lastRow">
      <w:rPr>
        <w:rFonts w:ascii="Arial" w:hAnsi="Arial"/>
        <w:b/>
        <w:color w:val="ffffff"/>
        <w:sz w:val="22"/>
      </w:rPr>
      <w:tcPr>
        <w:shd w:val="clear" w:color="ffffff" w:fill="ffffff" w:themeFill="accent4"/>
        <w:tcBorders>
          <w:top w:val="single" w:color="000000" w:themeColor="light1" w:sz="4" w:space="0"/>
        </w:tcBorders>
      </w:tcPr>
    </w:tblStylePr>
  </w:style>
  <w:style w:type="table" w:styleId="1574">
    <w:name w:val="Grid Table 5 Dark - Accent 5"/>
    <w:basedOn w:val="15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5" w:themeFillTint="34"/>
    </w:tblPr>
    <w:tblStylePr w:type="band1Horz">
      <w:tcPr>
        <w:shd w:val="clear" w:color="ffffff" w:fill="ffffff" w:themeFill="accent5" w:themeFillTint="75"/>
      </w:tcPr>
    </w:tblStylePr>
    <w:tblStylePr w:type="band1Vert">
      <w:tcPr>
        <w:shd w:val="clear" w:color="ffffff" w:fill="ffffff" w:themeFill="accent5" w:themeFillTint="75"/>
      </w:tcPr>
    </w:tblStylePr>
    <w:tblStylePr w:type="firstCol">
      <w:rPr>
        <w:rFonts w:ascii="Arial" w:hAnsi="Arial"/>
        <w:b/>
        <w:color w:val="ffffff"/>
        <w:sz w:val="22"/>
      </w:rPr>
      <w:tcPr>
        <w:shd w:val="clear" w:color="ffffff" w:fill="ffffff" w:themeFill="accent5"/>
      </w:tcPr>
    </w:tblStylePr>
    <w:tblStylePr w:type="firstRow">
      <w:rPr>
        <w:rFonts w:ascii="Arial" w:hAnsi="Arial"/>
        <w:b/>
        <w:color w:val="ffffff"/>
        <w:sz w:val="22"/>
      </w:rPr>
      <w:tcPr>
        <w:shd w:val="clear" w:color="ffffff" w:fill="ffffff" w:themeFill="accent5"/>
      </w:tcPr>
    </w:tblStylePr>
    <w:tblStylePr w:type="lastCol">
      <w:rPr>
        <w:rFonts w:ascii="Arial" w:hAnsi="Arial"/>
        <w:b/>
        <w:color w:val="ffffff"/>
        <w:sz w:val="22"/>
      </w:rPr>
      <w:tcPr>
        <w:shd w:val="clear" w:color="ffffff" w:fill="ffffff" w:themeFill="accent5"/>
      </w:tcPr>
    </w:tblStylePr>
    <w:tblStylePr w:type="lastRow">
      <w:rPr>
        <w:rFonts w:ascii="Arial" w:hAnsi="Arial"/>
        <w:b/>
        <w:color w:val="ffffff"/>
        <w:sz w:val="22"/>
      </w:rPr>
      <w:tcPr>
        <w:shd w:val="clear" w:color="ffffff" w:fill="ffffff" w:themeFill="accent5"/>
        <w:tcBorders>
          <w:top w:val="single" w:color="000000" w:themeColor="light1" w:sz="4" w:space="0"/>
        </w:tcBorders>
      </w:tcPr>
    </w:tblStylePr>
  </w:style>
  <w:style w:type="table" w:styleId="1575">
    <w:name w:val="Grid Table 5 Dark - Accent 6"/>
    <w:basedOn w:val="15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6" w:themeFillTint="34"/>
    </w:tblPr>
    <w:tblStylePr w:type="band1Horz">
      <w:tcPr>
        <w:shd w:val="clear" w:color="ffffff" w:fill="ffffff" w:themeFill="accent6" w:themeFillTint="75"/>
      </w:tcPr>
    </w:tblStylePr>
    <w:tblStylePr w:type="band1Vert">
      <w:tcPr>
        <w:shd w:val="clear" w:color="ffffff" w:fill="ffffff" w:themeFill="accent6" w:themeFillTint="75"/>
      </w:tcPr>
    </w:tblStylePr>
    <w:tblStylePr w:type="firstCol">
      <w:rPr>
        <w:rFonts w:ascii="Arial" w:hAnsi="Arial"/>
        <w:b/>
        <w:color w:val="ffffff"/>
        <w:sz w:val="22"/>
      </w:rPr>
      <w:tcPr>
        <w:shd w:val="clear" w:color="ffffff" w:fill="ffffff" w:themeFill="accent6"/>
      </w:tcPr>
    </w:tblStylePr>
    <w:tblStylePr w:type="firstRow">
      <w:rPr>
        <w:rFonts w:ascii="Arial" w:hAnsi="Arial"/>
        <w:b/>
        <w:color w:val="ffffff"/>
        <w:sz w:val="22"/>
      </w:rPr>
      <w:tcPr>
        <w:shd w:val="clear" w:color="ffffff" w:fill="ffffff" w:themeFill="accent6"/>
      </w:tcPr>
    </w:tblStylePr>
    <w:tblStylePr w:type="lastCol">
      <w:rPr>
        <w:rFonts w:ascii="Arial" w:hAnsi="Arial"/>
        <w:b/>
        <w:color w:val="ffffff"/>
        <w:sz w:val="22"/>
      </w:rPr>
      <w:tcPr>
        <w:shd w:val="clear" w:color="ffffff" w:fill="ffffff" w:themeFill="accent6"/>
      </w:tcPr>
    </w:tblStylePr>
    <w:tblStylePr w:type="lastRow">
      <w:rPr>
        <w:rFonts w:ascii="Arial" w:hAnsi="Arial"/>
        <w:b/>
        <w:color w:val="ffffff"/>
        <w:sz w:val="22"/>
      </w:rPr>
      <w:tcPr>
        <w:shd w:val="clear" w:color="ffffff" w:fill="ffffff" w:themeFill="accent6"/>
        <w:tcBorders>
          <w:top w:val="single" w:color="000000" w:themeColor="light1" w:sz="4" w:space="0"/>
        </w:tcBorders>
      </w:tcPr>
    </w:tblStylePr>
  </w:style>
  <w:style w:type="table" w:styleId="1576">
    <w:name w:val="Grid Table 6 Colorful"/>
    <w:basedOn w:val="15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fill="ffffff" w:themeFill="text1" w:themeFillTint="34"/>
      </w:tcPr>
    </w:tblStylePr>
    <w:tblStylePr w:type="band1Vert">
      <w:tcPr>
        <w:shd w:val="clear" w:color="ffffff"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577">
    <w:name w:val="Grid Table 6 Colorful - Accent 1"/>
    <w:basedOn w:val="15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fill="ffffff" w:themeFill="accent1" w:themeFillTint="34"/>
      </w:tcPr>
    </w:tblStylePr>
    <w:tblStylePr w:type="band1Vert">
      <w:tcPr>
        <w:shd w:val="clear" w:color="ffffff" w:fill="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1578">
    <w:name w:val="Grid Table 6 Colorful - Accent 2"/>
    <w:basedOn w:val="15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hemeFill="accent2" w:themeFillTint="32"/>
      </w:tcPr>
    </w:tblStylePr>
    <w:tblStylePr w:type="band1Vert">
      <w:tcPr>
        <w:shd w:val="clear" w:color="ffffff"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1579">
    <w:name w:val="Grid Table 6 Colorful - Accent 3"/>
    <w:basedOn w:val="15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fill="ffffff" w:themeFill="accent3" w:themeFillTint="34"/>
      </w:tcPr>
    </w:tblStylePr>
    <w:tblStylePr w:type="band1Vert">
      <w:tcPr>
        <w:shd w:val="clear" w:color="ffffff"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1580">
    <w:name w:val="Grid Table 6 Colorful - Accent 4"/>
    <w:basedOn w:val="15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hemeFill="accent4" w:themeFillTint="34"/>
      </w:tcPr>
    </w:tblStylePr>
    <w:tblStylePr w:type="band1Vert">
      <w:tcPr>
        <w:shd w:val="clear" w:color="ffffff"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1581">
    <w:name w:val="Grid Table 6 Colorful - Accent 5"/>
    <w:basedOn w:val="15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fill="ffffff" w:themeFill="accent5" w:themeFillTint="34"/>
      </w:tcPr>
    </w:tblStylePr>
    <w:tblStylePr w:type="band1Vert">
      <w:tcPr>
        <w:shd w:val="clear" w:color="ffffff" w:fill="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1582">
    <w:name w:val="Grid Table 6 Colorful - Accent 6"/>
    <w:basedOn w:val="15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fill="ffffff" w:themeFill="accent6" w:themeFillTint="34"/>
      </w:tcPr>
    </w:tblStylePr>
    <w:tblStylePr w:type="band1Vert">
      <w:tcPr>
        <w:shd w:val="clear" w:color="ffffff" w:fill="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1583">
    <w:name w:val="Grid Table 7 Colorful"/>
    <w:basedOn w:val="15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fill="ffffff" w:themeFill="text1" w:themeFillTint="0D"/>
      </w:tcPr>
    </w:tblStylePr>
    <w:tblStylePr w:type="band1Vert">
      <w:tcPr>
        <w:shd w:val="clear" w:color="ffffff"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584">
    <w:name w:val="Grid Table 7 Colorful - Accent 1"/>
    <w:basedOn w:val="15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fill="ffffff" w:themeFill="accent1" w:themeFillTint="34"/>
      </w:tcPr>
    </w:tblStylePr>
    <w:tblStylePr w:type="band1Vert">
      <w:tcPr>
        <w:shd w:val="clear" w:color="ffffff" w:fill="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fill="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585">
    <w:name w:val="Grid Table 7 Colorful - Accent 2"/>
    <w:basedOn w:val="15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fill="ffffff" w:themeFill="accent2" w:themeFillTint="32"/>
      </w:tcPr>
    </w:tblStylePr>
    <w:tblStylePr w:type="band1Vert">
      <w:tcPr>
        <w:shd w:val="clear" w:color="ffffff"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586">
    <w:name w:val="Grid Table 7 Colorful - Accent 3"/>
    <w:basedOn w:val="15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fill="ffffff" w:themeFill="accent3" w:themeFillTint="34"/>
      </w:tcPr>
    </w:tblStylePr>
    <w:tblStylePr w:type="band1Vert">
      <w:tcPr>
        <w:shd w:val="clear" w:color="ffffff"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fill="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587">
    <w:name w:val="Grid Table 7 Colorful - Accent 4"/>
    <w:basedOn w:val="15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fill="ffffff" w:themeFill="accent4" w:themeFillTint="34"/>
      </w:tcPr>
    </w:tblStylePr>
    <w:tblStylePr w:type="band1Vert">
      <w:tcPr>
        <w:shd w:val="clear" w:color="ffffff"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588">
    <w:name w:val="Grid Table 7 Colorful - Accent 5"/>
    <w:basedOn w:val="15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fill="ffffff" w:themeFill="accent5" w:themeFillTint="34"/>
      </w:tcPr>
    </w:tblStylePr>
    <w:tblStylePr w:type="band1Vert">
      <w:tcPr>
        <w:shd w:val="clear" w:color="ffffff" w:fill="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fill="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589">
    <w:name w:val="Grid Table 7 Colorful - Accent 6"/>
    <w:basedOn w:val="15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fill="ffffff" w:themeFill="accent6" w:themeFillTint="34"/>
      </w:tcPr>
    </w:tblStylePr>
    <w:tblStylePr w:type="band1Vert">
      <w:tcPr>
        <w:shd w:val="clear" w:color="ffffff"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fill="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590">
    <w:name w:val="List Table 1 Light"/>
    <w:basedOn w:val="1518"/>
    <w:uiPriority w:val="99"/>
    <w:pPr>
      <w:spacing w:after="0" w:line="240" w:lineRule="auto"/>
    </w:pPr>
    <w:tblPr>
      <w:tblStyleRowBandSize w:val="1"/>
      <w:tblStyleColBandSize w:val="1"/>
      <w:tblInd w:w="0" w:type="dxa"/>
    </w:tblPr>
    <w:tblStylePr w:type="band1Horz">
      <w:tcPr>
        <w:shd w:val="clear" w:color="ffffff" w:fill="ffffff" w:themeFill="text1" w:themeFillTint="40"/>
      </w:tcPr>
    </w:tblStylePr>
    <w:tblStylePr w:type="band1Vert">
      <w:tcPr>
        <w:shd w:val="clear" w:color="ffffff" w:fill="fffff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591">
    <w:name w:val="List Table 1 Light - Accent 1"/>
    <w:basedOn w:val="1518"/>
    <w:uiPriority w:val="99"/>
    <w:pPr>
      <w:spacing w:after="0" w:line="240" w:lineRule="auto"/>
    </w:pPr>
    <w:tblPr>
      <w:tblStyleRowBandSize w:val="1"/>
      <w:tblStyleColBandSize w:val="1"/>
      <w:tblInd w:w="0" w:type="dxa"/>
    </w:tblPr>
    <w:tblStylePr w:type="band1Horz">
      <w:tcPr>
        <w:shd w:val="clear" w:color="ffffff" w:fill="ffffff" w:themeFill="accent1" w:themeFillTint="40"/>
      </w:tcPr>
    </w:tblStylePr>
    <w:tblStylePr w:type="band1Vert">
      <w:tcPr>
        <w:shd w:val="clear" w:color="ffffff" w:fill="ffffff"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592">
    <w:name w:val="List Table 1 Light - Accent 2"/>
    <w:basedOn w:val="1518"/>
    <w:uiPriority w:val="99"/>
    <w:pPr>
      <w:spacing w:after="0" w:line="240" w:lineRule="auto"/>
    </w:pPr>
    <w:tblPr>
      <w:tblStyleRowBandSize w:val="1"/>
      <w:tblStyleColBandSize w:val="1"/>
      <w:tblInd w:w="0" w:type="dxa"/>
    </w:tblPr>
    <w:tblStylePr w:type="band1Horz">
      <w:tcPr>
        <w:shd w:val="clear" w:color="ffffff" w:fill="ffffff" w:themeFill="accent2" w:themeFillTint="40"/>
      </w:tcPr>
    </w:tblStylePr>
    <w:tblStylePr w:type="band1Vert">
      <w:tcPr>
        <w:shd w:val="clear" w:color="ffffff" w:fill="ffffff"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593">
    <w:name w:val="List Table 1 Light - Accent 3"/>
    <w:basedOn w:val="1518"/>
    <w:uiPriority w:val="99"/>
    <w:pPr>
      <w:spacing w:after="0" w:line="240" w:lineRule="auto"/>
    </w:pPr>
    <w:tblPr>
      <w:tblStyleRowBandSize w:val="1"/>
      <w:tblStyleColBandSize w:val="1"/>
      <w:tblInd w:w="0" w:type="dxa"/>
    </w:tblPr>
    <w:tblStylePr w:type="band1Horz">
      <w:tcPr>
        <w:shd w:val="clear" w:color="ffffff" w:fill="ffffff" w:themeFill="accent3" w:themeFillTint="40"/>
      </w:tcPr>
    </w:tblStylePr>
    <w:tblStylePr w:type="band1Vert">
      <w:tcPr>
        <w:shd w:val="clear" w:color="ffffff" w:fill="ffffff"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594">
    <w:name w:val="List Table 1 Light - Accent 4"/>
    <w:basedOn w:val="1518"/>
    <w:uiPriority w:val="99"/>
    <w:pPr>
      <w:spacing w:after="0" w:line="240" w:lineRule="auto"/>
    </w:pPr>
    <w:tblPr>
      <w:tblStyleRowBandSize w:val="1"/>
      <w:tblStyleColBandSize w:val="1"/>
      <w:tblInd w:w="0" w:type="dxa"/>
    </w:tblPr>
    <w:tblStylePr w:type="band1Horz">
      <w:tcPr>
        <w:shd w:val="clear" w:color="ffffff" w:fill="ffffff" w:themeFill="accent4" w:themeFillTint="40"/>
      </w:tcPr>
    </w:tblStylePr>
    <w:tblStylePr w:type="band1Vert">
      <w:tcPr>
        <w:shd w:val="clear" w:color="ffffff" w:fill="fffff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595">
    <w:name w:val="List Table 1 Light - Accent 5"/>
    <w:basedOn w:val="1518"/>
    <w:uiPriority w:val="99"/>
    <w:pPr>
      <w:spacing w:after="0" w:line="240" w:lineRule="auto"/>
    </w:pPr>
    <w:tblPr>
      <w:tblStyleRowBandSize w:val="1"/>
      <w:tblStyleColBandSize w:val="1"/>
      <w:tblInd w:w="0" w:type="dxa"/>
    </w:tblPr>
    <w:tblStylePr w:type="band1Horz">
      <w:tcPr>
        <w:shd w:val="clear" w:color="ffffff" w:fill="ffffff" w:themeFill="accent5" w:themeFillTint="40"/>
      </w:tcPr>
    </w:tblStylePr>
    <w:tblStylePr w:type="band1Vert">
      <w:tcPr>
        <w:shd w:val="clear" w:color="ffffff" w:fill="ffffff"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596">
    <w:name w:val="List Table 1 Light - Accent 6"/>
    <w:basedOn w:val="1518"/>
    <w:uiPriority w:val="99"/>
    <w:pPr>
      <w:spacing w:after="0" w:line="240" w:lineRule="auto"/>
    </w:pPr>
    <w:tblPr>
      <w:tblStyleRowBandSize w:val="1"/>
      <w:tblStyleColBandSize w:val="1"/>
      <w:tblInd w:w="0" w:type="dxa"/>
    </w:tblPr>
    <w:tblStylePr w:type="band1Horz">
      <w:tcPr>
        <w:shd w:val="clear" w:color="ffffff" w:fill="ffffff" w:themeFill="accent6" w:themeFillTint="40"/>
      </w:tcPr>
    </w:tblStylePr>
    <w:tblStylePr w:type="band1Vert">
      <w:tcPr>
        <w:shd w:val="clear" w:color="ffffff" w:fill="fffff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597">
    <w:name w:val="List Table 2"/>
    <w:basedOn w:val="15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fill="ffffff" w:themeFill="text1" w:themeFillTint="40"/>
      </w:tcPr>
    </w:tblStylePr>
    <w:tblStylePr w:type="band1Vert">
      <w:rPr>
        <w:rFonts w:ascii="Arial" w:hAnsi="Arial"/>
        <w:color w:val="404040"/>
        <w:sz w:val="22"/>
      </w:rPr>
      <w:tcPr>
        <w:shd w:val="clear" w:color="ffffff"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598">
    <w:name w:val="List Table 2 - Accent 1"/>
    <w:basedOn w:val="15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hemeFill="accent1" w:themeFillTint="40"/>
      </w:tcPr>
    </w:tblStylePr>
    <w:tblStylePr w:type="band1Vert">
      <w:rPr>
        <w:rFonts w:ascii="Arial" w:hAnsi="Arial"/>
        <w:color w:val="404040"/>
        <w:sz w:val="22"/>
      </w:rPr>
      <w:tcPr>
        <w:shd w:val="clear" w:color="ffffff"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599">
    <w:name w:val="List Table 2 - Accent 2"/>
    <w:basedOn w:val="15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hemeFill="accent2" w:themeFillTint="40"/>
      </w:tcPr>
    </w:tblStylePr>
    <w:tblStylePr w:type="band1Vert">
      <w:rPr>
        <w:rFonts w:ascii="Arial" w:hAnsi="Arial"/>
        <w:color w:val="404040"/>
        <w:sz w:val="22"/>
      </w:rPr>
      <w:tcPr>
        <w:shd w:val="clear" w:color="ffffff"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600">
    <w:name w:val="List Table 2 - Accent 3"/>
    <w:basedOn w:val="15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hemeFill="accent3" w:themeFillTint="40"/>
      </w:tcPr>
    </w:tblStylePr>
    <w:tblStylePr w:type="band1Vert">
      <w:rPr>
        <w:rFonts w:ascii="Arial" w:hAnsi="Arial"/>
        <w:color w:val="404040"/>
        <w:sz w:val="22"/>
      </w:rPr>
      <w:tcPr>
        <w:shd w:val="clear" w:color="ffffff"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601">
    <w:name w:val="List Table 2 - Accent 4"/>
    <w:basedOn w:val="15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hemeFill="accent4" w:themeFillTint="40"/>
      </w:tcPr>
    </w:tblStylePr>
    <w:tblStylePr w:type="band1Vert">
      <w:rPr>
        <w:rFonts w:ascii="Arial" w:hAnsi="Arial"/>
        <w:color w:val="404040"/>
        <w:sz w:val="22"/>
      </w:rPr>
      <w:tcPr>
        <w:shd w:val="clear" w:color="ffffff"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602">
    <w:name w:val="List Table 2 - Accent 5"/>
    <w:basedOn w:val="15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hemeFill="accent5" w:themeFillTint="40"/>
      </w:tcPr>
    </w:tblStylePr>
    <w:tblStylePr w:type="band1Vert">
      <w:rPr>
        <w:rFonts w:ascii="Arial" w:hAnsi="Arial"/>
        <w:color w:val="404040"/>
        <w:sz w:val="22"/>
      </w:rPr>
      <w:tcPr>
        <w:shd w:val="clear" w:color="ffffff"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603">
    <w:name w:val="List Table 2 - Accent 6"/>
    <w:basedOn w:val="15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hemeFill="accent6" w:themeFillTint="40"/>
      </w:tcPr>
    </w:tblStylePr>
    <w:tblStylePr w:type="band1Vert">
      <w:rPr>
        <w:rFonts w:ascii="Arial" w:hAnsi="Arial"/>
        <w:color w:val="404040"/>
        <w:sz w:val="22"/>
      </w:rPr>
      <w:tcPr>
        <w:shd w:val="clear" w:color="ffffff"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604">
    <w:name w:val="List Table 3"/>
    <w:basedOn w:val="15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fill="ffffff" w:themeFill="text1"/>
      </w:tcPr>
    </w:tblStylePr>
    <w:tblStylePr w:type="lastCol">
      <w:rPr>
        <w:b/>
        <w:color w:val="404040"/>
      </w:rPr>
    </w:tblStylePr>
    <w:tblStylePr w:type="lastRow">
      <w:rPr>
        <w:b/>
        <w:color w:val="404040"/>
      </w:rPr>
    </w:tblStylePr>
  </w:style>
  <w:style w:type="table" w:styleId="1605">
    <w:name w:val="List Table 3 - Accent 1"/>
    <w:basedOn w:val="15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fill="ffffff" w:themeFill="accent1"/>
      </w:tcPr>
    </w:tblStylePr>
    <w:tblStylePr w:type="lastCol">
      <w:rPr>
        <w:b/>
        <w:color w:val="404040"/>
      </w:rPr>
    </w:tblStylePr>
    <w:tblStylePr w:type="lastRow">
      <w:rPr>
        <w:b/>
        <w:color w:val="404040"/>
      </w:rPr>
    </w:tblStylePr>
  </w:style>
  <w:style w:type="table" w:styleId="1606">
    <w:name w:val="List Table 3 - Accent 2"/>
    <w:basedOn w:val="15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fill="ffffff" w:themeFill="accent2" w:themeFillTint="97"/>
      </w:tcPr>
    </w:tblStylePr>
    <w:tblStylePr w:type="lastCol">
      <w:rPr>
        <w:b/>
        <w:color w:val="404040"/>
      </w:rPr>
    </w:tblStylePr>
    <w:tblStylePr w:type="lastRow">
      <w:rPr>
        <w:b/>
        <w:color w:val="404040"/>
      </w:rPr>
    </w:tblStylePr>
  </w:style>
  <w:style w:type="table" w:styleId="1607">
    <w:name w:val="List Table 3 - Accent 3"/>
    <w:basedOn w:val="15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fill="ffffff" w:themeFill="accent3" w:themeFillTint="98"/>
      </w:tcPr>
    </w:tblStylePr>
    <w:tblStylePr w:type="lastCol">
      <w:rPr>
        <w:b/>
        <w:color w:val="404040"/>
      </w:rPr>
    </w:tblStylePr>
    <w:tblStylePr w:type="lastRow">
      <w:rPr>
        <w:b/>
        <w:color w:val="404040"/>
      </w:rPr>
    </w:tblStylePr>
  </w:style>
  <w:style w:type="table" w:styleId="1608">
    <w:name w:val="List Table 3 - Accent 4"/>
    <w:basedOn w:val="15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fill="ffffff" w:themeFill="accent4" w:themeFillTint="9A"/>
      </w:tcPr>
    </w:tblStylePr>
    <w:tblStylePr w:type="lastCol">
      <w:rPr>
        <w:b/>
        <w:color w:val="404040"/>
      </w:rPr>
    </w:tblStylePr>
    <w:tblStylePr w:type="lastRow">
      <w:rPr>
        <w:b/>
        <w:color w:val="404040"/>
      </w:rPr>
    </w:tblStylePr>
  </w:style>
  <w:style w:type="table" w:styleId="1609">
    <w:name w:val="List Table 3 - Accent 5"/>
    <w:basedOn w:val="15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fill="ffffff" w:themeFill="accent5" w:themeFillTint="9A"/>
      </w:tcPr>
    </w:tblStylePr>
    <w:tblStylePr w:type="lastCol">
      <w:rPr>
        <w:b/>
        <w:color w:val="404040"/>
      </w:rPr>
    </w:tblStylePr>
    <w:tblStylePr w:type="lastRow">
      <w:rPr>
        <w:b/>
        <w:color w:val="404040"/>
      </w:rPr>
    </w:tblStylePr>
  </w:style>
  <w:style w:type="table" w:styleId="1610">
    <w:name w:val="List Table 3 - Accent 6"/>
    <w:basedOn w:val="15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fill="ffffff" w:themeFill="accent6" w:themeFillTint="98"/>
      </w:tcPr>
    </w:tblStylePr>
    <w:tblStylePr w:type="lastCol">
      <w:rPr>
        <w:b/>
        <w:color w:val="404040"/>
      </w:rPr>
    </w:tblStylePr>
    <w:tblStylePr w:type="lastRow">
      <w:rPr>
        <w:b/>
        <w:color w:val="404040"/>
      </w:rPr>
    </w:tblStylePr>
  </w:style>
  <w:style w:type="table" w:styleId="1611">
    <w:name w:val="List Table 4"/>
    <w:basedOn w:val="15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fill="ffffff" w:themeFill="text1" w:themeFillTint="40"/>
      </w:tcPr>
    </w:tblStylePr>
    <w:tblStylePr w:type="band1Vert">
      <w:rPr>
        <w:rFonts w:ascii="Arial" w:hAnsi="Arial"/>
        <w:color w:val="404040"/>
        <w:sz w:val="22"/>
      </w:rPr>
      <w:tcPr>
        <w:shd w:val="clear" w:color="ffffff" w:fill="ffffff" w:themeFill="text1" w:themeFillTint="40"/>
      </w:tcPr>
    </w:tblStylePr>
    <w:tblStylePr w:type="firstCol">
      <w:rPr>
        <w:b/>
        <w:color w:val="404040"/>
      </w:rPr>
    </w:tblStylePr>
    <w:tblStylePr w:type="firstRow">
      <w:rPr>
        <w:rFonts w:ascii="Arial" w:hAnsi="Arial"/>
        <w:b/>
        <w:color w:val="ffffff"/>
        <w:sz w:val="22"/>
      </w:rPr>
      <w:tcPr>
        <w:shd w:val="clear" w:color="ffffff" w:fill="ffffff" w:themeFill="text1"/>
      </w:tcPr>
    </w:tblStylePr>
    <w:tblStylePr w:type="lastCol">
      <w:rPr>
        <w:b/>
        <w:color w:val="404040"/>
      </w:rPr>
    </w:tblStylePr>
    <w:tblStylePr w:type="lastRow">
      <w:rPr>
        <w:b/>
        <w:color w:val="404040"/>
      </w:rPr>
    </w:tblStylePr>
  </w:style>
  <w:style w:type="table" w:styleId="1612">
    <w:name w:val="List Table 4 - Accent 1"/>
    <w:basedOn w:val="15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hemeFill="accent1" w:themeFillTint="40"/>
      </w:tcPr>
    </w:tblStylePr>
    <w:tblStylePr w:type="band1Vert">
      <w:rPr>
        <w:rFonts w:ascii="Arial" w:hAnsi="Arial"/>
        <w:color w:val="404040"/>
        <w:sz w:val="22"/>
      </w:rPr>
      <w:tcPr>
        <w:shd w:val="clear" w:color="ffffff" w:fill="ffffff" w:themeFill="accent1" w:themeFillTint="40"/>
      </w:tcPr>
    </w:tblStylePr>
    <w:tblStylePr w:type="firstCol">
      <w:rPr>
        <w:b/>
        <w:color w:val="404040"/>
      </w:rPr>
    </w:tblStylePr>
    <w:tblStylePr w:type="firstRow">
      <w:rPr>
        <w:rFonts w:ascii="Arial" w:hAnsi="Arial"/>
        <w:b/>
        <w:color w:val="ffffff"/>
        <w:sz w:val="22"/>
      </w:rPr>
      <w:tcPr>
        <w:shd w:val="clear" w:color="ffffff" w:fill="ffffff" w:themeFill="accent1"/>
      </w:tcPr>
    </w:tblStylePr>
    <w:tblStylePr w:type="lastCol">
      <w:rPr>
        <w:b/>
        <w:color w:val="404040"/>
      </w:rPr>
    </w:tblStylePr>
    <w:tblStylePr w:type="lastRow">
      <w:rPr>
        <w:b/>
        <w:color w:val="404040"/>
      </w:rPr>
    </w:tblStylePr>
  </w:style>
  <w:style w:type="table" w:styleId="1613">
    <w:name w:val="List Table 4 - Accent 2"/>
    <w:basedOn w:val="15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hemeFill="accent2" w:themeFillTint="40"/>
      </w:tcPr>
    </w:tblStylePr>
    <w:tblStylePr w:type="band1Vert">
      <w:rPr>
        <w:rFonts w:ascii="Arial" w:hAnsi="Arial"/>
        <w:color w:val="404040"/>
        <w:sz w:val="22"/>
      </w:rPr>
      <w:tcPr>
        <w:shd w:val="clear" w:color="ffffff" w:fill="ffffff" w:themeFill="accent2" w:themeFillTint="40"/>
      </w:tcPr>
    </w:tblStylePr>
    <w:tblStylePr w:type="firstCol">
      <w:rPr>
        <w:b/>
        <w:color w:val="404040"/>
      </w:rPr>
    </w:tblStylePr>
    <w:tblStylePr w:type="firstRow">
      <w:rPr>
        <w:rFonts w:ascii="Arial" w:hAnsi="Arial"/>
        <w:b/>
        <w:color w:val="ffffff"/>
        <w:sz w:val="22"/>
      </w:rPr>
      <w:tcPr>
        <w:shd w:val="clear" w:color="ffffff" w:fill="ffffff" w:themeFill="accent2"/>
      </w:tcPr>
    </w:tblStylePr>
    <w:tblStylePr w:type="lastCol">
      <w:rPr>
        <w:b/>
        <w:color w:val="404040"/>
      </w:rPr>
    </w:tblStylePr>
    <w:tblStylePr w:type="lastRow">
      <w:rPr>
        <w:b/>
        <w:color w:val="404040"/>
      </w:rPr>
    </w:tblStylePr>
  </w:style>
  <w:style w:type="table" w:styleId="1614">
    <w:name w:val="List Table 4 - Accent 3"/>
    <w:basedOn w:val="15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hemeFill="accent3" w:themeFillTint="40"/>
      </w:tcPr>
    </w:tblStylePr>
    <w:tblStylePr w:type="band1Vert">
      <w:rPr>
        <w:rFonts w:ascii="Arial" w:hAnsi="Arial"/>
        <w:color w:val="404040"/>
        <w:sz w:val="22"/>
      </w:rPr>
      <w:tcPr>
        <w:shd w:val="clear" w:color="ffffff" w:fill="ffffff" w:themeFill="accent3" w:themeFillTint="40"/>
      </w:tcPr>
    </w:tblStylePr>
    <w:tblStylePr w:type="firstCol">
      <w:rPr>
        <w:b/>
        <w:color w:val="404040"/>
      </w:rPr>
    </w:tblStylePr>
    <w:tblStylePr w:type="firstRow">
      <w:rPr>
        <w:rFonts w:ascii="Arial" w:hAnsi="Arial"/>
        <w:b/>
        <w:color w:val="ffffff"/>
        <w:sz w:val="22"/>
      </w:rPr>
      <w:tcPr>
        <w:shd w:val="clear" w:color="ffffff" w:fill="ffffff" w:themeFill="accent3"/>
      </w:tcPr>
    </w:tblStylePr>
    <w:tblStylePr w:type="lastCol">
      <w:rPr>
        <w:b/>
        <w:color w:val="404040"/>
      </w:rPr>
    </w:tblStylePr>
    <w:tblStylePr w:type="lastRow">
      <w:rPr>
        <w:b/>
        <w:color w:val="404040"/>
      </w:rPr>
    </w:tblStylePr>
  </w:style>
  <w:style w:type="table" w:styleId="1615">
    <w:name w:val="List Table 4 - Accent 4"/>
    <w:basedOn w:val="15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hemeFill="accent4" w:themeFillTint="40"/>
      </w:tcPr>
    </w:tblStylePr>
    <w:tblStylePr w:type="band1Vert">
      <w:rPr>
        <w:rFonts w:ascii="Arial" w:hAnsi="Arial"/>
        <w:color w:val="404040"/>
        <w:sz w:val="22"/>
      </w:rPr>
      <w:tcPr>
        <w:shd w:val="clear" w:color="ffffff" w:fill="ffffff" w:themeFill="accent4" w:themeFillTint="40"/>
      </w:tcPr>
    </w:tblStylePr>
    <w:tblStylePr w:type="firstCol">
      <w:rPr>
        <w:b/>
        <w:color w:val="404040"/>
      </w:rPr>
    </w:tblStylePr>
    <w:tblStylePr w:type="firstRow">
      <w:rPr>
        <w:rFonts w:ascii="Arial" w:hAnsi="Arial"/>
        <w:b/>
        <w:color w:val="ffffff"/>
        <w:sz w:val="22"/>
      </w:rPr>
      <w:tcPr>
        <w:shd w:val="clear" w:color="ffffff" w:fill="ffffff" w:themeFill="accent4"/>
      </w:tcPr>
    </w:tblStylePr>
    <w:tblStylePr w:type="lastCol">
      <w:rPr>
        <w:b/>
        <w:color w:val="404040"/>
      </w:rPr>
    </w:tblStylePr>
    <w:tblStylePr w:type="lastRow">
      <w:rPr>
        <w:b/>
        <w:color w:val="404040"/>
      </w:rPr>
    </w:tblStylePr>
  </w:style>
  <w:style w:type="table" w:styleId="1616">
    <w:name w:val="List Table 4 - Accent 5"/>
    <w:basedOn w:val="15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hemeFill="accent5" w:themeFillTint="40"/>
      </w:tcPr>
    </w:tblStylePr>
    <w:tblStylePr w:type="band1Vert">
      <w:rPr>
        <w:rFonts w:ascii="Arial" w:hAnsi="Arial"/>
        <w:color w:val="404040"/>
        <w:sz w:val="22"/>
      </w:rPr>
      <w:tcPr>
        <w:shd w:val="clear" w:color="ffffff" w:fill="ffffff" w:themeFill="accent5" w:themeFillTint="40"/>
      </w:tcPr>
    </w:tblStylePr>
    <w:tblStylePr w:type="firstCol">
      <w:rPr>
        <w:b/>
        <w:color w:val="404040"/>
      </w:rPr>
    </w:tblStylePr>
    <w:tblStylePr w:type="firstRow">
      <w:rPr>
        <w:rFonts w:ascii="Arial" w:hAnsi="Arial"/>
        <w:b/>
        <w:color w:val="ffffff"/>
        <w:sz w:val="22"/>
      </w:rPr>
      <w:tcPr>
        <w:shd w:val="clear" w:color="ffffff" w:fill="ffffff" w:themeFill="accent5"/>
      </w:tcPr>
    </w:tblStylePr>
    <w:tblStylePr w:type="lastCol">
      <w:rPr>
        <w:b/>
        <w:color w:val="404040"/>
      </w:rPr>
    </w:tblStylePr>
    <w:tblStylePr w:type="lastRow">
      <w:rPr>
        <w:b/>
        <w:color w:val="404040"/>
      </w:rPr>
    </w:tblStylePr>
  </w:style>
  <w:style w:type="table" w:styleId="1617">
    <w:name w:val="List Table 4 - Accent 6"/>
    <w:basedOn w:val="15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hemeFill="accent6" w:themeFillTint="40"/>
      </w:tcPr>
    </w:tblStylePr>
    <w:tblStylePr w:type="band1Vert">
      <w:rPr>
        <w:rFonts w:ascii="Arial" w:hAnsi="Arial"/>
        <w:color w:val="404040"/>
        <w:sz w:val="22"/>
      </w:rPr>
      <w:tcPr>
        <w:shd w:val="clear" w:color="ffffff" w:fill="ffffff" w:themeFill="accent6" w:themeFillTint="40"/>
      </w:tcPr>
    </w:tblStylePr>
    <w:tblStylePr w:type="firstCol">
      <w:rPr>
        <w:b/>
        <w:color w:val="404040"/>
      </w:rPr>
    </w:tblStylePr>
    <w:tblStylePr w:type="firstRow">
      <w:rPr>
        <w:rFonts w:ascii="Arial" w:hAnsi="Arial"/>
        <w:b/>
        <w:color w:val="ffffff"/>
        <w:sz w:val="22"/>
      </w:rPr>
      <w:tcPr>
        <w:shd w:val="clear" w:color="ffffff" w:fill="ffffff" w:themeFill="accent6"/>
      </w:tcPr>
    </w:tblStylePr>
    <w:tblStylePr w:type="lastCol">
      <w:rPr>
        <w:b/>
        <w:color w:val="404040"/>
      </w:rPr>
    </w:tblStylePr>
    <w:tblStylePr w:type="lastRow">
      <w:rPr>
        <w:b/>
        <w:color w:val="404040"/>
      </w:rPr>
    </w:tblStylePr>
  </w:style>
  <w:style w:type="table" w:styleId="1618">
    <w:name w:val="List Table 5 Dark"/>
    <w:basedOn w:val="15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fill="ffffff" w:themeFill="text1" w:themeFillTint="80"/>
    </w:tblPr>
    <w:tblStylePr w:type="band1Horz">
      <w:tcPr>
        <w:shd w:val="clear" w:color="ffffff" w:fill="ffffff" w:themeFill="text1" w:themeFillTint="80"/>
        <w:tcBorders>
          <w:top w:val="single" w:color="000000" w:themeColor="light1" w:sz="4" w:space="0"/>
          <w:bottom w:val="single" w:color="000000" w:themeColor="light1" w:sz="4" w:space="0"/>
        </w:tcBorders>
      </w:tcPr>
    </w:tblStylePr>
    <w:tblStylePr w:type="band1Vert">
      <w:tcPr>
        <w:shd w:val="clear" w:color="ffffff" w:fill="ffffff" w:themeFill="text1" w:themeFillTint="80"/>
        <w:tcBorders>
          <w:left w:val="single" w:color="000000" w:themeColor="light1" w:sz="4" w:space="0"/>
          <w:right w:val="single" w:color="000000" w:themeColor="light1" w:sz="4" w:space="0"/>
        </w:tcBorders>
      </w:tcPr>
    </w:tblStylePr>
    <w:tblStylePr w:type="band2Horz">
      <w:tcPr>
        <w:shd w:val="clear" w:color="ffffff" w:fill="fffff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19">
    <w:name w:val="List Table 5 Dark - Accent 1"/>
    <w:basedOn w:val="15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fill="ffffff" w:themeFill="accent1"/>
    </w:tblPr>
    <w:tblStylePr w:type="band1Horz">
      <w:tcPr>
        <w:shd w:val="clear" w:color="ffffff" w:fill="ffffff" w:themeFill="accent1"/>
        <w:tcBorders>
          <w:top w:val="single" w:color="000000" w:themeColor="light1" w:sz="4" w:space="0"/>
          <w:bottom w:val="single" w:color="000000" w:themeColor="light1" w:sz="4" w:space="0"/>
        </w:tcBorders>
      </w:tcPr>
    </w:tblStylePr>
    <w:tblStylePr w:type="band1Vert">
      <w:tcPr>
        <w:shd w:val="clear" w:color="ffffff" w:fill="ffffff" w:themeFill="accent1"/>
        <w:tcBorders>
          <w:left w:val="single" w:color="000000" w:themeColor="light1" w:sz="4" w:space="0"/>
          <w:right w:val="single" w:color="000000" w:themeColor="light1" w:sz="4" w:space="0"/>
        </w:tcBorders>
      </w:tcPr>
    </w:tblStylePr>
    <w:tblStylePr w:type="band2Horz">
      <w:tcPr>
        <w:shd w:val="clear" w:color="ffffff" w:fill="ffffff"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20">
    <w:name w:val="List Table 5 Dark - Accent 2"/>
    <w:basedOn w:val="15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fill="ffffff" w:themeFill="accent2" w:themeFillTint="97"/>
    </w:tblPr>
    <w:tblStylePr w:type="band1Horz">
      <w:tcPr>
        <w:shd w:val="clear" w:color="ffffff" w:fill="ffffff" w:themeFill="accent2" w:themeFillTint="97"/>
        <w:tcBorders>
          <w:top w:val="single" w:color="000000" w:themeColor="light1" w:sz="4" w:space="0"/>
          <w:bottom w:val="single" w:color="000000" w:themeColor="light1" w:sz="4" w:space="0"/>
        </w:tcBorders>
      </w:tcPr>
    </w:tblStylePr>
    <w:tblStylePr w:type="band1Vert">
      <w:tcPr>
        <w:shd w:val="clear" w:color="ffffff" w:fill="ffffff" w:themeFill="accent2" w:themeFillTint="97"/>
        <w:tcBorders>
          <w:left w:val="single" w:color="000000" w:themeColor="light1" w:sz="4" w:space="0"/>
          <w:right w:val="single" w:color="000000" w:themeColor="light1" w:sz="4" w:space="0"/>
        </w:tcBorders>
      </w:tcPr>
    </w:tblStylePr>
    <w:tblStylePr w:type="band2Horz">
      <w:tcPr>
        <w:shd w:val="clear" w:color="ffffff" w:fill="ffffff"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21">
    <w:name w:val="List Table 5 Dark - Accent 3"/>
    <w:basedOn w:val="15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fill="ffffff" w:themeFill="accent3" w:themeFillTint="98"/>
    </w:tblPr>
    <w:tblStylePr w:type="band1Horz">
      <w:tcPr>
        <w:shd w:val="clear" w:color="ffffff" w:fill="ffffff" w:themeFill="accent3" w:themeFillTint="98"/>
        <w:tcBorders>
          <w:top w:val="single" w:color="000000" w:themeColor="light1" w:sz="4" w:space="0"/>
          <w:bottom w:val="single" w:color="000000" w:themeColor="light1" w:sz="4" w:space="0"/>
        </w:tcBorders>
      </w:tcPr>
    </w:tblStylePr>
    <w:tblStylePr w:type="band1Vert">
      <w:tcPr>
        <w:shd w:val="clear" w:color="ffffff" w:fill="ffffff" w:themeFill="accent3" w:themeFillTint="98"/>
        <w:tcBorders>
          <w:left w:val="single" w:color="000000" w:themeColor="light1" w:sz="4" w:space="0"/>
          <w:right w:val="single" w:color="000000" w:themeColor="light1" w:sz="4" w:space="0"/>
        </w:tcBorders>
      </w:tcPr>
    </w:tblStylePr>
    <w:tblStylePr w:type="band2Horz">
      <w:tcPr>
        <w:shd w:val="clear" w:color="ffffff" w:fill="ffffff"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22">
    <w:name w:val="List Table 5 Dark - Accent 4"/>
    <w:basedOn w:val="15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fill="ffffff" w:themeFill="accent4" w:themeFillTint="9A"/>
    </w:tblPr>
    <w:tblStylePr w:type="band1Horz">
      <w:tcPr>
        <w:shd w:val="clear" w:color="ffffff" w:fill="ffffff" w:themeFill="accent4" w:themeFillTint="9A"/>
        <w:tcBorders>
          <w:top w:val="single" w:color="000000" w:themeColor="light1" w:sz="4" w:space="0"/>
          <w:bottom w:val="single" w:color="000000" w:themeColor="light1" w:sz="4" w:space="0"/>
        </w:tcBorders>
      </w:tcPr>
    </w:tblStylePr>
    <w:tblStylePr w:type="band1Vert">
      <w:tcPr>
        <w:shd w:val="clear" w:color="ffffff" w:fill="ffffff" w:themeFill="accent4" w:themeFillTint="9A"/>
        <w:tcBorders>
          <w:left w:val="single" w:color="000000" w:themeColor="light1" w:sz="4" w:space="0"/>
          <w:right w:val="single" w:color="000000" w:themeColor="light1" w:sz="4" w:space="0"/>
        </w:tcBorders>
      </w:tcPr>
    </w:tblStylePr>
    <w:tblStylePr w:type="band2Horz">
      <w:tcPr>
        <w:shd w:val="clear" w:color="ffffff" w:fill="ffffff"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23">
    <w:name w:val="List Table 5 Dark - Accent 5"/>
    <w:basedOn w:val="15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fill="ffffff" w:themeFill="accent5" w:themeFillTint="9A"/>
    </w:tblPr>
    <w:tblStylePr w:type="band1Horz">
      <w:tcPr>
        <w:shd w:val="clear" w:color="ffffff" w:fill="ffffff" w:themeFill="accent5" w:themeFillTint="9A"/>
        <w:tcBorders>
          <w:top w:val="single" w:color="000000" w:themeColor="light1" w:sz="4" w:space="0"/>
          <w:bottom w:val="single" w:color="000000" w:themeColor="light1" w:sz="4" w:space="0"/>
        </w:tcBorders>
      </w:tcPr>
    </w:tblStylePr>
    <w:tblStylePr w:type="band1Vert">
      <w:tcPr>
        <w:shd w:val="clear" w:color="ffffff" w:fill="ffffff" w:themeFill="accent5" w:themeFillTint="9A"/>
        <w:tcBorders>
          <w:left w:val="single" w:color="000000" w:themeColor="light1" w:sz="4" w:space="0"/>
          <w:right w:val="single" w:color="000000" w:themeColor="light1" w:sz="4" w:space="0"/>
        </w:tcBorders>
      </w:tcPr>
    </w:tblStylePr>
    <w:tblStylePr w:type="band2Horz">
      <w:tcPr>
        <w:shd w:val="clear" w:color="ffffff" w:fill="ffffff"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24">
    <w:name w:val="List Table 5 Dark - Accent 6"/>
    <w:basedOn w:val="15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fill="ffffff" w:themeFill="accent6" w:themeFillTint="98"/>
    </w:tblPr>
    <w:tblStylePr w:type="band1Horz">
      <w:tcPr>
        <w:shd w:val="clear" w:color="ffffff" w:fill="ffffff" w:themeFill="accent6" w:themeFillTint="98"/>
        <w:tcBorders>
          <w:top w:val="single" w:color="000000" w:themeColor="light1" w:sz="4" w:space="0"/>
          <w:bottom w:val="single" w:color="000000" w:themeColor="light1" w:sz="4" w:space="0"/>
        </w:tcBorders>
      </w:tcPr>
    </w:tblStylePr>
    <w:tblStylePr w:type="band1Vert">
      <w:tcPr>
        <w:shd w:val="clear" w:color="ffffff" w:fill="ffffff" w:themeFill="accent6" w:themeFillTint="98"/>
        <w:tcBorders>
          <w:left w:val="single" w:color="000000" w:themeColor="light1" w:sz="4" w:space="0"/>
          <w:right w:val="single" w:color="000000" w:themeColor="light1" w:sz="4" w:space="0"/>
        </w:tcBorders>
      </w:tcPr>
    </w:tblStylePr>
    <w:tblStylePr w:type="band2Horz">
      <w:tcPr>
        <w:shd w:val="clear" w:color="ffffff" w:fill="fffff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25">
    <w:name w:val="List Table 6 Colorful"/>
    <w:basedOn w:val="15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fill="ffffff" w:themeFill="text1" w:themeFillTint="40"/>
      </w:tcPr>
    </w:tblStylePr>
    <w:tblStylePr w:type="band1Vert">
      <w:tcPr>
        <w:shd w:val="clear" w:color="ffffff"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626">
    <w:name w:val="List Table 6 Colorful - Accent 1"/>
    <w:basedOn w:val="15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fill="ffffff" w:themeFill="accent1" w:themeFillTint="40"/>
      </w:tcPr>
    </w:tblStylePr>
    <w:tblStylePr w:type="band1Vert">
      <w:tcPr>
        <w:shd w:val="clear" w:color="ffffff" w:fill="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627">
    <w:name w:val="List Table 6 Colorful - Accent 2"/>
    <w:basedOn w:val="15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hemeFill="accent2" w:themeFillTint="40"/>
      </w:tcPr>
    </w:tblStylePr>
    <w:tblStylePr w:type="band1Vert">
      <w:tcPr>
        <w:shd w:val="clear" w:color="ffffff"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628">
    <w:name w:val="List Table 6 Colorful - Accent 3"/>
    <w:basedOn w:val="15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fill="ffffff" w:themeFill="accent3" w:themeFillTint="40"/>
      </w:tcPr>
    </w:tblStylePr>
    <w:tblStylePr w:type="band1Vert">
      <w:tcPr>
        <w:shd w:val="clear" w:color="ffffff"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629">
    <w:name w:val="List Table 6 Colorful - Accent 4"/>
    <w:basedOn w:val="15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hemeFill="accent4" w:themeFillTint="40"/>
      </w:tcPr>
    </w:tblStylePr>
    <w:tblStylePr w:type="band1Vert">
      <w:tcPr>
        <w:shd w:val="clear" w:color="ffffff"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630">
    <w:name w:val="List Table 6 Colorful - Accent 5"/>
    <w:basedOn w:val="15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fill="ffffff" w:themeFill="accent5" w:themeFillTint="40"/>
      </w:tcPr>
    </w:tblStylePr>
    <w:tblStylePr w:type="band1Vert">
      <w:tcPr>
        <w:shd w:val="clear" w:color="ffffff" w:fill="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631">
    <w:name w:val="List Table 6 Colorful - Accent 6"/>
    <w:basedOn w:val="15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fill="ffffff" w:themeFill="accent6" w:themeFillTint="40"/>
      </w:tcPr>
    </w:tblStylePr>
    <w:tblStylePr w:type="band1Vert">
      <w:tcPr>
        <w:shd w:val="clear" w:color="ffffff"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632">
    <w:name w:val="List Table 7 Colorful"/>
    <w:basedOn w:val="15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fill="ffffff" w:themeFill="text1" w:themeFillTint="40"/>
      </w:tcPr>
    </w:tblStylePr>
    <w:tblStylePr w:type="band1Vert">
      <w:tcPr>
        <w:shd w:val="clear" w:color="ffffff"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633">
    <w:name w:val="List Table 7 Colorful - Accent 1"/>
    <w:basedOn w:val="15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fill="ffffff" w:themeFill="accent1" w:themeFillTint="40"/>
      </w:tcPr>
    </w:tblStylePr>
    <w:tblStylePr w:type="band1Vert">
      <w:tcPr>
        <w:shd w:val="clear" w:color="ffffff" w:fill="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fill="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1634">
    <w:name w:val="List Table 7 Colorful - Accent 2"/>
    <w:basedOn w:val="15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fill="ffffff" w:themeFill="accent2" w:themeFillTint="40"/>
      </w:tcPr>
    </w:tblStylePr>
    <w:tblStylePr w:type="band1Vert">
      <w:tcPr>
        <w:shd w:val="clear" w:color="ffffff"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1635">
    <w:name w:val="List Table 7 Colorful - Accent 3"/>
    <w:basedOn w:val="15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fill="ffffff" w:themeFill="accent3" w:themeFillTint="40"/>
      </w:tcPr>
    </w:tblStylePr>
    <w:tblStylePr w:type="band1Vert">
      <w:tcPr>
        <w:shd w:val="clear" w:color="ffffff"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fill="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1636">
    <w:name w:val="List Table 7 Colorful - Accent 4"/>
    <w:basedOn w:val="15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fill="ffffff" w:themeFill="accent4" w:themeFillTint="40"/>
      </w:tcPr>
    </w:tblStylePr>
    <w:tblStylePr w:type="band1Vert">
      <w:tcPr>
        <w:shd w:val="clear" w:color="ffffff"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1637">
    <w:name w:val="List Table 7 Colorful - Accent 5"/>
    <w:basedOn w:val="15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fill="ffffff" w:themeFill="accent5" w:themeFillTint="40"/>
      </w:tcPr>
    </w:tblStylePr>
    <w:tblStylePr w:type="band1Vert">
      <w:tcPr>
        <w:shd w:val="clear" w:color="ffffff" w:fill="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fill="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1638">
    <w:name w:val="List Table 7 Colorful - Accent 6"/>
    <w:basedOn w:val="15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fill="ffffff" w:themeFill="accent6" w:themeFillTint="40"/>
      </w:tcPr>
    </w:tblStylePr>
    <w:tblStylePr w:type="band1Vert">
      <w:tcPr>
        <w:shd w:val="clear" w:color="ffffff"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fill="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1639">
    <w:name w:val="Lined - Accent"/>
    <w:basedOn w:val="15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text1" w:themeFillTint="0D"/>
      </w:tcPr>
    </w:tblStylePr>
    <w:tblStylePr w:type="band2Vert">
      <w:rPr>
        <w:rFonts w:ascii="Arial" w:hAnsi="Arial"/>
        <w:color w:val="404040"/>
        <w:sz w:val="22"/>
      </w:rPr>
      <w:tcPr>
        <w:shd w:val="clear" w:color="ffffff" w:fill="ffffff" w:themeFill="text1" w:themeFillTint="0D"/>
      </w:tcPr>
    </w:tblStylePr>
    <w:tblStylePr w:type="firstCol">
      <w:rPr>
        <w:rFonts w:ascii="Arial" w:hAnsi="Arial"/>
        <w:color w:val="f2f2f2"/>
        <w:sz w:val="22"/>
      </w:rPr>
      <w:tcPr>
        <w:shd w:val="clear" w:color="ffffff" w:fill="ffffff" w:themeFill="text1" w:themeFillTint="80"/>
      </w:tcPr>
    </w:tblStylePr>
    <w:tblStylePr w:type="firstRow">
      <w:rPr>
        <w:rFonts w:ascii="Arial" w:hAnsi="Arial"/>
        <w:color w:val="f2f2f2"/>
        <w:sz w:val="22"/>
      </w:rPr>
      <w:tcPr>
        <w:shd w:val="clear" w:color="ffffff" w:fill="ffffff" w:themeFill="text1" w:themeFillTint="80"/>
      </w:tcPr>
    </w:tblStylePr>
    <w:tblStylePr w:type="lastCol">
      <w:rPr>
        <w:rFonts w:ascii="Arial" w:hAnsi="Arial"/>
        <w:color w:val="f2f2f2"/>
        <w:sz w:val="22"/>
      </w:rPr>
      <w:tcPr>
        <w:shd w:val="clear" w:color="ffffff" w:fill="ffffff" w:themeFill="text1" w:themeFillTint="80"/>
      </w:tcPr>
    </w:tblStylePr>
    <w:tblStylePr w:type="lastRow">
      <w:rPr>
        <w:rFonts w:ascii="Arial" w:hAnsi="Arial"/>
        <w:color w:val="f2f2f2"/>
        <w:sz w:val="22"/>
      </w:rPr>
      <w:tcPr>
        <w:shd w:val="clear" w:color="ffffff" w:fill="ffffff" w:themeFill="text1" w:themeFillTint="80"/>
      </w:tcPr>
    </w:tblStylePr>
  </w:style>
  <w:style w:type="table" w:styleId="1640">
    <w:name w:val="Lined - Accent 1"/>
    <w:basedOn w:val="15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accent1" w:themeFillTint="50"/>
      </w:tcPr>
    </w:tblStylePr>
    <w:tblStylePr w:type="band2Vert">
      <w:rPr>
        <w:rFonts w:ascii="Arial" w:hAnsi="Arial"/>
        <w:color w:val="404040"/>
        <w:sz w:val="22"/>
      </w:rPr>
      <w:tcPr>
        <w:shd w:val="clear" w:color="ffffff" w:fill="ffffff" w:themeFill="accent1" w:themeFillTint="50"/>
      </w:tcPr>
    </w:tblStylePr>
    <w:tblStylePr w:type="firstCol">
      <w:rPr>
        <w:rFonts w:ascii="Arial" w:hAnsi="Arial"/>
        <w:color w:val="f2f2f2"/>
        <w:sz w:val="22"/>
      </w:rPr>
      <w:tcPr>
        <w:shd w:val="clear" w:color="ffffff" w:fill="ffffff" w:themeFill="accent1" w:themeFillTint="EA"/>
      </w:tcPr>
    </w:tblStylePr>
    <w:tblStylePr w:type="firstRow">
      <w:rPr>
        <w:rFonts w:ascii="Arial" w:hAnsi="Arial"/>
        <w:color w:val="f2f2f2"/>
        <w:sz w:val="22"/>
      </w:rPr>
      <w:tcPr>
        <w:shd w:val="clear" w:color="ffffff" w:fill="ffffff" w:themeFill="accent1" w:themeFillTint="EA"/>
      </w:tcPr>
    </w:tblStylePr>
    <w:tblStylePr w:type="lastCol">
      <w:rPr>
        <w:rFonts w:ascii="Arial" w:hAnsi="Arial"/>
        <w:color w:val="f2f2f2"/>
        <w:sz w:val="22"/>
      </w:rPr>
      <w:tcPr>
        <w:shd w:val="clear" w:color="ffffff" w:fill="ffffff" w:themeFill="accent1" w:themeFillTint="EA"/>
      </w:tcPr>
    </w:tblStylePr>
    <w:tblStylePr w:type="lastRow">
      <w:rPr>
        <w:rFonts w:ascii="Arial" w:hAnsi="Arial"/>
        <w:color w:val="f2f2f2"/>
        <w:sz w:val="22"/>
      </w:rPr>
      <w:tcPr>
        <w:shd w:val="clear" w:color="ffffff" w:fill="ffffff" w:themeFill="accent1" w:themeFillTint="EA"/>
      </w:tcPr>
    </w:tblStylePr>
  </w:style>
  <w:style w:type="table" w:styleId="1641">
    <w:name w:val="Lined - Accent 2"/>
    <w:basedOn w:val="15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accent2" w:themeFillTint="32"/>
      </w:tcPr>
    </w:tblStylePr>
    <w:tblStylePr w:type="band2Vert">
      <w:rPr>
        <w:rFonts w:ascii="Arial" w:hAnsi="Arial"/>
        <w:color w:val="404040"/>
        <w:sz w:val="22"/>
      </w:rPr>
      <w:tcPr>
        <w:shd w:val="clear" w:color="ffffff" w:fill="ffffff" w:themeFill="accent2" w:themeFillTint="32"/>
      </w:tcPr>
    </w:tblStylePr>
    <w:tblStylePr w:type="firstCol">
      <w:rPr>
        <w:rFonts w:ascii="Arial" w:hAnsi="Arial"/>
        <w:color w:val="f2f2f2"/>
        <w:sz w:val="22"/>
      </w:rPr>
      <w:tcPr>
        <w:shd w:val="clear" w:color="ffffff" w:fill="ffffff" w:themeFill="accent2" w:themeFillTint="97"/>
      </w:tcPr>
    </w:tblStylePr>
    <w:tblStylePr w:type="firstRow">
      <w:rPr>
        <w:rFonts w:ascii="Arial" w:hAnsi="Arial"/>
        <w:color w:val="f2f2f2"/>
        <w:sz w:val="22"/>
      </w:rPr>
      <w:tcPr>
        <w:shd w:val="clear" w:color="ffffff" w:fill="ffffff" w:themeFill="accent2" w:themeFillTint="97"/>
      </w:tcPr>
    </w:tblStylePr>
    <w:tblStylePr w:type="lastCol">
      <w:rPr>
        <w:rFonts w:ascii="Arial" w:hAnsi="Arial"/>
        <w:color w:val="f2f2f2"/>
        <w:sz w:val="22"/>
      </w:rPr>
      <w:tcPr>
        <w:shd w:val="clear" w:color="ffffff" w:fill="ffffff" w:themeFill="accent2" w:themeFillTint="97"/>
      </w:tcPr>
    </w:tblStylePr>
    <w:tblStylePr w:type="lastRow">
      <w:rPr>
        <w:rFonts w:ascii="Arial" w:hAnsi="Arial"/>
        <w:color w:val="f2f2f2"/>
        <w:sz w:val="22"/>
      </w:rPr>
      <w:tcPr>
        <w:shd w:val="clear" w:color="ffffff" w:fill="ffffff" w:themeFill="accent2" w:themeFillTint="97"/>
      </w:tcPr>
    </w:tblStylePr>
  </w:style>
  <w:style w:type="table" w:styleId="1642">
    <w:name w:val="Lined - Accent 3"/>
    <w:basedOn w:val="15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accent3" w:themeFillTint="34"/>
      </w:tcPr>
    </w:tblStylePr>
    <w:tblStylePr w:type="band2Vert">
      <w:rPr>
        <w:rFonts w:ascii="Arial" w:hAnsi="Arial"/>
        <w:color w:val="404040"/>
        <w:sz w:val="22"/>
      </w:rPr>
      <w:tcPr>
        <w:shd w:val="clear" w:color="ffffff" w:fill="ffffff" w:themeFill="accent3" w:themeFillTint="34"/>
      </w:tcPr>
    </w:tblStylePr>
    <w:tblStylePr w:type="firstCol">
      <w:rPr>
        <w:rFonts w:ascii="Arial" w:hAnsi="Arial"/>
        <w:color w:val="f2f2f2"/>
        <w:sz w:val="22"/>
      </w:rPr>
      <w:tcPr>
        <w:shd w:val="clear" w:color="ffffff" w:fill="ffffff" w:themeFill="accent3" w:themeFillTint="FE"/>
      </w:tcPr>
    </w:tblStylePr>
    <w:tblStylePr w:type="firstRow">
      <w:rPr>
        <w:rFonts w:ascii="Arial" w:hAnsi="Arial"/>
        <w:color w:val="f2f2f2"/>
        <w:sz w:val="22"/>
      </w:rPr>
      <w:tcPr>
        <w:shd w:val="clear" w:color="ffffff" w:fill="ffffff" w:themeFill="accent3" w:themeFillTint="FE"/>
      </w:tcPr>
    </w:tblStylePr>
    <w:tblStylePr w:type="lastCol">
      <w:rPr>
        <w:rFonts w:ascii="Arial" w:hAnsi="Arial"/>
        <w:color w:val="f2f2f2"/>
        <w:sz w:val="22"/>
      </w:rPr>
      <w:tcPr>
        <w:shd w:val="clear" w:color="ffffff" w:fill="ffffff" w:themeFill="accent3" w:themeFillTint="FE"/>
      </w:tcPr>
    </w:tblStylePr>
    <w:tblStylePr w:type="lastRow">
      <w:rPr>
        <w:rFonts w:ascii="Arial" w:hAnsi="Arial"/>
        <w:color w:val="f2f2f2"/>
        <w:sz w:val="22"/>
      </w:rPr>
      <w:tcPr>
        <w:shd w:val="clear" w:color="ffffff" w:fill="ffffff" w:themeFill="accent3" w:themeFillTint="FE"/>
      </w:tcPr>
    </w:tblStylePr>
  </w:style>
  <w:style w:type="table" w:styleId="1643">
    <w:name w:val="Lined - Accent 4"/>
    <w:basedOn w:val="15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accent4" w:themeFillTint="34"/>
      </w:tcPr>
    </w:tblStylePr>
    <w:tblStylePr w:type="band2Vert">
      <w:rPr>
        <w:rFonts w:ascii="Arial" w:hAnsi="Arial"/>
        <w:color w:val="404040"/>
        <w:sz w:val="22"/>
      </w:rPr>
      <w:tcPr>
        <w:shd w:val="clear" w:color="ffffff" w:fill="ffffff" w:themeFill="accent4" w:themeFillTint="34"/>
      </w:tcPr>
    </w:tblStylePr>
    <w:tblStylePr w:type="firstCol">
      <w:rPr>
        <w:rFonts w:ascii="Arial" w:hAnsi="Arial"/>
        <w:color w:val="f2f2f2"/>
        <w:sz w:val="22"/>
      </w:rPr>
      <w:tcPr>
        <w:shd w:val="clear" w:color="ffffff" w:fill="ffffff" w:themeFill="accent4" w:themeFillTint="9A"/>
      </w:tcPr>
    </w:tblStylePr>
    <w:tblStylePr w:type="firstRow">
      <w:rPr>
        <w:rFonts w:ascii="Arial" w:hAnsi="Arial"/>
        <w:color w:val="f2f2f2"/>
        <w:sz w:val="22"/>
      </w:rPr>
      <w:tcPr>
        <w:shd w:val="clear" w:color="ffffff" w:fill="ffffff" w:themeFill="accent4" w:themeFillTint="9A"/>
      </w:tcPr>
    </w:tblStylePr>
    <w:tblStylePr w:type="lastCol">
      <w:rPr>
        <w:rFonts w:ascii="Arial" w:hAnsi="Arial"/>
        <w:color w:val="f2f2f2"/>
        <w:sz w:val="22"/>
      </w:rPr>
      <w:tcPr>
        <w:shd w:val="clear" w:color="ffffff" w:fill="ffffff" w:themeFill="accent4" w:themeFillTint="9A"/>
      </w:tcPr>
    </w:tblStylePr>
    <w:tblStylePr w:type="lastRow">
      <w:rPr>
        <w:rFonts w:ascii="Arial" w:hAnsi="Arial"/>
        <w:color w:val="f2f2f2"/>
        <w:sz w:val="22"/>
      </w:rPr>
      <w:tcPr>
        <w:shd w:val="clear" w:color="ffffff" w:fill="ffffff" w:themeFill="accent4" w:themeFillTint="9A"/>
      </w:tcPr>
    </w:tblStylePr>
  </w:style>
  <w:style w:type="table" w:styleId="1644">
    <w:name w:val="Lined - Accent 5"/>
    <w:basedOn w:val="15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accent5" w:themeFillTint="34"/>
      </w:tcPr>
    </w:tblStylePr>
    <w:tblStylePr w:type="band2Vert">
      <w:rPr>
        <w:rFonts w:ascii="Arial" w:hAnsi="Arial"/>
        <w:color w:val="404040"/>
        <w:sz w:val="22"/>
      </w:rPr>
      <w:tcPr>
        <w:shd w:val="clear" w:color="ffffff" w:fill="ffffff" w:themeFill="accent5" w:themeFillTint="34"/>
      </w:tcPr>
    </w:tblStylePr>
    <w:tblStylePr w:type="firstCol">
      <w:rPr>
        <w:rFonts w:ascii="Arial" w:hAnsi="Arial"/>
        <w:color w:val="f2f2f2"/>
        <w:sz w:val="22"/>
      </w:rPr>
      <w:tcPr>
        <w:shd w:val="clear" w:color="ffffff" w:fill="ffffff" w:themeFill="accent5"/>
      </w:tcPr>
    </w:tblStylePr>
    <w:tblStylePr w:type="firstRow">
      <w:rPr>
        <w:rFonts w:ascii="Arial" w:hAnsi="Arial"/>
        <w:color w:val="f2f2f2"/>
        <w:sz w:val="22"/>
      </w:rPr>
      <w:tcPr>
        <w:shd w:val="clear" w:color="ffffff" w:fill="ffffff" w:themeFill="accent5"/>
      </w:tcPr>
    </w:tblStylePr>
    <w:tblStylePr w:type="lastCol">
      <w:rPr>
        <w:rFonts w:ascii="Arial" w:hAnsi="Arial"/>
        <w:color w:val="f2f2f2"/>
        <w:sz w:val="22"/>
      </w:rPr>
      <w:tcPr>
        <w:shd w:val="clear" w:color="ffffff" w:fill="ffffff" w:themeFill="accent5"/>
      </w:tcPr>
    </w:tblStylePr>
    <w:tblStylePr w:type="lastRow">
      <w:rPr>
        <w:rFonts w:ascii="Arial" w:hAnsi="Arial"/>
        <w:color w:val="f2f2f2"/>
        <w:sz w:val="22"/>
      </w:rPr>
      <w:tcPr>
        <w:shd w:val="clear" w:color="ffffff" w:fill="ffffff" w:themeFill="accent5"/>
      </w:tcPr>
    </w:tblStylePr>
  </w:style>
  <w:style w:type="table" w:styleId="1645">
    <w:name w:val="Lined - Accent 6"/>
    <w:basedOn w:val="15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accent6" w:themeFillTint="34"/>
      </w:tcPr>
    </w:tblStylePr>
    <w:tblStylePr w:type="band2Vert">
      <w:rPr>
        <w:rFonts w:ascii="Arial" w:hAnsi="Arial"/>
        <w:color w:val="404040"/>
        <w:sz w:val="22"/>
      </w:rPr>
      <w:tcPr>
        <w:shd w:val="clear" w:color="ffffff" w:fill="ffffff" w:themeFill="accent6" w:themeFillTint="34"/>
      </w:tcPr>
    </w:tblStylePr>
    <w:tblStylePr w:type="firstCol">
      <w:rPr>
        <w:rFonts w:ascii="Arial" w:hAnsi="Arial"/>
        <w:color w:val="f2f2f2"/>
        <w:sz w:val="22"/>
      </w:rPr>
      <w:tcPr>
        <w:shd w:val="clear" w:color="ffffff" w:fill="ffffff" w:themeFill="accent6"/>
      </w:tcPr>
    </w:tblStylePr>
    <w:tblStylePr w:type="firstRow">
      <w:rPr>
        <w:rFonts w:ascii="Arial" w:hAnsi="Arial"/>
        <w:color w:val="f2f2f2"/>
        <w:sz w:val="22"/>
      </w:rPr>
      <w:tcPr>
        <w:shd w:val="clear" w:color="ffffff" w:fill="ffffff" w:themeFill="accent6"/>
      </w:tcPr>
    </w:tblStylePr>
    <w:tblStylePr w:type="lastCol">
      <w:rPr>
        <w:rFonts w:ascii="Arial" w:hAnsi="Arial"/>
        <w:color w:val="f2f2f2"/>
        <w:sz w:val="22"/>
      </w:rPr>
      <w:tcPr>
        <w:shd w:val="clear" w:color="ffffff" w:fill="ffffff" w:themeFill="accent6"/>
      </w:tcPr>
    </w:tblStylePr>
    <w:tblStylePr w:type="lastRow">
      <w:rPr>
        <w:rFonts w:ascii="Arial" w:hAnsi="Arial"/>
        <w:color w:val="f2f2f2"/>
        <w:sz w:val="22"/>
      </w:rPr>
      <w:tcPr>
        <w:shd w:val="clear" w:color="ffffff" w:fill="ffffff" w:themeFill="accent6"/>
      </w:tcPr>
    </w:tblStylePr>
  </w:style>
  <w:style w:type="table" w:styleId="1646">
    <w:name w:val="Bordered &amp; Lined - Accent"/>
    <w:basedOn w:val="15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text1" w:themeFillTint="0D"/>
      </w:tcPr>
    </w:tblStylePr>
    <w:tblStylePr w:type="band2Vert">
      <w:rPr>
        <w:rFonts w:ascii="Arial" w:hAnsi="Arial"/>
        <w:color w:val="404040"/>
        <w:sz w:val="22"/>
      </w:rPr>
      <w:tcPr>
        <w:shd w:val="clear" w:color="ffffff" w:fill="ffffff" w:themeFill="text1" w:themeFillTint="0D"/>
      </w:tcPr>
    </w:tblStylePr>
    <w:tblStylePr w:type="firstCol">
      <w:rPr>
        <w:rFonts w:ascii="Arial" w:hAnsi="Arial"/>
        <w:color w:val="f2f2f2"/>
        <w:sz w:val="22"/>
      </w:rPr>
      <w:tcPr>
        <w:shd w:val="clear" w:color="ffffff" w:fill="ffffff" w:themeFill="text1" w:themeFillTint="80"/>
      </w:tcPr>
    </w:tblStylePr>
    <w:tblStylePr w:type="firstRow">
      <w:rPr>
        <w:rFonts w:ascii="Arial" w:hAnsi="Arial"/>
        <w:color w:val="f2f2f2"/>
        <w:sz w:val="22"/>
      </w:rPr>
      <w:tcPr>
        <w:shd w:val="clear" w:color="ffffff" w:fill="ffffff" w:themeFill="text1" w:themeFillTint="80"/>
      </w:tcPr>
    </w:tblStylePr>
    <w:tblStylePr w:type="lastCol">
      <w:rPr>
        <w:rFonts w:ascii="Arial" w:hAnsi="Arial"/>
        <w:color w:val="f2f2f2"/>
        <w:sz w:val="22"/>
      </w:rPr>
      <w:tcPr>
        <w:shd w:val="clear" w:color="ffffff" w:fill="ffffff" w:themeFill="text1" w:themeFillTint="80"/>
      </w:tcPr>
    </w:tblStylePr>
    <w:tblStylePr w:type="lastRow">
      <w:rPr>
        <w:rFonts w:ascii="Arial" w:hAnsi="Arial"/>
        <w:color w:val="f2f2f2"/>
        <w:sz w:val="22"/>
      </w:rPr>
      <w:tcPr>
        <w:shd w:val="clear" w:color="ffffff" w:fill="ffffff" w:themeFill="text1" w:themeFillTint="80"/>
      </w:tcPr>
    </w:tblStylePr>
  </w:style>
  <w:style w:type="table" w:styleId="1647">
    <w:name w:val="Bordered &amp; Lined - Accent 1"/>
    <w:basedOn w:val="15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accent1" w:themeFillTint="50"/>
      </w:tcPr>
    </w:tblStylePr>
    <w:tblStylePr w:type="band2Vert">
      <w:rPr>
        <w:rFonts w:ascii="Arial" w:hAnsi="Arial"/>
        <w:color w:val="404040"/>
        <w:sz w:val="22"/>
      </w:rPr>
      <w:tcPr>
        <w:shd w:val="clear" w:color="ffffff" w:fill="ffffff" w:themeFill="accent1" w:themeFillTint="50"/>
      </w:tcPr>
    </w:tblStylePr>
    <w:tblStylePr w:type="firstCol">
      <w:rPr>
        <w:rFonts w:ascii="Arial" w:hAnsi="Arial"/>
        <w:color w:val="f2f2f2"/>
        <w:sz w:val="22"/>
      </w:rPr>
      <w:tcPr>
        <w:shd w:val="clear" w:color="ffffff" w:fill="ffffff" w:themeFill="accent1" w:themeFillTint="EA"/>
      </w:tcPr>
    </w:tblStylePr>
    <w:tblStylePr w:type="firstRow">
      <w:rPr>
        <w:rFonts w:ascii="Arial" w:hAnsi="Arial"/>
        <w:color w:val="f2f2f2"/>
        <w:sz w:val="22"/>
      </w:rPr>
      <w:tcPr>
        <w:shd w:val="clear" w:color="ffffff" w:fill="ffffff" w:themeFill="accent1" w:themeFillTint="EA"/>
      </w:tcPr>
    </w:tblStylePr>
    <w:tblStylePr w:type="lastCol">
      <w:rPr>
        <w:rFonts w:ascii="Arial" w:hAnsi="Arial"/>
        <w:color w:val="f2f2f2"/>
        <w:sz w:val="22"/>
      </w:rPr>
      <w:tcPr>
        <w:shd w:val="clear" w:color="ffffff" w:fill="ffffff" w:themeFill="accent1" w:themeFillTint="EA"/>
      </w:tcPr>
    </w:tblStylePr>
    <w:tblStylePr w:type="lastRow">
      <w:rPr>
        <w:rFonts w:ascii="Arial" w:hAnsi="Arial"/>
        <w:color w:val="f2f2f2"/>
        <w:sz w:val="22"/>
      </w:rPr>
      <w:tcPr>
        <w:shd w:val="clear" w:color="ffffff" w:fill="ffffff" w:themeFill="accent1" w:themeFillTint="EA"/>
      </w:tcPr>
    </w:tblStylePr>
  </w:style>
  <w:style w:type="table" w:styleId="1648">
    <w:name w:val="Bordered &amp; Lined - Accent 2"/>
    <w:basedOn w:val="15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accent2" w:themeFillTint="32"/>
      </w:tcPr>
    </w:tblStylePr>
    <w:tblStylePr w:type="band2Vert">
      <w:rPr>
        <w:rFonts w:ascii="Arial" w:hAnsi="Arial"/>
        <w:color w:val="404040"/>
        <w:sz w:val="22"/>
      </w:rPr>
      <w:tcPr>
        <w:shd w:val="clear" w:color="ffffff" w:fill="ffffff" w:themeFill="accent2" w:themeFillTint="32"/>
      </w:tcPr>
    </w:tblStylePr>
    <w:tblStylePr w:type="firstCol">
      <w:rPr>
        <w:rFonts w:ascii="Arial" w:hAnsi="Arial"/>
        <w:color w:val="f2f2f2"/>
        <w:sz w:val="22"/>
      </w:rPr>
      <w:tcPr>
        <w:shd w:val="clear" w:color="ffffff" w:fill="ffffff" w:themeFill="accent2" w:themeFillTint="97"/>
      </w:tcPr>
    </w:tblStylePr>
    <w:tblStylePr w:type="firstRow">
      <w:rPr>
        <w:rFonts w:ascii="Arial" w:hAnsi="Arial"/>
        <w:color w:val="f2f2f2"/>
        <w:sz w:val="22"/>
      </w:rPr>
      <w:tcPr>
        <w:shd w:val="clear" w:color="ffffff" w:fill="ffffff" w:themeFill="accent2" w:themeFillTint="97"/>
      </w:tcPr>
    </w:tblStylePr>
    <w:tblStylePr w:type="lastCol">
      <w:rPr>
        <w:rFonts w:ascii="Arial" w:hAnsi="Arial"/>
        <w:color w:val="f2f2f2"/>
        <w:sz w:val="22"/>
      </w:rPr>
      <w:tcPr>
        <w:shd w:val="clear" w:color="ffffff" w:fill="ffffff" w:themeFill="accent2" w:themeFillTint="97"/>
      </w:tcPr>
    </w:tblStylePr>
    <w:tblStylePr w:type="lastRow">
      <w:rPr>
        <w:rFonts w:ascii="Arial" w:hAnsi="Arial"/>
        <w:color w:val="f2f2f2"/>
        <w:sz w:val="22"/>
      </w:rPr>
      <w:tcPr>
        <w:shd w:val="clear" w:color="ffffff" w:fill="ffffff" w:themeFill="accent2" w:themeFillTint="97"/>
      </w:tcPr>
    </w:tblStylePr>
  </w:style>
  <w:style w:type="table" w:styleId="1649">
    <w:name w:val="Bordered &amp; Lined - Accent 3"/>
    <w:basedOn w:val="15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accent3" w:themeFillTint="34"/>
      </w:tcPr>
    </w:tblStylePr>
    <w:tblStylePr w:type="band2Vert">
      <w:rPr>
        <w:rFonts w:ascii="Arial" w:hAnsi="Arial"/>
        <w:color w:val="404040"/>
        <w:sz w:val="22"/>
      </w:rPr>
      <w:tcPr>
        <w:shd w:val="clear" w:color="ffffff" w:fill="ffffff" w:themeFill="accent3" w:themeFillTint="34"/>
      </w:tcPr>
    </w:tblStylePr>
    <w:tblStylePr w:type="firstCol">
      <w:rPr>
        <w:rFonts w:ascii="Arial" w:hAnsi="Arial"/>
        <w:color w:val="f2f2f2"/>
        <w:sz w:val="22"/>
      </w:rPr>
      <w:tcPr>
        <w:shd w:val="clear" w:color="ffffff" w:fill="ffffff" w:themeFill="accent3" w:themeFillTint="FE"/>
      </w:tcPr>
    </w:tblStylePr>
    <w:tblStylePr w:type="firstRow">
      <w:rPr>
        <w:rFonts w:ascii="Arial" w:hAnsi="Arial"/>
        <w:color w:val="f2f2f2"/>
        <w:sz w:val="22"/>
      </w:rPr>
      <w:tcPr>
        <w:shd w:val="clear" w:color="ffffff" w:fill="ffffff" w:themeFill="accent3" w:themeFillTint="FE"/>
      </w:tcPr>
    </w:tblStylePr>
    <w:tblStylePr w:type="lastCol">
      <w:rPr>
        <w:rFonts w:ascii="Arial" w:hAnsi="Arial"/>
        <w:color w:val="f2f2f2"/>
        <w:sz w:val="22"/>
      </w:rPr>
      <w:tcPr>
        <w:shd w:val="clear" w:color="ffffff" w:fill="ffffff" w:themeFill="accent3" w:themeFillTint="FE"/>
      </w:tcPr>
    </w:tblStylePr>
    <w:tblStylePr w:type="lastRow">
      <w:rPr>
        <w:rFonts w:ascii="Arial" w:hAnsi="Arial"/>
        <w:color w:val="f2f2f2"/>
        <w:sz w:val="22"/>
      </w:rPr>
      <w:tcPr>
        <w:shd w:val="clear" w:color="ffffff" w:fill="ffffff" w:themeFill="accent3" w:themeFillTint="FE"/>
      </w:tcPr>
    </w:tblStylePr>
  </w:style>
  <w:style w:type="table" w:styleId="1650">
    <w:name w:val="Bordered &amp; Lined - Accent 4"/>
    <w:basedOn w:val="15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accent4" w:themeFillTint="34"/>
      </w:tcPr>
    </w:tblStylePr>
    <w:tblStylePr w:type="band2Vert">
      <w:rPr>
        <w:rFonts w:ascii="Arial" w:hAnsi="Arial"/>
        <w:color w:val="404040"/>
        <w:sz w:val="22"/>
      </w:rPr>
      <w:tcPr>
        <w:shd w:val="clear" w:color="ffffff" w:fill="ffffff" w:themeFill="accent4" w:themeFillTint="34"/>
      </w:tcPr>
    </w:tblStylePr>
    <w:tblStylePr w:type="firstCol">
      <w:rPr>
        <w:rFonts w:ascii="Arial" w:hAnsi="Arial"/>
        <w:color w:val="f2f2f2"/>
        <w:sz w:val="22"/>
      </w:rPr>
      <w:tcPr>
        <w:shd w:val="clear" w:color="ffffff" w:fill="ffffff" w:themeFill="accent4" w:themeFillTint="9A"/>
      </w:tcPr>
    </w:tblStylePr>
    <w:tblStylePr w:type="firstRow">
      <w:rPr>
        <w:rFonts w:ascii="Arial" w:hAnsi="Arial"/>
        <w:color w:val="f2f2f2"/>
        <w:sz w:val="22"/>
      </w:rPr>
      <w:tcPr>
        <w:shd w:val="clear" w:color="ffffff" w:fill="ffffff" w:themeFill="accent4" w:themeFillTint="9A"/>
      </w:tcPr>
    </w:tblStylePr>
    <w:tblStylePr w:type="lastCol">
      <w:rPr>
        <w:rFonts w:ascii="Arial" w:hAnsi="Arial"/>
        <w:color w:val="f2f2f2"/>
        <w:sz w:val="22"/>
      </w:rPr>
      <w:tcPr>
        <w:shd w:val="clear" w:color="ffffff" w:fill="ffffff" w:themeFill="accent4" w:themeFillTint="9A"/>
      </w:tcPr>
    </w:tblStylePr>
    <w:tblStylePr w:type="lastRow">
      <w:rPr>
        <w:rFonts w:ascii="Arial" w:hAnsi="Arial"/>
        <w:color w:val="f2f2f2"/>
        <w:sz w:val="22"/>
      </w:rPr>
      <w:tcPr>
        <w:shd w:val="clear" w:color="ffffff" w:fill="ffffff" w:themeFill="accent4" w:themeFillTint="9A"/>
      </w:tcPr>
    </w:tblStylePr>
  </w:style>
  <w:style w:type="table" w:styleId="1651">
    <w:name w:val="Bordered &amp; Lined - Accent 5"/>
    <w:basedOn w:val="15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accent5" w:themeFillTint="34"/>
      </w:tcPr>
    </w:tblStylePr>
    <w:tblStylePr w:type="band2Vert">
      <w:rPr>
        <w:rFonts w:ascii="Arial" w:hAnsi="Arial"/>
        <w:color w:val="404040"/>
        <w:sz w:val="22"/>
      </w:rPr>
      <w:tcPr>
        <w:shd w:val="clear" w:color="ffffff" w:fill="ffffff" w:themeFill="accent5" w:themeFillTint="34"/>
      </w:tcPr>
    </w:tblStylePr>
    <w:tblStylePr w:type="firstCol">
      <w:rPr>
        <w:rFonts w:ascii="Arial" w:hAnsi="Arial"/>
        <w:color w:val="f2f2f2"/>
        <w:sz w:val="22"/>
      </w:rPr>
      <w:tcPr>
        <w:shd w:val="clear" w:color="ffffff" w:fill="ffffff" w:themeFill="accent5"/>
      </w:tcPr>
    </w:tblStylePr>
    <w:tblStylePr w:type="firstRow">
      <w:rPr>
        <w:rFonts w:ascii="Arial" w:hAnsi="Arial"/>
        <w:color w:val="f2f2f2"/>
        <w:sz w:val="22"/>
      </w:rPr>
      <w:tcPr>
        <w:shd w:val="clear" w:color="ffffff" w:fill="ffffff" w:themeFill="accent5"/>
      </w:tcPr>
    </w:tblStylePr>
    <w:tblStylePr w:type="lastCol">
      <w:rPr>
        <w:rFonts w:ascii="Arial" w:hAnsi="Arial"/>
        <w:color w:val="f2f2f2"/>
        <w:sz w:val="22"/>
      </w:rPr>
      <w:tcPr>
        <w:shd w:val="clear" w:color="ffffff" w:fill="ffffff" w:themeFill="accent5"/>
      </w:tcPr>
    </w:tblStylePr>
    <w:tblStylePr w:type="lastRow">
      <w:rPr>
        <w:rFonts w:ascii="Arial" w:hAnsi="Arial"/>
        <w:color w:val="f2f2f2"/>
        <w:sz w:val="22"/>
      </w:rPr>
      <w:tcPr>
        <w:shd w:val="clear" w:color="ffffff" w:fill="ffffff" w:themeFill="accent5"/>
      </w:tcPr>
    </w:tblStylePr>
  </w:style>
  <w:style w:type="table" w:styleId="1652">
    <w:name w:val="Bordered &amp; Lined - Accent 6"/>
    <w:basedOn w:val="15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accent6" w:themeFillTint="34"/>
      </w:tcPr>
    </w:tblStylePr>
    <w:tblStylePr w:type="band2Vert">
      <w:rPr>
        <w:rFonts w:ascii="Arial" w:hAnsi="Arial"/>
        <w:color w:val="404040"/>
        <w:sz w:val="22"/>
      </w:rPr>
      <w:tcPr>
        <w:shd w:val="clear" w:color="ffffff" w:fill="ffffff" w:themeFill="accent6" w:themeFillTint="34"/>
      </w:tcPr>
    </w:tblStylePr>
    <w:tblStylePr w:type="firstCol">
      <w:rPr>
        <w:rFonts w:ascii="Arial" w:hAnsi="Arial"/>
        <w:color w:val="f2f2f2"/>
        <w:sz w:val="22"/>
      </w:rPr>
      <w:tcPr>
        <w:shd w:val="clear" w:color="ffffff" w:fill="ffffff" w:themeFill="accent6"/>
      </w:tcPr>
    </w:tblStylePr>
    <w:tblStylePr w:type="firstRow">
      <w:rPr>
        <w:rFonts w:ascii="Arial" w:hAnsi="Arial"/>
        <w:color w:val="f2f2f2"/>
        <w:sz w:val="22"/>
      </w:rPr>
      <w:tcPr>
        <w:shd w:val="clear" w:color="ffffff" w:fill="ffffff" w:themeFill="accent6"/>
      </w:tcPr>
    </w:tblStylePr>
    <w:tblStylePr w:type="lastCol">
      <w:rPr>
        <w:rFonts w:ascii="Arial" w:hAnsi="Arial"/>
        <w:color w:val="f2f2f2"/>
        <w:sz w:val="22"/>
      </w:rPr>
      <w:tcPr>
        <w:shd w:val="clear" w:color="ffffff" w:fill="ffffff" w:themeFill="accent6"/>
      </w:tcPr>
    </w:tblStylePr>
    <w:tblStylePr w:type="lastRow">
      <w:rPr>
        <w:rFonts w:ascii="Arial" w:hAnsi="Arial"/>
        <w:color w:val="f2f2f2"/>
        <w:sz w:val="22"/>
      </w:rPr>
      <w:tcPr>
        <w:shd w:val="clear" w:color="ffffff" w:fill="ffffff" w:themeFill="accent6"/>
      </w:tcPr>
    </w:tblStylePr>
  </w:style>
  <w:style w:type="table" w:styleId="1653">
    <w:name w:val="Bordered"/>
    <w:basedOn w:val="15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54">
    <w:name w:val="Bordered - Accent 1"/>
    <w:basedOn w:val="15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55">
    <w:name w:val="Bordered - Accent 2"/>
    <w:basedOn w:val="15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56">
    <w:name w:val="Bordered - Accent 3"/>
    <w:basedOn w:val="15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57">
    <w:name w:val="Bordered - Accent 4"/>
    <w:basedOn w:val="15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658">
    <w:name w:val="Bordered - Accent 5"/>
    <w:basedOn w:val="15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659">
    <w:name w:val="Bordered - Accent 6"/>
    <w:basedOn w:val="15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660">
    <w:name w:val="Hyperlink"/>
    <w:uiPriority w:val="99"/>
    <w:unhideWhenUsed/>
    <w:rPr>
      <w:color w:val="0000ff" w:themeColor="hyperlink"/>
      <w:u w:val="single"/>
    </w:rPr>
  </w:style>
  <w:style w:type="paragraph" w:styleId="1661">
    <w:name w:val="footnote text"/>
    <w:basedOn w:val="1496"/>
    <w:link w:val="1662"/>
    <w:uiPriority w:val="99"/>
    <w:semiHidden/>
    <w:unhideWhenUsed/>
    <w:pPr>
      <w:spacing w:after="40" w:line="240" w:lineRule="auto"/>
    </w:pPr>
    <w:rPr>
      <w:sz w:val="18"/>
    </w:rPr>
  </w:style>
  <w:style w:type="character" w:styleId="1662">
    <w:name w:val="Footnote Text Char"/>
    <w:link w:val="1661"/>
    <w:uiPriority w:val="99"/>
    <w:rPr>
      <w:sz w:val="18"/>
    </w:rPr>
  </w:style>
  <w:style w:type="character" w:styleId="1663">
    <w:name w:val="footnote reference"/>
    <w:basedOn w:val="1497"/>
    <w:uiPriority w:val="99"/>
    <w:unhideWhenUsed/>
    <w:rPr>
      <w:vertAlign w:val="superscript"/>
    </w:rPr>
  </w:style>
  <w:style w:type="paragraph" w:styleId="1664">
    <w:name w:val="endnote text"/>
    <w:basedOn w:val="1496"/>
    <w:link w:val="1665"/>
    <w:uiPriority w:val="99"/>
    <w:semiHidden/>
    <w:unhideWhenUsed/>
    <w:pPr>
      <w:spacing w:after="0" w:line="240" w:lineRule="auto"/>
    </w:pPr>
    <w:rPr>
      <w:sz w:val="20"/>
    </w:rPr>
  </w:style>
  <w:style w:type="character" w:styleId="1665">
    <w:name w:val="Endnote Text Char"/>
    <w:link w:val="1664"/>
    <w:uiPriority w:val="99"/>
    <w:rPr>
      <w:sz w:val="20"/>
    </w:rPr>
  </w:style>
  <w:style w:type="character" w:styleId="1666">
    <w:name w:val="endnote reference"/>
    <w:basedOn w:val="1497"/>
    <w:uiPriority w:val="99"/>
    <w:semiHidden/>
    <w:unhideWhenUsed/>
    <w:rPr>
      <w:vertAlign w:val="superscript"/>
    </w:rPr>
  </w:style>
  <w:style w:type="paragraph" w:styleId="1667">
    <w:name w:val="toc 1"/>
    <w:basedOn w:val="1496"/>
    <w:next w:val="1496"/>
    <w:uiPriority w:val="39"/>
    <w:unhideWhenUsed/>
    <w:pPr>
      <w:ind w:left="0" w:right="0" w:firstLine="0"/>
      <w:spacing w:after="57"/>
    </w:pPr>
  </w:style>
  <w:style w:type="paragraph" w:styleId="1668">
    <w:name w:val="toc 2"/>
    <w:basedOn w:val="1496"/>
    <w:next w:val="1496"/>
    <w:uiPriority w:val="39"/>
    <w:unhideWhenUsed/>
    <w:pPr>
      <w:ind w:left="283" w:right="0" w:firstLine="0"/>
      <w:spacing w:after="57"/>
    </w:pPr>
  </w:style>
  <w:style w:type="paragraph" w:styleId="1669">
    <w:name w:val="toc 3"/>
    <w:basedOn w:val="1496"/>
    <w:next w:val="1496"/>
    <w:uiPriority w:val="39"/>
    <w:unhideWhenUsed/>
    <w:pPr>
      <w:ind w:left="567" w:right="0" w:firstLine="0"/>
      <w:spacing w:after="57"/>
    </w:pPr>
  </w:style>
  <w:style w:type="paragraph" w:styleId="1670">
    <w:name w:val="toc 4"/>
    <w:basedOn w:val="1496"/>
    <w:next w:val="1496"/>
    <w:uiPriority w:val="39"/>
    <w:unhideWhenUsed/>
    <w:pPr>
      <w:ind w:left="850" w:right="0" w:firstLine="0"/>
      <w:spacing w:after="57"/>
    </w:pPr>
  </w:style>
  <w:style w:type="paragraph" w:styleId="1671">
    <w:name w:val="toc 5"/>
    <w:basedOn w:val="1496"/>
    <w:next w:val="1496"/>
    <w:uiPriority w:val="39"/>
    <w:unhideWhenUsed/>
    <w:pPr>
      <w:ind w:left="1134" w:right="0" w:firstLine="0"/>
      <w:spacing w:after="57"/>
    </w:pPr>
  </w:style>
  <w:style w:type="paragraph" w:styleId="1672">
    <w:name w:val="toc 6"/>
    <w:basedOn w:val="1496"/>
    <w:next w:val="1496"/>
    <w:uiPriority w:val="39"/>
    <w:unhideWhenUsed/>
    <w:pPr>
      <w:ind w:left="1417" w:right="0" w:firstLine="0"/>
      <w:spacing w:after="57"/>
    </w:pPr>
  </w:style>
  <w:style w:type="paragraph" w:styleId="1673">
    <w:name w:val="toc 7"/>
    <w:basedOn w:val="1496"/>
    <w:next w:val="1496"/>
    <w:uiPriority w:val="39"/>
    <w:unhideWhenUsed/>
    <w:pPr>
      <w:ind w:left="1701" w:right="0" w:firstLine="0"/>
      <w:spacing w:after="57"/>
    </w:pPr>
  </w:style>
  <w:style w:type="paragraph" w:styleId="1674">
    <w:name w:val="toc 8"/>
    <w:basedOn w:val="1496"/>
    <w:next w:val="1496"/>
    <w:uiPriority w:val="39"/>
    <w:unhideWhenUsed/>
    <w:pPr>
      <w:ind w:left="1984" w:right="0" w:firstLine="0"/>
      <w:spacing w:after="57"/>
    </w:pPr>
  </w:style>
  <w:style w:type="paragraph" w:styleId="1675">
    <w:name w:val="toc 9"/>
    <w:basedOn w:val="1496"/>
    <w:next w:val="1496"/>
    <w:uiPriority w:val="39"/>
    <w:unhideWhenUsed/>
    <w:pPr>
      <w:ind w:left="2268" w:right="0" w:firstLine="0"/>
      <w:spacing w:after="57"/>
    </w:pPr>
  </w:style>
  <w:style w:type="paragraph" w:styleId="1676">
    <w:name w:val="TOC Heading"/>
    <w:uiPriority w:val="39"/>
    <w:unhideWhenUsed/>
  </w:style>
  <w:style w:type="paragraph" w:styleId="1677">
    <w:name w:val="table of figures"/>
    <w:basedOn w:val="1496"/>
    <w:next w:val="1496"/>
    <w:uiPriority w:val="99"/>
    <w:unhideWhenUsed/>
    <w:pPr>
      <w:spacing w:after="0" w:afterAutospacing="0"/>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8</TotalTime>
  <Application>LibreOffice/7.2.7.2$Windows_X86_64 LibreOffice_project/8d71d29d553c0f7dcbfa38fbfda25ee34cce99a2</Application>
  <AppVersion>15.0000</AppVersion>
  <Pages>17</Pages>
  <Words>6013</Words>
  <Characters>31810</Characters>
  <CharactersWithSpaces>37358</CharactersWithSpaces>
  <Paragraphs>337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Sabrina AUSSENDOU</cp:lastModifiedBy>
  <dcterms:modified xsi:type="dcterms:W3CDTF">2023-03-17T18:09:02Z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