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rPr>
          <w:rFonts w:cs="Arial"/>
          <w:b/>
          <w:b/>
          <w:bCs/>
          <w:color w:val="000000"/>
          <w:sz w:val="20"/>
          <w:szCs w:val="20"/>
          <w:u w:val="single"/>
        </w:rPr>
      </w:pPr>
      <w:r>
        <w:rPr>
          <w:rFonts w:cs="Arial"/>
          <w:b/>
          <w:bCs/>
          <w:color w:val="000000"/>
          <w:sz w:val="2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Normal"/>
        <w:jc w:val="center"/>
        <w:rPr>
          <w:highlight w:val="none"/>
          <w:shd w:fill="auto" w:val="clear"/>
        </w:rPr>
      </w:pPr>
      <w:r>
        <w:rPr>
          <w:rFonts w:cs="Arial"/>
          <w:color w:val="4472C4"/>
          <w:sz w:val="36"/>
          <w:szCs w:val="36"/>
          <w:shd w:fill="auto" w:val="clear"/>
        </w:rPr>
        <w:t>DIRECTION DE L’ACHAT ET DE LA COMMANDE  PUBLIQUE</w:t>
      </w:r>
    </w:p>
    <w:p>
      <w:pPr>
        <w:pStyle w:val="Standard"/>
        <w:rPr>
          <w:rFonts w:cs="Arial"/>
          <w:sz w:val="20"/>
          <w:szCs w:val="20"/>
        </w:rPr>
      </w:pPr>
      <w:r>
        <w:rPr>
          <w:rFonts w:cs="Arial"/>
          <w:sz w:val="20"/>
          <w:szCs w:val="20"/>
        </w:rPr>
      </w:r>
    </w:p>
    <w:p>
      <w:pPr>
        <w:pStyle w:val="Titre11"/>
        <w:shd w:val="clear" w:color="FFFFFF" w:fill="FFFFFF"/>
        <w:jc w:val="left"/>
        <w:rPr>
          <w:color w:val="5B9BD5"/>
          <w:sz w:val="44"/>
          <w:szCs w:val="44"/>
          <w:highlight w:val="white"/>
        </w:rPr>
      </w:pPr>
      <w:r>
        <w:rPr>
          <w:color w:val="5B9BD5"/>
          <w:sz w:val="44"/>
          <w:szCs w:val="44"/>
          <w:highlight w:val="white"/>
        </w:rPr>
      </w:r>
    </w:p>
    <w:p>
      <w:pPr>
        <w:pStyle w:val="Titre11"/>
        <w:shd w:val="clear" w:color="FFFFFF" w:fill="FFFFFF"/>
        <w:jc w:val="center"/>
        <w:rPr/>
      </w:pPr>
      <w:r>
        <w:rPr>
          <w:rFonts w:cs="Arial"/>
          <w:color w:val="5B9BD5" w:themeColor="accent5"/>
          <w:sz w:val="44"/>
          <w:szCs w:val="44"/>
          <w:shd w:fill="FFFFFF" w:val="clear"/>
        </w:rPr>
        <w:t>Cahier des clauses administratives particulières</w:t>
      </w:r>
    </w:p>
    <w:p>
      <w:pPr>
        <w:pStyle w:val="Titre11"/>
        <w:shd w:val="clear" w:color="FFFFFF" w:fill="FFFFFF"/>
        <w:jc w:val="left"/>
        <w:rPr>
          <w:color w:val="5B9BD5"/>
          <w:sz w:val="44"/>
          <w:szCs w:val="44"/>
          <w:highlight w:val="white"/>
        </w:rPr>
      </w:pPr>
      <w:r>
        <w:rPr>
          <w:color w:val="5B9BD5"/>
          <w:sz w:val="44"/>
          <w:szCs w:val="44"/>
          <w:highlight w:val="white"/>
        </w:rPr>
      </w:r>
    </w:p>
    <w:p>
      <w:pPr>
        <w:pStyle w:val="Standard"/>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sz w:val="36"/>
          <w:szCs w:val="36"/>
        </w:rPr>
      </w:pPr>
      <w:r>
        <w:rPr>
          <w:rFonts w:cs="Arial"/>
          <w:color w:val="5B9BD5" w:themeColor="accent5"/>
          <w:sz w:val="36"/>
          <w:szCs w:val="36"/>
          <w:highlight w:val="white"/>
          <w:shd w:fill="FFFFFF" w:val="clear"/>
        </w:rPr>
        <w:t>Émission de cartes d'achat</w:t>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color="FFFFFF" w:fill="FFFFFF"/>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rPr>
          <w:rFonts w:cs="Arial"/>
          <w:sz w:val="20"/>
          <w:szCs w:val="20"/>
        </w:rPr>
      </w:pPr>
      <w:r>
        <w:rPr>
          <w:rFonts w:cs="Arial"/>
          <w:sz w:val="20"/>
          <w:szCs w:val="20"/>
        </w:rPr>
      </w:r>
    </w:p>
    <w:p>
      <w:pPr>
        <w:pStyle w:val="Standard"/>
        <w:tabs>
          <w:tab w:val="clear" w:pos="706"/>
          <w:tab w:val="left" w:pos="3600" w:leader="none"/>
        </w:tabs>
        <w:ind w:left="3600" w:hanging="3600"/>
        <w:rPr>
          <w:sz w:val="24"/>
          <w:szCs w:val="24"/>
        </w:rPr>
      </w:pPr>
      <w:r>
        <w:rPr>
          <w:rFonts w:cs="Arial"/>
          <w:b/>
          <w:bCs/>
          <w:color w:val="000000"/>
          <w:sz w:val="24"/>
          <w:szCs w:val="24"/>
          <w:u w:val="single"/>
        </w:rPr>
        <w:t>Numéro de la consultation :</w:t>
      </w:r>
      <w:r>
        <w:rPr>
          <w:rFonts w:cs="Arial"/>
          <w:b/>
          <w:bCs/>
          <w:color w:val="000000"/>
          <w:sz w:val="24"/>
          <w:szCs w:val="24"/>
          <w:u w:val="none"/>
          <w:shd w:fill="auto" w:val="clear"/>
        </w:rPr>
        <w:t xml:space="preserve"> </w:t>
      </w:r>
      <w:r>
        <w:rPr>
          <w:rFonts w:cs="Arial"/>
          <w:b/>
          <w:bCs/>
          <w:i w:val="false"/>
          <w:iCs w:val="false"/>
          <w:strike w:val="false"/>
          <w:dstrike w:val="false"/>
          <w:color w:val="000000"/>
          <w:sz w:val="24"/>
          <w:szCs w:val="24"/>
          <w:u w:val="none"/>
          <w:shd w:fill="auto" w:val="clear"/>
        </w:rPr>
        <w:t>23_0554</w:t>
      </w:r>
    </w:p>
    <w:p>
      <w:pPr>
        <w:pStyle w:val="Standard"/>
        <w:rPr>
          <w:rFonts w:cs="Arial"/>
          <w:color w:val="000000"/>
          <w:sz w:val="24"/>
          <w:szCs w:val="24"/>
        </w:rPr>
      </w:pPr>
      <w:r>
        <w:rPr>
          <w:rFonts w:cs="Arial"/>
          <w:color w:val="000000"/>
          <w:sz w:val="24"/>
          <w:szCs w:val="24"/>
        </w:rPr>
      </w:r>
    </w:p>
    <w:p>
      <w:pPr>
        <w:pStyle w:val="Standard"/>
        <w:tabs>
          <w:tab w:val="clear" w:pos="706"/>
          <w:tab w:val="left" w:pos="3600" w:leader="none"/>
        </w:tabs>
        <w:ind w:left="3600" w:hanging="3600"/>
        <w:rPr>
          <w:sz w:val="24"/>
          <w:szCs w:val="24"/>
        </w:rPr>
      </w:pPr>
      <w:r>
        <w:rPr>
          <w:rFonts w:cs="Arial"/>
          <w:b/>
          <w:bCs/>
          <w:color w:val="000000"/>
          <w:sz w:val="24"/>
          <w:szCs w:val="24"/>
          <w:u w:val="single"/>
        </w:rPr>
        <w:t>Procédure de passation :</w:t>
      </w:r>
      <w:r>
        <w:rPr>
          <w:rFonts w:cs="Arial"/>
          <w:color w:val="4472C4" w:themeColor="accent1"/>
          <w:sz w:val="24"/>
          <w:szCs w:val="24"/>
        </w:rPr>
        <w:t xml:space="preserve"> MAPA ouvert </w:t>
      </w:r>
    </w:p>
    <w:p>
      <w:pPr>
        <w:pStyle w:val="Standard"/>
        <w:tabs>
          <w:tab w:val="clear" w:pos="706"/>
          <w:tab w:val="left" w:pos="3600" w:leader="none"/>
        </w:tabs>
        <w:rPr>
          <w:rFonts w:cs="Arial"/>
          <w:b/>
          <w:b/>
          <w:color w:val="000000"/>
          <w:sz w:val="24"/>
          <w:szCs w:val="24"/>
          <w:u w:val="single"/>
        </w:rPr>
      </w:pPr>
      <w:r>
        <w:rPr>
          <w:rFonts w:cs="Arial"/>
          <w:b/>
          <w:color w:val="000000"/>
          <w:sz w:val="24"/>
          <w:szCs w:val="24"/>
          <w:u w:val="single"/>
        </w:rPr>
      </w:r>
    </w:p>
    <w:p>
      <w:pPr>
        <w:pStyle w:val="Standard"/>
        <w:tabs>
          <w:tab w:val="clear" w:pos="706"/>
          <w:tab w:val="left" w:pos="3600" w:leader="none"/>
        </w:tabs>
        <w:ind w:left="3600" w:hanging="3600"/>
        <w:rPr>
          <w:color w:val="000000"/>
          <w:sz w:val="20"/>
          <w:szCs w:val="20"/>
        </w:rPr>
      </w:pPr>
      <w:r>
        <w:rPr>
          <w:color w:val="000000"/>
          <w:sz w:val="20"/>
          <w:szCs w:val="20"/>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290" w:leader="dot"/>
          <w:tab w:val="right" w:pos="9637" w:leader="dot"/>
        </w:tabs>
        <w:rPr/>
      </w:pPr>
      <w:hyperlink w:anchor="_Toc3844" w:tgtFrame="#_Toc3844">
        <w:r>
          <w:rPr/>
          <w:t>Article 1 - OBJET ET DUREE DU MARCHE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_Toc3844 \h</w:instrText>
        </w:r>
        <w:r>
          <w:rPr>
            <w:webHidden/>
          </w:rPr>
          <w:fldChar w:fldCharType="separate"/>
        </w:r>
        <w:r>
          <w:rPr/>
          <w:fldChar w:fldCharType="begin"/>
        </w:r>
        <w:r>
          <w:rPr>
            <w:webHidden/>
          </w:rPr>
          <w:fldChar w:fldCharType="end"/>
        </w:r>
        <w:r>
          <w:rPr/>
          <w:instrText> PAGEREF _Toc3844 \h </w:instrText>
        </w:r>
        <w:r>
          <w:rPr/>
          <w:fldChar w:fldCharType="separate"/>
        </w:r>
        <w:r>
          <w:rPr/>
          <w:t>4</w:t>
        </w:r>
        <w:r>
          <w:rPr/>
          <w:fldChar w:fldCharType="end"/>
        </w:r>
      </w:hyperlink>
    </w:p>
    <w:p>
      <w:pPr>
        <w:pStyle w:val="Tabledesmatiresniveau2"/>
        <w:tabs>
          <w:tab w:val="clear" w:pos="706"/>
          <w:tab w:val="right" w:pos="8290" w:leader="dot"/>
        </w:tabs>
        <w:rPr/>
      </w:pPr>
      <w:hyperlink w:anchor="_Toc3845" w:tgtFrame="#_Toc3845">
        <w:r>
          <w:rPr/>
          <w:t>1.1 Intitulé et Objet des prestations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_Toc3845 \h</w:instrText>
        </w:r>
        <w:r>
          <w:rPr>
            <w:webHidden/>
          </w:rPr>
          <w:fldChar w:fldCharType="separate"/>
        </w:r>
        <w:r>
          <w:rPr/>
          <w:fldChar w:fldCharType="begin"/>
        </w:r>
        <w:r>
          <w:rPr>
            <w:webHidden/>
          </w:rPr>
          <w:fldChar w:fldCharType="end"/>
        </w:r>
        <w:r>
          <w:rPr/>
          <w:instrText> PAGEREF _Toc3845 \h </w:instrText>
        </w:r>
        <w:r>
          <w:rPr/>
          <w:fldChar w:fldCharType="separate"/>
        </w:r>
        <w:r>
          <w:rPr/>
          <w:t>4</w:t>
        </w:r>
        <w:r>
          <w:rPr/>
          <w:fldChar w:fldCharType="end"/>
        </w:r>
      </w:hyperlink>
    </w:p>
    <w:p>
      <w:pPr>
        <w:pStyle w:val="Tabledesmatiresniveau2"/>
        <w:tabs>
          <w:tab w:val="clear" w:pos="706"/>
          <w:tab w:val="right" w:pos="8290" w:leader="dot"/>
        </w:tabs>
        <w:rPr/>
      </w:pPr>
      <w:hyperlink w:anchor="_Toc3846" w:tgtFrame="#_Toc3846">
        <w:r>
          <w:rPr/>
          <w:t>1.2 Procédure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_Toc3846 \h</w:instrText>
        </w:r>
        <w:r>
          <w:rPr>
            <w:webHidden/>
          </w:rPr>
          <w:fldChar w:fldCharType="separate"/>
        </w:r>
        <w:r>
          <w:rPr/>
          <w:fldChar w:fldCharType="begin"/>
        </w:r>
        <w:r>
          <w:rPr>
            <w:webHidden/>
          </w:rPr>
          <w:fldChar w:fldCharType="end"/>
        </w:r>
        <w:r>
          <w:rPr/>
          <w:instrText> PAGEREF _Toc3846 \h </w:instrText>
        </w:r>
        <w:r>
          <w:rPr/>
          <w:fldChar w:fldCharType="separate"/>
        </w:r>
        <w:r>
          <w:rPr/>
          <w:t>4</w:t>
        </w:r>
        <w:r>
          <w:rPr/>
          <w:fldChar w:fldCharType="end"/>
        </w:r>
      </w:hyperlink>
    </w:p>
    <w:p>
      <w:pPr>
        <w:pStyle w:val="Tabledesmatiresniveau2"/>
        <w:tabs>
          <w:tab w:val="clear" w:pos="706"/>
          <w:tab w:val="right" w:pos="8290" w:leader="dot"/>
        </w:tabs>
        <w:rPr/>
      </w:pPr>
      <w:hyperlink w:anchor="_Toc3847" w:tgtFrame="#_Toc3847">
        <w:r>
          <w:rPr/>
          <w:t>1.3 Décomposition en Lots, Tranches et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_Toc3847 \h</w:instrText>
        </w:r>
        <w:r>
          <w:rPr>
            <w:webHidden/>
          </w:rPr>
          <w:fldChar w:fldCharType="separate"/>
        </w:r>
        <w:r>
          <w:rPr/>
          <w:fldChar w:fldCharType="begin"/>
        </w:r>
        <w:r>
          <w:rPr>
            <w:webHidden/>
          </w:rPr>
          <w:fldChar w:fldCharType="end"/>
        </w:r>
        <w:r>
          <w:rPr/>
          <w:instrText> PAGEREF _Toc3847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848" w:tgtFrame="#_Toc3848">
        <w:r>
          <w:rPr/>
          <w:t>1.3.1 Décomposition en lots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_Toc3848 \h</w:instrText>
        </w:r>
        <w:r>
          <w:rPr>
            <w:webHidden/>
          </w:rPr>
          <w:fldChar w:fldCharType="separate"/>
        </w:r>
        <w:r>
          <w:rPr/>
          <w:fldChar w:fldCharType="begin"/>
        </w:r>
        <w:r>
          <w:rPr>
            <w:webHidden/>
          </w:rPr>
          <w:fldChar w:fldCharType="end"/>
        </w:r>
        <w:r>
          <w:rPr/>
          <w:instrText> PAGEREF _Toc3848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849" w:tgtFrame="#_Toc3849">
        <w:r>
          <w:rPr/>
          <w:t>1.3.2 Décomposition en tranches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_Toc3849 \h</w:instrText>
        </w:r>
        <w:r>
          <w:rPr>
            <w:webHidden/>
          </w:rPr>
          <w:fldChar w:fldCharType="separate"/>
        </w:r>
        <w:r>
          <w:rPr/>
          <w:fldChar w:fldCharType="begin"/>
        </w:r>
        <w:r>
          <w:rPr>
            <w:webHidden/>
          </w:rPr>
          <w:fldChar w:fldCharType="end"/>
        </w:r>
        <w:r>
          <w:rPr/>
          <w:instrText> PAGEREF _Toc3849 \h </w:instrText>
        </w:r>
        <w:r>
          <w:rPr/>
          <w:fldChar w:fldCharType="separate"/>
        </w:r>
        <w:r>
          <w:rPr/>
          <w:t>4</w:t>
        </w:r>
        <w:r>
          <w:rPr/>
          <w:fldChar w:fldCharType="end"/>
        </w:r>
      </w:hyperlink>
    </w:p>
    <w:p>
      <w:pPr>
        <w:pStyle w:val="Tabledesmatiresniveau3"/>
        <w:tabs>
          <w:tab w:val="right" w:pos="8290" w:leader="dot"/>
          <w:tab w:val="right" w:pos="9241" w:leader="dot"/>
        </w:tabs>
        <w:rPr/>
      </w:pPr>
      <w:hyperlink w:anchor="_Toc3850" w:tgtFrame="#_Toc3850">
        <w:r>
          <w:rPr/>
          <w:t>1.3.3 Décomposition en postes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_Toc3850 \h</w:instrText>
        </w:r>
        <w:r>
          <w:rPr>
            <w:webHidden/>
          </w:rPr>
          <w:fldChar w:fldCharType="separate"/>
        </w:r>
        <w:r>
          <w:rPr/>
          <w:fldChar w:fldCharType="begin"/>
        </w:r>
        <w:r>
          <w:rPr>
            <w:webHidden/>
          </w:rPr>
          <w:fldChar w:fldCharType="end"/>
        </w:r>
        <w:r>
          <w:rPr/>
          <w:instrText> PAGEREF _Toc3850 \h </w:instrText>
        </w:r>
        <w:r>
          <w:rPr/>
          <w:fldChar w:fldCharType="separate"/>
        </w:r>
        <w:r>
          <w:rPr/>
          <w:t>4</w:t>
        </w:r>
        <w:r>
          <w:rPr/>
          <w:fldChar w:fldCharType="end"/>
        </w:r>
      </w:hyperlink>
    </w:p>
    <w:p>
      <w:pPr>
        <w:pStyle w:val="Tabledesmatiresniveau2"/>
        <w:tabs>
          <w:tab w:val="clear" w:pos="706"/>
          <w:tab w:val="right" w:pos="8290" w:leader="dot"/>
        </w:tabs>
        <w:rPr/>
      </w:pPr>
      <w:hyperlink w:anchor="_Toc3851" w:tgtFrame="#_Toc3851">
        <w:r>
          <w:rPr/>
          <w:t>1.4 Modalités d'exécution des tranches optionnelles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_Toc3851 \h</w:instrText>
        </w:r>
        <w:r>
          <w:rPr>
            <w:webHidden/>
          </w:rPr>
          <w:fldChar w:fldCharType="separate"/>
        </w:r>
        <w:r>
          <w:rPr/>
          <w:fldChar w:fldCharType="begin"/>
        </w:r>
        <w:r>
          <w:rPr>
            <w:webHidden/>
          </w:rPr>
          <w:fldChar w:fldCharType="end"/>
        </w:r>
        <w:r>
          <w:rPr/>
          <w:instrText> PAGEREF _Toc3851 \h </w:instrText>
        </w:r>
        <w:r>
          <w:rPr/>
          <w:fldChar w:fldCharType="separate"/>
        </w:r>
        <w:r>
          <w:rPr/>
          <w:t>5</w:t>
        </w:r>
        <w:r>
          <w:rPr/>
          <w:fldChar w:fldCharType="end"/>
        </w:r>
      </w:hyperlink>
    </w:p>
    <w:p>
      <w:pPr>
        <w:pStyle w:val="Tabledesmatiresniveau2"/>
        <w:tabs>
          <w:tab w:val="clear" w:pos="706"/>
          <w:tab w:val="right" w:pos="8290" w:leader="dot"/>
        </w:tabs>
        <w:rPr/>
      </w:pPr>
      <w:hyperlink w:anchor="_Toc3852" w:tgtFrame="#_Toc3852">
        <w:r>
          <w:rPr/>
          <w:t>1.5 Accord-cadre à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_Toc3852 \h</w:instrText>
        </w:r>
        <w:r>
          <w:rPr>
            <w:webHidden/>
          </w:rPr>
          <w:fldChar w:fldCharType="separate"/>
        </w:r>
        <w:r>
          <w:rPr/>
          <w:fldChar w:fldCharType="begin"/>
        </w:r>
        <w:r>
          <w:rPr>
            <w:webHidden/>
          </w:rPr>
          <w:fldChar w:fldCharType="end"/>
        </w:r>
        <w:r>
          <w:rPr/>
          <w:instrText> PAGEREF _Toc3852 \h </w:instrText>
        </w:r>
        <w:r>
          <w:rPr/>
          <w:fldChar w:fldCharType="separate"/>
        </w:r>
        <w:r>
          <w:rPr/>
          <w:t>5</w:t>
        </w:r>
        <w:r>
          <w:rPr/>
          <w:fldChar w:fldCharType="end"/>
        </w:r>
      </w:hyperlink>
    </w:p>
    <w:p>
      <w:pPr>
        <w:pStyle w:val="Tabledesmatiresniveau2"/>
        <w:tabs>
          <w:tab w:val="clear" w:pos="706"/>
          <w:tab w:val="right" w:pos="8290" w:leader="dot"/>
        </w:tabs>
        <w:rPr/>
      </w:pPr>
      <w:hyperlink w:anchor="_Toc3853" w:tgtFrame="#_Toc3853">
        <w:r>
          <w:rPr/>
          <w:t>1.6 Date d'effet du marché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_Toc3853 \h</w:instrText>
        </w:r>
        <w:r>
          <w:rPr>
            <w:webHidden/>
          </w:rPr>
          <w:fldChar w:fldCharType="separate"/>
        </w:r>
        <w:r>
          <w:rPr/>
          <w:fldChar w:fldCharType="begin"/>
        </w:r>
        <w:r>
          <w:rPr>
            <w:webHidden/>
          </w:rPr>
          <w:fldChar w:fldCharType="end"/>
        </w:r>
        <w:r>
          <w:rPr/>
          <w:instrText> PAGEREF _Toc3853 \h </w:instrText>
        </w:r>
        <w:r>
          <w:rPr/>
          <w:fldChar w:fldCharType="separate"/>
        </w:r>
        <w:r>
          <w:rPr/>
          <w:t>5</w:t>
        </w:r>
        <w:r>
          <w:rPr/>
          <w:fldChar w:fldCharType="end"/>
        </w:r>
      </w:hyperlink>
    </w:p>
    <w:p>
      <w:pPr>
        <w:pStyle w:val="Tabledesmatiresniveau2"/>
        <w:tabs>
          <w:tab w:val="clear" w:pos="706"/>
          <w:tab w:val="right" w:pos="8290" w:leader="dot"/>
        </w:tabs>
        <w:rPr/>
      </w:pPr>
      <w:hyperlink w:anchor="_Toc3854" w:tgtFrame="#_Toc3854">
        <w:r>
          <w:rPr/>
          <w:t>1.7 Durée du marché - Période de validité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_Toc3854 \h</w:instrText>
        </w:r>
        <w:r>
          <w:rPr>
            <w:webHidden/>
          </w:rPr>
          <w:fldChar w:fldCharType="separate"/>
        </w:r>
        <w:r>
          <w:rPr/>
          <w:fldChar w:fldCharType="begin"/>
        </w:r>
        <w:r>
          <w:rPr>
            <w:webHidden/>
          </w:rPr>
          <w:fldChar w:fldCharType="end"/>
        </w:r>
        <w:r>
          <w:rPr/>
          <w:instrText> PAGEREF _Toc3854 \h </w:instrText>
        </w:r>
        <w:r>
          <w:rPr/>
          <w:fldChar w:fldCharType="separate"/>
        </w:r>
        <w:r>
          <w:rPr/>
          <w:t>5</w:t>
        </w:r>
        <w:r>
          <w:rPr/>
          <w:fldChar w:fldCharType="end"/>
        </w:r>
      </w:hyperlink>
    </w:p>
    <w:p>
      <w:pPr>
        <w:pStyle w:val="Tabledesmatiresniveau2"/>
        <w:tabs>
          <w:tab w:val="clear" w:pos="706"/>
          <w:tab w:val="right" w:pos="8290" w:leader="dot"/>
        </w:tabs>
        <w:rPr/>
      </w:pPr>
      <w:hyperlink w:anchor="_Toc3855" w:tgtFrame="#_Toc3855">
        <w:r>
          <w:rPr/>
          <w:t>1.8 Clause obligatoire d'insertion par l'activité économique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_Toc3855 \h</w:instrText>
        </w:r>
        <w:r>
          <w:rPr>
            <w:webHidden/>
          </w:rPr>
          <w:fldChar w:fldCharType="separate"/>
        </w:r>
        <w:r>
          <w:rPr/>
          <w:fldChar w:fldCharType="begin"/>
        </w:r>
        <w:r>
          <w:rPr>
            <w:webHidden/>
          </w:rPr>
          <w:fldChar w:fldCharType="end"/>
        </w:r>
        <w:r>
          <w:rPr/>
          <w:instrText> PAGEREF _Toc3855 \h </w:instrText>
        </w:r>
        <w:r>
          <w:rPr/>
          <w:fldChar w:fldCharType="separate"/>
        </w:r>
        <w:r>
          <w:rPr/>
          <w:t>6</w:t>
        </w:r>
        <w:r>
          <w:rPr/>
          <w:fldChar w:fldCharType="end"/>
        </w:r>
      </w:hyperlink>
    </w:p>
    <w:p>
      <w:pPr>
        <w:pStyle w:val="Tabledesmatiresniveau2"/>
        <w:tabs>
          <w:tab w:val="clear" w:pos="706"/>
          <w:tab w:val="right" w:pos="8290" w:leader="dot"/>
        </w:tabs>
        <w:rPr/>
      </w:pPr>
      <w:hyperlink w:anchor="_Toc3856" w:tgtFrame="#_Toc3856">
        <w:r>
          <w:rPr/>
          <w:t>1.9 Réemploi, réutilisation ou intégration de matières recyclées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_Toc3856 \h</w:instrText>
        </w:r>
        <w:r>
          <w:rPr>
            <w:webHidden/>
          </w:rPr>
          <w:fldChar w:fldCharType="separate"/>
        </w:r>
        <w:r>
          <w:rPr/>
          <w:fldChar w:fldCharType="begin"/>
        </w:r>
        <w:r>
          <w:rPr>
            <w:webHidden/>
          </w:rPr>
          <w:fldChar w:fldCharType="end"/>
        </w:r>
        <w:r>
          <w:rPr/>
          <w:instrText> PAGEREF _Toc3856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857" w:tgtFrame="#_Toc3857">
        <w:r>
          <w:rPr/>
          <w:t>Article 2 - DOCUMENTS CONTRACTUELS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_Toc3857 \h</w:instrText>
        </w:r>
        <w:r>
          <w:rPr>
            <w:webHidden/>
          </w:rPr>
          <w:fldChar w:fldCharType="separate"/>
        </w:r>
        <w:r>
          <w:rPr/>
          <w:fldChar w:fldCharType="begin"/>
        </w:r>
        <w:r>
          <w:rPr>
            <w:webHidden/>
          </w:rPr>
          <w:fldChar w:fldCharType="end"/>
        </w:r>
        <w:r>
          <w:rPr/>
          <w:instrText> PAGEREF _Toc3857 \h </w:instrText>
        </w:r>
        <w:r>
          <w:rPr/>
          <w:fldChar w:fldCharType="separate"/>
        </w:r>
        <w:r>
          <w:rPr/>
          <w:t>6</w:t>
        </w:r>
        <w:r>
          <w:rPr/>
          <w:fldChar w:fldCharType="end"/>
        </w:r>
      </w:hyperlink>
    </w:p>
    <w:p>
      <w:pPr>
        <w:pStyle w:val="Tabledesmatiresniveau1"/>
        <w:tabs>
          <w:tab w:val="right" w:pos="8290" w:leader="dot"/>
          <w:tab w:val="right" w:pos="9637" w:leader="dot"/>
        </w:tabs>
        <w:rPr/>
      </w:pPr>
      <w:hyperlink w:anchor="_Toc3858" w:tgtFrame="#_Toc3858">
        <w:r>
          <w:rPr/>
          <w:t>Article 3 - DELAIS DE LIVRAISON ET/OU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_Toc3858 \h</w:instrText>
        </w:r>
        <w:r>
          <w:rPr>
            <w:webHidden/>
          </w:rPr>
          <w:fldChar w:fldCharType="separate"/>
        </w:r>
        <w:r>
          <w:rPr/>
          <w:fldChar w:fldCharType="begin"/>
        </w:r>
        <w:r>
          <w:rPr>
            <w:webHidden/>
          </w:rPr>
          <w:fldChar w:fldCharType="end"/>
        </w:r>
        <w:r>
          <w:rPr/>
          <w:instrText> PAGEREF _Toc3858 \h </w:instrText>
        </w:r>
        <w:r>
          <w:rPr/>
          <w:fldChar w:fldCharType="separate"/>
        </w:r>
        <w:r>
          <w:rPr/>
          <w:t>6</w:t>
        </w:r>
        <w:r>
          <w:rPr/>
          <w:fldChar w:fldCharType="end"/>
        </w:r>
      </w:hyperlink>
    </w:p>
    <w:p>
      <w:pPr>
        <w:pStyle w:val="Tabledesmatiresniveau2"/>
        <w:tabs>
          <w:tab w:val="clear" w:pos="706"/>
          <w:tab w:val="right" w:pos="8290" w:leader="dot"/>
        </w:tabs>
        <w:rPr/>
      </w:pPr>
      <w:hyperlink w:anchor="_Toc3859" w:tgtFrame="#_Toc3859">
        <w:r>
          <w:rPr/>
          <w:t>3.1 Délais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_Toc3859 \h</w:instrText>
        </w:r>
        <w:r>
          <w:rPr>
            <w:webHidden/>
          </w:rPr>
          <w:fldChar w:fldCharType="separate"/>
        </w:r>
        <w:r>
          <w:rPr/>
          <w:fldChar w:fldCharType="begin"/>
        </w:r>
        <w:r>
          <w:rPr>
            <w:webHidden/>
          </w:rPr>
          <w:fldChar w:fldCharType="end"/>
        </w:r>
        <w:r>
          <w:rPr/>
          <w:instrText> PAGEREF _Toc3859 \h </w:instrText>
        </w:r>
        <w:r>
          <w:rPr/>
          <w:fldChar w:fldCharType="separate"/>
        </w:r>
        <w:r>
          <w:rPr/>
          <w:t>6</w:t>
        </w:r>
        <w:r>
          <w:rPr/>
          <w:fldChar w:fldCharType="end"/>
        </w:r>
      </w:hyperlink>
    </w:p>
    <w:p>
      <w:pPr>
        <w:pStyle w:val="Tabledesmatiresniveau2"/>
        <w:tabs>
          <w:tab w:val="clear" w:pos="706"/>
          <w:tab w:val="right" w:pos="8290" w:leader="dot"/>
        </w:tabs>
        <w:rPr/>
      </w:pPr>
      <w:hyperlink w:anchor="_Toc3860" w:tgtFrame="#_Toc3860">
        <w:r>
          <w:rPr/>
          <w:t>3.2 Emission des bons de commande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_Toc3860 \h</w:instrText>
        </w:r>
        <w:r>
          <w:rPr>
            <w:webHidden/>
          </w:rPr>
          <w:fldChar w:fldCharType="separate"/>
        </w:r>
        <w:r>
          <w:rPr/>
          <w:fldChar w:fldCharType="begin"/>
        </w:r>
        <w:r>
          <w:rPr>
            <w:webHidden/>
          </w:rPr>
          <w:fldChar w:fldCharType="end"/>
        </w:r>
        <w:r>
          <w:rPr/>
          <w:instrText> PAGEREF _Toc3860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861" w:tgtFrame="#_Toc3861">
        <w:r>
          <w:rPr/>
          <w:t>Article 4 - ENTREPRISES GROUPEES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_Toc3861 \h</w:instrText>
        </w:r>
        <w:r>
          <w:rPr>
            <w:webHidden/>
          </w:rPr>
          <w:fldChar w:fldCharType="separate"/>
        </w:r>
        <w:r>
          <w:rPr/>
          <w:fldChar w:fldCharType="begin"/>
        </w:r>
        <w:r>
          <w:rPr>
            <w:webHidden/>
          </w:rPr>
          <w:fldChar w:fldCharType="end"/>
        </w:r>
        <w:r>
          <w:rPr/>
          <w:instrText> PAGEREF _Toc3861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862" w:tgtFrame="#_Toc3862">
        <w:r>
          <w:rPr/>
          <w:t>Article 5 - CONDITIONS DE LIVRAISON ET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_Toc3862 \h</w:instrText>
        </w:r>
        <w:r>
          <w:rPr>
            <w:webHidden/>
          </w:rPr>
          <w:fldChar w:fldCharType="separate"/>
        </w:r>
        <w:r>
          <w:rPr/>
          <w:fldChar w:fldCharType="begin"/>
        </w:r>
        <w:r>
          <w:rPr>
            <w:webHidden/>
          </w:rPr>
          <w:fldChar w:fldCharType="end"/>
        </w:r>
        <w:r>
          <w:rPr/>
          <w:instrText> PAGEREF _Toc3862 \h </w:instrText>
        </w:r>
        <w:r>
          <w:rPr/>
          <w:fldChar w:fldCharType="separate"/>
        </w:r>
        <w:r>
          <w:rPr/>
          <w:t>7</w:t>
        </w:r>
        <w:r>
          <w:rPr/>
          <w:fldChar w:fldCharType="end"/>
        </w:r>
      </w:hyperlink>
    </w:p>
    <w:p>
      <w:pPr>
        <w:pStyle w:val="Tabledesmatiresniveau2"/>
        <w:tabs>
          <w:tab w:val="clear" w:pos="706"/>
          <w:tab w:val="right" w:pos="8290" w:leader="dot"/>
        </w:tabs>
        <w:rPr/>
      </w:pPr>
      <w:hyperlink w:anchor="_Toc3863" w:tgtFrame="#_Toc3863">
        <w:r>
          <w:rPr/>
          <w:t>5.1 Transport  et Emballages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_Toc3863 \h</w:instrText>
        </w:r>
        <w:r>
          <w:rPr>
            <w:webHidden/>
          </w:rPr>
          <w:fldChar w:fldCharType="separate"/>
        </w:r>
        <w:r>
          <w:rPr/>
          <w:fldChar w:fldCharType="begin"/>
        </w:r>
        <w:r>
          <w:rPr>
            <w:webHidden/>
          </w:rPr>
          <w:fldChar w:fldCharType="end"/>
        </w:r>
        <w:r>
          <w:rPr/>
          <w:instrText> PAGEREF _Toc3863 \h </w:instrText>
        </w:r>
        <w:r>
          <w:rPr/>
          <w:fldChar w:fldCharType="separate"/>
        </w:r>
        <w:r>
          <w:rPr/>
          <w:t>7</w:t>
        </w:r>
        <w:r>
          <w:rPr/>
          <w:fldChar w:fldCharType="end"/>
        </w:r>
      </w:hyperlink>
    </w:p>
    <w:p>
      <w:pPr>
        <w:pStyle w:val="Tabledesmatiresniveau2"/>
        <w:tabs>
          <w:tab w:val="clear" w:pos="706"/>
          <w:tab w:val="right" w:pos="8290" w:leader="dot"/>
        </w:tabs>
        <w:rPr/>
      </w:pPr>
      <w:hyperlink w:anchor="_Toc3864" w:tgtFrame="#_Toc3864">
        <w:r>
          <w:rPr/>
          <w:t>5.2 Lieux d'exécution ou de livraison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_Toc3864 \h</w:instrText>
        </w:r>
        <w:r>
          <w:rPr>
            <w:webHidden/>
          </w:rPr>
          <w:fldChar w:fldCharType="separate"/>
        </w:r>
        <w:r>
          <w:rPr/>
          <w:fldChar w:fldCharType="begin"/>
        </w:r>
        <w:r>
          <w:rPr>
            <w:webHidden/>
          </w:rPr>
          <w:fldChar w:fldCharType="end"/>
        </w:r>
        <w:r>
          <w:rPr/>
          <w:instrText> PAGEREF _Toc3864 \h </w:instrText>
        </w:r>
        <w:r>
          <w:rPr/>
          <w:fldChar w:fldCharType="separate"/>
        </w:r>
        <w:r>
          <w:rPr/>
          <w:t>7</w:t>
        </w:r>
        <w:r>
          <w:rPr/>
          <w:fldChar w:fldCharType="end"/>
        </w:r>
      </w:hyperlink>
    </w:p>
    <w:p>
      <w:pPr>
        <w:pStyle w:val="Tabledesmatiresniveau1"/>
        <w:tabs>
          <w:tab w:val="right" w:pos="8290" w:leader="dot"/>
          <w:tab w:val="right" w:pos="9637" w:leader="dot"/>
        </w:tabs>
        <w:rPr/>
      </w:pPr>
      <w:hyperlink w:anchor="_Toc3865" w:tgtFrame="#_Toc3865">
        <w:r>
          <w:rPr/>
          <w:t>Article 6 - CONDITIONS PARTICULIERES D'EXECUTION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_Toc3865 \h</w:instrText>
        </w:r>
        <w:r>
          <w:rPr>
            <w:webHidden/>
          </w:rPr>
          <w:fldChar w:fldCharType="separate"/>
        </w:r>
        <w:r>
          <w:rPr/>
          <w:fldChar w:fldCharType="begin"/>
        </w:r>
        <w:r>
          <w:rPr>
            <w:webHidden/>
          </w:rPr>
          <w:fldChar w:fldCharType="end"/>
        </w:r>
        <w:r>
          <w:rPr/>
          <w:instrText> PAGEREF _Toc3865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866" w:tgtFrame="#_Toc3866">
        <w:r>
          <w:rPr/>
          <w:t>Article 7 - OPERATIONS DE VERIFICATIONS /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_Toc3866 \h</w:instrText>
        </w:r>
        <w:r>
          <w:rPr>
            <w:webHidden/>
          </w:rPr>
          <w:fldChar w:fldCharType="separate"/>
        </w:r>
        <w:r>
          <w:rPr/>
          <w:fldChar w:fldCharType="begin"/>
        </w:r>
        <w:r>
          <w:rPr>
            <w:webHidden/>
          </w:rPr>
          <w:fldChar w:fldCharType="end"/>
        </w:r>
        <w:r>
          <w:rPr/>
          <w:instrText> PAGEREF _Toc3866 \h </w:instrText>
        </w:r>
        <w:r>
          <w:rPr/>
          <w:fldChar w:fldCharType="separate"/>
        </w:r>
        <w:r>
          <w:rPr/>
          <w:t>8</w:t>
        </w:r>
        <w:r>
          <w:rPr/>
          <w:fldChar w:fldCharType="end"/>
        </w:r>
      </w:hyperlink>
    </w:p>
    <w:p>
      <w:pPr>
        <w:pStyle w:val="Tabledesmatiresniveau2"/>
        <w:tabs>
          <w:tab w:val="clear" w:pos="706"/>
          <w:tab w:val="right" w:pos="8290" w:leader="dot"/>
        </w:tabs>
        <w:rPr/>
      </w:pPr>
      <w:hyperlink w:anchor="_Toc3867" w:tgtFrame="#_Toc3867">
        <w:r>
          <w:rPr/>
          <w:t>7.1 Vérifications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_Toc3867 \h</w:instrText>
        </w:r>
        <w:r>
          <w:rPr>
            <w:webHidden/>
          </w:rPr>
          <w:fldChar w:fldCharType="separate"/>
        </w:r>
        <w:r>
          <w:rPr/>
          <w:fldChar w:fldCharType="begin"/>
        </w:r>
        <w:r>
          <w:rPr>
            <w:webHidden/>
          </w:rPr>
          <w:fldChar w:fldCharType="end"/>
        </w:r>
        <w:r>
          <w:rPr/>
          <w:instrText> PAGEREF _Toc3867 \h </w:instrText>
        </w:r>
        <w:r>
          <w:rPr/>
          <w:fldChar w:fldCharType="separate"/>
        </w:r>
        <w:r>
          <w:rPr/>
          <w:t>8</w:t>
        </w:r>
        <w:r>
          <w:rPr/>
          <w:fldChar w:fldCharType="end"/>
        </w:r>
      </w:hyperlink>
    </w:p>
    <w:p>
      <w:pPr>
        <w:pStyle w:val="Tabledesmatiresniveau2"/>
        <w:tabs>
          <w:tab w:val="clear" w:pos="706"/>
          <w:tab w:val="right" w:pos="8290" w:leader="dot"/>
        </w:tabs>
        <w:rPr/>
      </w:pPr>
      <w:hyperlink w:anchor="_Toc3868" w:tgtFrame="#_Toc3868">
        <w:r>
          <w:rPr/>
          <w:t>7.2 Admission</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_Toc3868 \h</w:instrText>
        </w:r>
        <w:r>
          <w:rPr>
            <w:webHidden/>
          </w:rPr>
          <w:fldChar w:fldCharType="separate"/>
        </w:r>
        <w:r>
          <w:rPr/>
          <w:fldChar w:fldCharType="begin"/>
        </w:r>
        <w:r>
          <w:rPr>
            <w:webHidden/>
          </w:rPr>
          <w:fldChar w:fldCharType="end"/>
        </w:r>
        <w:r>
          <w:rPr/>
          <w:instrText> PAGEREF _Toc3868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869" w:tgtFrame="#_Toc3869">
        <w:r>
          <w:rPr/>
          <w:t>Article 8 - GARANTIE CONTRACTUELLE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_Toc3869 \h</w:instrText>
        </w:r>
        <w:r>
          <w:rPr>
            <w:webHidden/>
          </w:rPr>
          <w:fldChar w:fldCharType="separate"/>
        </w:r>
        <w:r>
          <w:rPr/>
          <w:fldChar w:fldCharType="begin"/>
        </w:r>
        <w:r>
          <w:rPr>
            <w:webHidden/>
          </w:rPr>
          <w:fldChar w:fldCharType="end"/>
        </w:r>
        <w:r>
          <w:rPr/>
          <w:instrText> PAGEREF _Toc3869 \h </w:instrText>
        </w:r>
        <w:r>
          <w:rPr/>
          <w:fldChar w:fldCharType="separate"/>
        </w:r>
        <w:r>
          <w:rPr/>
          <w:t>8</w:t>
        </w:r>
        <w:r>
          <w:rPr/>
          <w:fldChar w:fldCharType="end"/>
        </w:r>
      </w:hyperlink>
    </w:p>
    <w:p>
      <w:pPr>
        <w:pStyle w:val="Tabledesmatiresniveau2"/>
        <w:tabs>
          <w:tab w:val="clear" w:pos="706"/>
          <w:tab w:val="right" w:pos="8290" w:leader="dot"/>
        </w:tabs>
        <w:rPr/>
      </w:pPr>
      <w:hyperlink w:anchor="_Toc3870" w:tgtFrame="#_Toc3870">
        <w:r>
          <w:rPr/>
          <w:t>8.1 Durée de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_Toc3870 \h</w:instrText>
        </w:r>
        <w:r>
          <w:rPr>
            <w:webHidden/>
          </w:rPr>
          <w:fldChar w:fldCharType="separate"/>
        </w:r>
        <w:r>
          <w:rPr/>
          <w:fldChar w:fldCharType="begin"/>
        </w:r>
        <w:r>
          <w:rPr>
            <w:webHidden/>
          </w:rPr>
          <w:fldChar w:fldCharType="end"/>
        </w:r>
        <w:r>
          <w:rPr/>
          <w:instrText> PAGEREF _Toc3870 \h </w:instrText>
        </w:r>
        <w:r>
          <w:rPr/>
          <w:fldChar w:fldCharType="separate"/>
        </w:r>
        <w:r>
          <w:rPr/>
          <w:t>8</w:t>
        </w:r>
        <w:r>
          <w:rPr/>
          <w:fldChar w:fldCharType="end"/>
        </w:r>
      </w:hyperlink>
    </w:p>
    <w:p>
      <w:pPr>
        <w:pStyle w:val="Tabledesmatiresniveau2"/>
        <w:tabs>
          <w:tab w:val="clear" w:pos="706"/>
          <w:tab w:val="right" w:pos="8290" w:leader="dot"/>
        </w:tabs>
        <w:rPr/>
      </w:pPr>
      <w:hyperlink w:anchor="_Toc3871" w:tgtFrame="#_Toc3871">
        <w:r>
          <w:rPr/>
          <w:t>8.2 Point de départ de la garantie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_Toc3871 \h</w:instrText>
        </w:r>
        <w:r>
          <w:rPr>
            <w:webHidden/>
          </w:rPr>
          <w:fldChar w:fldCharType="separate"/>
        </w:r>
        <w:r>
          <w:rPr/>
          <w:fldChar w:fldCharType="begin"/>
        </w:r>
        <w:r>
          <w:rPr>
            <w:webHidden/>
          </w:rPr>
          <w:fldChar w:fldCharType="end"/>
        </w:r>
        <w:r>
          <w:rPr/>
          <w:instrText> PAGEREF _Toc3871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4318" w:tgtFrame="#_Toc4318">
        <w:r>
          <w:rPr/>
          <w:t>Article 9 - PROPRIETE INTELLECTUELLE ET UTILISATION DES RESULTATS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_Toc4318 \h</w:instrText>
        </w:r>
        <w:r>
          <w:rPr>
            <w:webHidden/>
          </w:rPr>
          <w:fldChar w:fldCharType="separate"/>
        </w:r>
        <w:r>
          <w:rPr/>
          <w:fldChar w:fldCharType="begin"/>
        </w:r>
        <w:r>
          <w:rPr>
            <w:webHidden/>
          </w:rPr>
          <w:fldChar w:fldCharType="end"/>
        </w:r>
        <w:r>
          <w:rPr/>
          <w:instrText> PAGEREF _Toc4318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4557" w:tgtFrame="#_Toc4557">
        <w:r>
          <w:rPr/>
          <w:t>Article 10 - CONFIDENTIALITE ET MESURES DE SECURITE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_Toc4557 \h</w:instrText>
        </w:r>
        <w:r>
          <w:rPr>
            <w:webHidden/>
          </w:rPr>
          <w:fldChar w:fldCharType="separate"/>
        </w:r>
        <w:r>
          <w:rPr/>
          <w:fldChar w:fldCharType="begin"/>
        </w:r>
        <w:r>
          <w:rPr>
            <w:webHidden/>
          </w:rPr>
          <w:fldChar w:fldCharType="end"/>
        </w:r>
        <w:r>
          <w:rPr/>
          <w:instrText> PAGEREF _Toc4557 \h </w:instrText>
        </w:r>
        <w:r>
          <w:rPr/>
          <w:fldChar w:fldCharType="separate"/>
        </w:r>
        <w:r>
          <w:rPr/>
          <w:t>8</w:t>
        </w:r>
        <w:r>
          <w:rPr/>
          <w:fldChar w:fldCharType="end"/>
        </w:r>
      </w:hyperlink>
    </w:p>
    <w:p>
      <w:pPr>
        <w:pStyle w:val="Tabledesmatiresniveau1"/>
        <w:tabs>
          <w:tab w:val="right" w:pos="8290" w:leader="dot"/>
          <w:tab w:val="right" w:pos="9637" w:leader="dot"/>
        </w:tabs>
        <w:rPr/>
      </w:pPr>
      <w:hyperlink w:anchor="_Toc3872" w:tgtFrame="#_Toc3872">
        <w:r>
          <w:rPr/>
          <w:t>Article 11 - MODALITES DE DETERMINATION DES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_Toc3872 \h</w:instrText>
        </w:r>
        <w:r>
          <w:rPr>
            <w:webHidden/>
          </w:rPr>
          <w:fldChar w:fldCharType="separate"/>
        </w:r>
        <w:r>
          <w:rPr/>
          <w:fldChar w:fldCharType="begin"/>
        </w:r>
        <w:r>
          <w:rPr>
            <w:webHidden/>
          </w:rPr>
          <w:fldChar w:fldCharType="end"/>
        </w:r>
        <w:r>
          <w:rPr/>
          <w:instrText> PAGEREF _Toc3872 \h </w:instrText>
        </w:r>
        <w:r>
          <w:rPr/>
          <w:fldChar w:fldCharType="separate"/>
        </w:r>
        <w:r>
          <w:rPr/>
          <w:t>9</w:t>
        </w:r>
        <w:r>
          <w:rPr/>
          <w:fldChar w:fldCharType="end"/>
        </w:r>
      </w:hyperlink>
    </w:p>
    <w:p>
      <w:pPr>
        <w:pStyle w:val="Tabledesmatiresniveau2"/>
        <w:tabs>
          <w:tab w:val="clear" w:pos="706"/>
          <w:tab w:val="right" w:pos="8290" w:leader="dot"/>
        </w:tabs>
        <w:rPr/>
      </w:pPr>
      <w:hyperlink w:anchor="_Toc3873" w:tgtFrame="#_Toc3873">
        <w:r>
          <w:rPr/>
          <w:t>11.1 Nature du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_Toc3873 \h</w:instrText>
        </w:r>
        <w:r>
          <w:rPr>
            <w:webHidden/>
          </w:rPr>
          <w:fldChar w:fldCharType="separate"/>
        </w:r>
        <w:r>
          <w:rPr/>
          <w:fldChar w:fldCharType="begin"/>
        </w:r>
        <w:r>
          <w:rPr>
            <w:webHidden/>
          </w:rPr>
          <w:fldChar w:fldCharType="end"/>
        </w:r>
        <w:r>
          <w:rPr/>
          <w:instrText> PAGEREF _Toc3873 \h </w:instrText>
        </w:r>
        <w:r>
          <w:rPr/>
          <w:fldChar w:fldCharType="separate"/>
        </w:r>
        <w:r>
          <w:rPr/>
          <w:t>9</w:t>
        </w:r>
        <w:r>
          <w:rPr/>
          <w:fldChar w:fldCharType="end"/>
        </w:r>
      </w:hyperlink>
    </w:p>
    <w:p>
      <w:pPr>
        <w:pStyle w:val="Tabledesmatiresniveau2"/>
        <w:tabs>
          <w:tab w:val="clear" w:pos="706"/>
          <w:tab w:val="right" w:pos="8290" w:leader="dot"/>
        </w:tabs>
        <w:rPr/>
      </w:pPr>
      <w:hyperlink w:anchor="_Toc3874" w:tgtFrame="#_Toc3874">
        <w:r>
          <w:rPr/>
          <w:t>11.2 Variations de prix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_Toc3874 \h</w:instrText>
        </w:r>
        <w:r>
          <w:rPr>
            <w:webHidden/>
          </w:rPr>
          <w:fldChar w:fldCharType="separate"/>
        </w:r>
        <w:r>
          <w:rPr/>
          <w:fldChar w:fldCharType="begin"/>
        </w:r>
        <w:r>
          <w:rPr>
            <w:webHidden/>
          </w:rPr>
          <w:fldChar w:fldCharType="end"/>
        </w:r>
        <w:r>
          <w:rPr/>
          <w:instrText> PAGEREF _Toc3874 \h </w:instrText>
        </w:r>
        <w:r>
          <w:rPr/>
          <w:fldChar w:fldCharType="separate"/>
        </w:r>
        <w:r>
          <w:rPr/>
          <w:t>9</w:t>
        </w:r>
        <w:r>
          <w:rPr/>
          <w:fldChar w:fldCharType="end"/>
        </w:r>
      </w:hyperlink>
    </w:p>
    <w:p>
      <w:pPr>
        <w:pStyle w:val="Tabledesmatiresniveau2"/>
        <w:tabs>
          <w:tab w:val="clear" w:pos="706"/>
          <w:tab w:val="right" w:pos="8290" w:leader="dot"/>
        </w:tabs>
        <w:rPr/>
      </w:pPr>
      <w:hyperlink w:anchor="_Toc3875" w:tgtFrame="#_Toc3875">
        <w:r>
          <w:rPr/>
          <w:t>11.3 Disparition d'indice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_Toc3875 \h</w:instrText>
        </w:r>
        <w:r>
          <w:rPr>
            <w:webHidden/>
          </w:rPr>
          <w:fldChar w:fldCharType="separate"/>
        </w:r>
        <w:r>
          <w:rPr/>
          <w:fldChar w:fldCharType="begin"/>
        </w:r>
        <w:r>
          <w:rPr>
            <w:webHidden/>
          </w:rPr>
          <w:fldChar w:fldCharType="end"/>
        </w:r>
        <w:r>
          <w:rPr/>
          <w:instrText> PAGEREF _Toc3875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876" w:tgtFrame="#_Toc3876">
        <w:r>
          <w:rPr/>
          <w:t>Article 12 - 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_Toc3876 \h</w:instrText>
        </w:r>
        <w:r>
          <w:rPr>
            <w:webHidden/>
          </w:rPr>
          <w:fldChar w:fldCharType="separate"/>
        </w:r>
        <w:r>
          <w:rPr/>
          <w:fldChar w:fldCharType="begin"/>
        </w:r>
        <w:r>
          <w:rPr>
            <w:webHidden/>
          </w:rPr>
          <w:fldChar w:fldCharType="end"/>
        </w:r>
        <w:r>
          <w:rPr/>
          <w:instrText> PAGEREF _Toc3876 \h </w:instrText>
        </w:r>
        <w:r>
          <w:rPr/>
          <w:fldChar w:fldCharType="separate"/>
        </w:r>
        <w:r>
          <w:rPr/>
          <w:t>10</w:t>
        </w:r>
        <w:r>
          <w:rPr/>
          <w:fldChar w:fldCharType="end"/>
        </w:r>
      </w:hyperlink>
    </w:p>
    <w:p>
      <w:pPr>
        <w:pStyle w:val="Tabledesmatiresniveau2"/>
        <w:tabs>
          <w:tab w:val="clear" w:pos="706"/>
          <w:tab w:val="right" w:pos="8290" w:leader="dot"/>
        </w:tabs>
        <w:rPr/>
      </w:pPr>
      <w:hyperlink w:anchor="_Toc3877" w:tgtFrame="#_Toc3877">
        <w:r>
          <w:rPr/>
          <w:t>12.1 Régime de l'avance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_Toc3877 \h</w:instrText>
        </w:r>
        <w:r>
          <w:rPr>
            <w:webHidden/>
          </w:rPr>
          <w:fldChar w:fldCharType="separate"/>
        </w:r>
        <w:r>
          <w:rPr/>
          <w:fldChar w:fldCharType="begin"/>
        </w:r>
        <w:r>
          <w:rPr>
            <w:webHidden/>
          </w:rPr>
          <w:fldChar w:fldCharType="end"/>
        </w:r>
        <w:r>
          <w:rPr/>
          <w:instrText> PAGEREF _Toc3877 \h </w:instrText>
        </w:r>
        <w:r>
          <w:rPr/>
          <w:fldChar w:fldCharType="separate"/>
        </w:r>
        <w:r>
          <w:rPr/>
          <w:t>10</w:t>
        </w:r>
        <w:r>
          <w:rPr/>
          <w:fldChar w:fldCharType="end"/>
        </w:r>
      </w:hyperlink>
    </w:p>
    <w:p>
      <w:pPr>
        <w:pStyle w:val="Tabledesmatiresniveau2"/>
        <w:tabs>
          <w:tab w:val="clear" w:pos="706"/>
          <w:tab w:val="right" w:pos="8290" w:leader="dot"/>
        </w:tabs>
        <w:rPr/>
      </w:pPr>
      <w:hyperlink w:anchor="_Toc3878" w:tgtFrame="#_Toc3878">
        <w:r>
          <w:rPr/>
          <w:t>12.2 Dispositions complémentaires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_Toc3878 \h</w:instrText>
        </w:r>
        <w:r>
          <w:rPr>
            <w:webHidden/>
          </w:rPr>
          <w:fldChar w:fldCharType="separate"/>
        </w:r>
        <w:r>
          <w:rPr/>
          <w:fldChar w:fldCharType="begin"/>
        </w:r>
        <w:r>
          <w:rPr>
            <w:webHidden/>
          </w:rPr>
          <w:fldChar w:fldCharType="end"/>
        </w:r>
        <w:r>
          <w:rPr/>
          <w:instrText> PAGEREF _Toc3878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879" w:tgtFrame="#_Toc3879">
        <w:r>
          <w:rPr/>
          <w:t>Article 13 - MODALITÉS DE REGLEMENT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_Toc3879 \h</w:instrText>
        </w:r>
        <w:r>
          <w:rPr>
            <w:webHidden/>
          </w:rPr>
          <w:fldChar w:fldCharType="separate"/>
        </w:r>
        <w:r>
          <w:rPr/>
          <w:fldChar w:fldCharType="begin"/>
        </w:r>
        <w:r>
          <w:rPr>
            <w:webHidden/>
          </w:rPr>
          <w:fldChar w:fldCharType="end"/>
        </w:r>
        <w:r>
          <w:rPr/>
          <w:instrText> PAGEREF _Toc3879 \h </w:instrText>
        </w:r>
        <w:r>
          <w:rPr/>
          <w:fldChar w:fldCharType="separate"/>
        </w:r>
        <w:r>
          <w:rPr/>
          <w:t>10</w:t>
        </w:r>
        <w:r>
          <w:rPr/>
          <w:fldChar w:fldCharType="end"/>
        </w:r>
      </w:hyperlink>
    </w:p>
    <w:p>
      <w:pPr>
        <w:pStyle w:val="Tabledesmatiresniveau1"/>
        <w:tabs>
          <w:tab w:val="right" w:pos="8290" w:leader="dot"/>
          <w:tab w:val="right" w:pos="9637" w:leader="dot"/>
        </w:tabs>
        <w:rPr/>
      </w:pPr>
      <w:hyperlink w:anchor="_Toc3880" w:tgtFrame="#_Toc3880">
        <w:r>
          <w:rPr/>
          <w:t>Article 14 - PAIEMENT ET ETABLISSEMENT DE LA FACTURE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_Toc3880 \h</w:instrText>
        </w:r>
        <w:r>
          <w:rPr>
            <w:webHidden/>
          </w:rPr>
          <w:fldChar w:fldCharType="separate"/>
        </w:r>
        <w:r>
          <w:rPr/>
          <w:fldChar w:fldCharType="begin"/>
        </w:r>
        <w:r>
          <w:rPr>
            <w:webHidden/>
          </w:rPr>
          <w:fldChar w:fldCharType="end"/>
        </w:r>
        <w:r>
          <w:rPr/>
          <w:instrText> PAGEREF _Toc3880 \h </w:instrText>
        </w:r>
        <w:r>
          <w:rPr/>
          <w:fldChar w:fldCharType="separate"/>
        </w:r>
        <w:r>
          <w:rPr/>
          <w:t>11</w:t>
        </w:r>
        <w:r>
          <w:rPr/>
          <w:fldChar w:fldCharType="end"/>
        </w:r>
      </w:hyperlink>
    </w:p>
    <w:p>
      <w:pPr>
        <w:pStyle w:val="Tabledesmatiresniveau2"/>
        <w:tabs>
          <w:tab w:val="clear" w:pos="706"/>
          <w:tab w:val="right" w:pos="8290" w:leader="dot"/>
        </w:tabs>
        <w:rPr/>
      </w:pPr>
      <w:hyperlink w:anchor="_Toc3881" w:tgtFrame="#_Toc3881">
        <w:r>
          <w:rPr/>
          <w:t>14.1 Délais de paiements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_Toc3881 \h</w:instrText>
        </w:r>
        <w:r>
          <w:rPr>
            <w:webHidden/>
          </w:rPr>
          <w:fldChar w:fldCharType="separate"/>
        </w:r>
        <w:r>
          <w:rPr/>
          <w:fldChar w:fldCharType="begin"/>
        </w:r>
        <w:r>
          <w:rPr>
            <w:webHidden/>
          </w:rPr>
          <w:fldChar w:fldCharType="end"/>
        </w:r>
        <w:r>
          <w:rPr/>
          <w:instrText> PAGEREF _Toc3881 \h </w:instrText>
        </w:r>
        <w:r>
          <w:rPr/>
          <w:fldChar w:fldCharType="separate"/>
        </w:r>
        <w:r>
          <w:rPr/>
          <w:t>11</w:t>
        </w:r>
        <w:r>
          <w:rPr/>
          <w:fldChar w:fldCharType="end"/>
        </w:r>
      </w:hyperlink>
    </w:p>
    <w:p>
      <w:pPr>
        <w:pStyle w:val="Tabledesmatiresniveau2"/>
        <w:tabs>
          <w:tab w:val="clear" w:pos="706"/>
          <w:tab w:val="right" w:pos="8290" w:leader="dot"/>
        </w:tabs>
        <w:rPr/>
      </w:pPr>
      <w:hyperlink w:anchor="_Toc3882" w:tgtFrame="#_Toc3882">
        <w:r>
          <w:rPr/>
          <w:t>14.2 Intérêts moratoires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_Toc3882 \h</w:instrText>
        </w:r>
        <w:r>
          <w:rPr>
            <w:webHidden/>
          </w:rPr>
          <w:fldChar w:fldCharType="separate"/>
        </w:r>
        <w:r>
          <w:rPr/>
          <w:fldChar w:fldCharType="begin"/>
        </w:r>
        <w:r>
          <w:rPr>
            <w:webHidden/>
          </w:rPr>
          <w:fldChar w:fldCharType="end"/>
        </w:r>
        <w:r>
          <w:rPr/>
          <w:instrText> PAGEREF _Toc3882 \h </w:instrText>
        </w:r>
        <w:r>
          <w:rPr/>
          <w:fldChar w:fldCharType="separate"/>
        </w:r>
        <w:r>
          <w:rPr/>
          <w:t>11</w:t>
        </w:r>
        <w:r>
          <w:rPr/>
          <w:fldChar w:fldCharType="end"/>
        </w:r>
      </w:hyperlink>
    </w:p>
    <w:p>
      <w:pPr>
        <w:pStyle w:val="Tabledesmatiresniveau2"/>
        <w:tabs>
          <w:tab w:val="clear" w:pos="706"/>
          <w:tab w:val="right" w:pos="8290" w:leader="dot"/>
        </w:tabs>
        <w:rPr/>
      </w:pPr>
      <w:hyperlink w:anchor="_Toc3883" w:tgtFrame="#_Toc3883">
        <w:r>
          <w:rPr/>
          <w:t>14.3 Modalités de paiement direct des sous-traitants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_Toc3883 \h</w:instrText>
        </w:r>
        <w:r>
          <w:rPr>
            <w:webHidden/>
          </w:rPr>
          <w:fldChar w:fldCharType="separate"/>
        </w:r>
        <w:r>
          <w:rPr/>
          <w:fldChar w:fldCharType="begin"/>
        </w:r>
        <w:r>
          <w:rPr>
            <w:webHidden/>
          </w:rPr>
          <w:fldChar w:fldCharType="end"/>
        </w:r>
        <w:r>
          <w:rPr/>
          <w:instrText> PAGEREF _Toc3883 \h </w:instrText>
        </w:r>
        <w:r>
          <w:rPr/>
          <w:fldChar w:fldCharType="separate"/>
        </w:r>
        <w:r>
          <w:rPr/>
          <w:t>11</w:t>
        </w:r>
        <w:r>
          <w:rPr/>
          <w:fldChar w:fldCharType="end"/>
        </w:r>
      </w:hyperlink>
    </w:p>
    <w:p>
      <w:pPr>
        <w:pStyle w:val="Tabledesmatiresniveau2"/>
        <w:tabs>
          <w:tab w:val="clear" w:pos="706"/>
          <w:tab w:val="right" w:pos="8290" w:leader="dot"/>
        </w:tabs>
        <w:rPr/>
      </w:pPr>
      <w:hyperlink w:anchor="_Toc3884" w:tgtFrame="#_Toc3884">
        <w:r>
          <w:rPr/>
          <w:t>14.4 Présentation des demandes de paiement</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_Toc3884 \h</w:instrText>
        </w:r>
        <w:r>
          <w:rPr>
            <w:webHidden/>
          </w:rPr>
          <w:fldChar w:fldCharType="separate"/>
        </w:r>
        <w:r>
          <w:rPr/>
          <w:fldChar w:fldCharType="begin"/>
        </w:r>
        <w:r>
          <w:rPr>
            <w:webHidden/>
          </w:rPr>
          <w:fldChar w:fldCharType="end"/>
        </w:r>
        <w:r>
          <w:rPr/>
          <w:instrText> PAGEREF _Toc3884 \h </w:instrText>
        </w:r>
        <w:r>
          <w:rPr/>
          <w:fldChar w:fldCharType="separate"/>
        </w:r>
        <w:r>
          <w:rPr/>
          <w:t>12</w:t>
        </w:r>
        <w:r>
          <w:rPr/>
          <w:fldChar w:fldCharType="end"/>
        </w:r>
      </w:hyperlink>
    </w:p>
    <w:p>
      <w:pPr>
        <w:pStyle w:val="Tabledesmatiresniveau2"/>
        <w:tabs>
          <w:tab w:val="clear" w:pos="706"/>
          <w:tab w:val="right" w:pos="8290" w:leader="dot"/>
        </w:tabs>
        <w:rPr/>
      </w:pPr>
      <w:hyperlink w:anchor="_Toc3885" w:tgtFrame="#_Toc3885">
        <w:r>
          <w:rPr/>
          <w:t>14.5 Dématérialisation des factures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_Toc3885 \h</w:instrText>
        </w:r>
        <w:r>
          <w:rPr>
            <w:webHidden/>
          </w:rPr>
          <w:fldChar w:fldCharType="separate"/>
        </w:r>
        <w:r>
          <w:rPr/>
          <w:fldChar w:fldCharType="begin"/>
        </w:r>
        <w:r>
          <w:rPr>
            <w:webHidden/>
          </w:rPr>
          <w:fldChar w:fldCharType="end"/>
        </w:r>
        <w:r>
          <w:rPr/>
          <w:instrText> PAGEREF _Toc3885 \h </w:instrText>
        </w:r>
        <w:r>
          <w:rPr/>
          <w:fldChar w:fldCharType="separate"/>
        </w:r>
        <w:r>
          <w:rPr/>
          <w:t>13</w:t>
        </w:r>
        <w:r>
          <w:rPr/>
          <w:fldChar w:fldCharType="end"/>
        </w:r>
      </w:hyperlink>
    </w:p>
    <w:p>
      <w:pPr>
        <w:pStyle w:val="Tabledesmatiresniveau1"/>
        <w:tabs>
          <w:tab w:val="right" w:pos="8290" w:leader="dot"/>
          <w:tab w:val="right" w:pos="9637" w:leader="dot"/>
        </w:tabs>
        <w:rPr/>
      </w:pPr>
      <w:hyperlink w:anchor="_Toc3886" w:tgtFrame="#_Toc3886">
        <w:r>
          <w:rPr/>
          <w:t>Article 15 - PENALITES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_Toc3886 \h</w:instrText>
        </w:r>
        <w:r>
          <w:rPr>
            <w:webHidden/>
          </w:rPr>
          <w:fldChar w:fldCharType="separate"/>
        </w:r>
        <w:r>
          <w:rPr/>
          <w:fldChar w:fldCharType="begin"/>
        </w:r>
        <w:r>
          <w:rPr>
            <w:webHidden/>
          </w:rPr>
          <w:fldChar w:fldCharType="end"/>
        </w:r>
        <w:r>
          <w:rPr/>
          <w:instrText> PAGEREF _Toc3886 \h </w:instrText>
        </w:r>
        <w:r>
          <w:rPr/>
          <w:fldChar w:fldCharType="separate"/>
        </w:r>
        <w:r>
          <w:rPr/>
          <w:t>14</w:t>
        </w:r>
        <w:r>
          <w:rPr/>
          <w:fldChar w:fldCharType="end"/>
        </w:r>
      </w:hyperlink>
    </w:p>
    <w:p>
      <w:pPr>
        <w:pStyle w:val="Tabledesmatiresniveau2"/>
        <w:tabs>
          <w:tab w:val="clear" w:pos="706"/>
          <w:tab w:val="right" w:pos="8290" w:leader="dot"/>
        </w:tabs>
        <w:rPr/>
      </w:pPr>
      <w:hyperlink w:anchor="_Toc3887" w:tgtFrame="#_Toc3887">
        <w:r>
          <w:rPr/>
          <w:t>15.1 Pénalités de retard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_Toc3887 \h</w:instrText>
        </w:r>
        <w:r>
          <w:rPr>
            <w:webHidden/>
          </w:rPr>
          <w:fldChar w:fldCharType="separate"/>
        </w:r>
        <w:r>
          <w:rPr/>
          <w:fldChar w:fldCharType="begin"/>
        </w:r>
        <w:r>
          <w:rPr>
            <w:webHidden/>
          </w:rPr>
          <w:fldChar w:fldCharType="end"/>
        </w:r>
        <w:r>
          <w:rPr/>
          <w:instrText> PAGEREF _Toc3887 \h </w:instrText>
        </w:r>
        <w:r>
          <w:rPr/>
          <w:fldChar w:fldCharType="separate"/>
        </w:r>
        <w:r>
          <w:rPr/>
          <w:t>14</w:t>
        </w:r>
        <w:r>
          <w:rPr/>
          <w:fldChar w:fldCharType="end"/>
        </w:r>
      </w:hyperlink>
    </w:p>
    <w:p>
      <w:pPr>
        <w:pStyle w:val="Tabledesmatiresniveau2"/>
        <w:tabs>
          <w:tab w:val="clear" w:pos="706"/>
          <w:tab w:val="right" w:pos="8290" w:leader="dot"/>
        </w:tabs>
        <w:rPr/>
      </w:pPr>
      <w:hyperlink w:anchor="_Toc4545" w:tgtFrame="#_Toc4545">
        <w:r>
          <w:rPr/>
          <w:t>15.2 Pénalités pour non respect des obligations environnementales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_Toc4545 \h</w:instrText>
        </w:r>
        <w:r>
          <w:rPr>
            <w:webHidden/>
          </w:rPr>
          <w:fldChar w:fldCharType="separate"/>
        </w:r>
        <w:r>
          <w:rPr/>
          <w:fldChar w:fldCharType="begin"/>
        </w:r>
        <w:r>
          <w:rPr>
            <w:webHidden/>
          </w:rPr>
          <w:fldChar w:fldCharType="end"/>
        </w:r>
        <w:r>
          <w:rPr/>
          <w:instrText> PAGEREF _Toc4545 \h </w:instrText>
        </w:r>
        <w:r>
          <w:rPr/>
          <w:fldChar w:fldCharType="separate"/>
        </w:r>
        <w:r>
          <w:rPr/>
          <w:t>14</w:t>
        </w:r>
        <w:r>
          <w:rPr/>
          <w:fldChar w:fldCharType="end"/>
        </w:r>
      </w:hyperlink>
    </w:p>
    <w:p>
      <w:pPr>
        <w:pStyle w:val="Tabledesmatiresniveau2"/>
        <w:tabs>
          <w:tab w:val="clear" w:pos="706"/>
          <w:tab w:val="right" w:pos="8290" w:leader="dot"/>
        </w:tabs>
        <w:rPr/>
      </w:pPr>
      <w:hyperlink w:anchor="_Toc3888" w:tgtFrame="#_Toc3888">
        <w:r>
          <w:rPr/>
          <w:t>15.3 Pénalités pour non respect des dispositions du Code du Travail</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_Toc3888 \h</w:instrText>
        </w:r>
        <w:r>
          <w:rPr>
            <w:webHidden/>
          </w:rPr>
          <w:fldChar w:fldCharType="separate"/>
        </w:r>
        <w:r>
          <w:rPr/>
          <w:fldChar w:fldCharType="begin"/>
        </w:r>
        <w:r>
          <w:rPr>
            <w:webHidden/>
          </w:rPr>
          <w:fldChar w:fldCharType="end"/>
        </w:r>
        <w:r>
          <w:rPr/>
          <w:instrText> PAGEREF _Toc3888 \h </w:instrText>
        </w:r>
        <w:r>
          <w:rPr/>
          <w:fldChar w:fldCharType="separate"/>
        </w:r>
        <w:r>
          <w:rPr/>
          <w:t>15</w:t>
        </w:r>
        <w:r>
          <w:rPr/>
          <w:fldChar w:fldCharType="end"/>
        </w:r>
      </w:hyperlink>
    </w:p>
    <w:p>
      <w:pPr>
        <w:pStyle w:val="Tabledesmatiresniveau2"/>
        <w:tabs>
          <w:tab w:val="clear" w:pos="706"/>
          <w:tab w:val="right" w:pos="8290" w:leader="dot"/>
        </w:tabs>
        <w:rPr/>
      </w:pPr>
      <w:hyperlink w:anchor="_Toc3889" w:tgtFrame="#_Toc3889">
        <w:r>
          <w:rPr/>
          <w:t>15.4 Autres pénalités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_Toc3889 \h</w:instrText>
        </w:r>
        <w:r>
          <w:rPr>
            <w:webHidden/>
          </w:rPr>
          <w:fldChar w:fldCharType="separate"/>
        </w:r>
        <w:r>
          <w:rPr/>
          <w:fldChar w:fldCharType="begin"/>
        </w:r>
        <w:r>
          <w:rPr>
            <w:webHidden/>
          </w:rPr>
          <w:fldChar w:fldCharType="end"/>
        </w:r>
        <w:r>
          <w:rPr/>
          <w:instrText> PAGEREF _Toc3889 \h </w:instrText>
        </w:r>
        <w:r>
          <w:rPr/>
          <w:fldChar w:fldCharType="separate"/>
        </w:r>
        <w:r>
          <w:rPr/>
          <w:t>15</w:t>
        </w:r>
        <w:r>
          <w:rPr/>
          <w:fldChar w:fldCharType="end"/>
        </w:r>
      </w:hyperlink>
    </w:p>
    <w:p>
      <w:pPr>
        <w:pStyle w:val="Tabledesmatiresniveau1"/>
        <w:tabs>
          <w:tab w:val="right" w:pos="8290" w:leader="dot"/>
          <w:tab w:val="right" w:pos="9637" w:leader="dot"/>
        </w:tabs>
        <w:rPr/>
      </w:pPr>
      <w:hyperlink w:anchor="_Toc3890" w:tgtFrame="#_Toc3890">
        <w:r>
          <w:rPr/>
          <w:t>Article 16 - RESILIATION ET EXECUTION DES PRESTATIONS AUX FRAIS ET RISQUES DU TITULAIRE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_Toc3890 \h</w:instrText>
        </w:r>
        <w:r>
          <w:rPr>
            <w:webHidden/>
          </w:rPr>
          <w:fldChar w:fldCharType="separate"/>
        </w:r>
        <w:r>
          <w:rPr/>
          <w:fldChar w:fldCharType="begin"/>
        </w:r>
        <w:r>
          <w:rPr>
            <w:webHidden/>
          </w:rPr>
          <w:fldChar w:fldCharType="end"/>
        </w:r>
        <w:r>
          <w:rPr/>
          <w:instrText> PAGEREF _Toc3890 \h </w:instrText>
        </w:r>
        <w:r>
          <w:rPr/>
          <w:fldChar w:fldCharType="separate"/>
        </w:r>
        <w:r>
          <w:rPr/>
          <w:t>15</w:t>
        </w:r>
        <w:r>
          <w:rPr/>
          <w:fldChar w:fldCharType="end"/>
        </w:r>
      </w:hyperlink>
    </w:p>
    <w:p>
      <w:pPr>
        <w:pStyle w:val="Tabledesmatiresniveau1"/>
        <w:tabs>
          <w:tab w:val="right" w:pos="8290" w:leader="dot"/>
          <w:tab w:val="right" w:pos="9637" w:leader="dot"/>
        </w:tabs>
        <w:rPr/>
      </w:pPr>
      <w:hyperlink w:anchor="_Toc3891" w:tgtFrame="#_Toc3891">
        <w:r>
          <w:rPr/>
          <w:t>Article 17 - CLAUSES DE GESTION DES DONNEES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_Toc3891 \h</w:instrText>
        </w:r>
        <w:r>
          <w:rPr>
            <w:webHidden/>
          </w:rPr>
          <w:fldChar w:fldCharType="separate"/>
        </w:r>
        <w:r>
          <w:rPr/>
          <w:fldChar w:fldCharType="begin"/>
        </w:r>
        <w:r>
          <w:rPr>
            <w:webHidden/>
          </w:rPr>
          <w:fldChar w:fldCharType="end"/>
        </w:r>
        <w:r>
          <w:rPr/>
          <w:instrText> PAGEREF _Toc3891 \h </w:instrText>
        </w:r>
        <w:r>
          <w:rPr/>
          <w:fldChar w:fldCharType="separate"/>
        </w:r>
        <w:r>
          <w:rPr/>
          <w:t>15</w:t>
        </w:r>
        <w:r>
          <w:rPr/>
          <w:fldChar w:fldCharType="end"/>
        </w:r>
      </w:hyperlink>
    </w:p>
    <w:p>
      <w:pPr>
        <w:pStyle w:val="Tabledesmatiresniveau2"/>
        <w:tabs>
          <w:tab w:val="clear" w:pos="706"/>
          <w:tab w:val="right" w:pos="8290" w:leader="dot"/>
        </w:tabs>
        <w:rPr/>
      </w:pPr>
      <w:hyperlink w:anchor="_Toc3892" w:tgtFrame="#_Toc3892">
        <w:r>
          <w:rPr/>
          <w:t>17.1 Les contraintes réglementaires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_Toc3892 \h</w:instrText>
        </w:r>
        <w:r>
          <w:rPr>
            <w:webHidden/>
          </w:rPr>
          <w:fldChar w:fldCharType="separate"/>
        </w:r>
        <w:r>
          <w:rPr/>
          <w:fldChar w:fldCharType="begin"/>
        </w:r>
        <w:r>
          <w:rPr>
            <w:webHidden/>
          </w:rPr>
          <w:fldChar w:fldCharType="end"/>
        </w:r>
        <w:r>
          <w:rPr/>
          <w:instrText> PAGEREF _Toc3892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3893" w:tgtFrame="#_Toc3893">
        <w:r>
          <w:rPr/>
          <w:t>17.1.1 Le RGS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_Toc3893 \h</w:instrText>
        </w:r>
        <w:r>
          <w:rPr>
            <w:webHidden/>
          </w:rPr>
          <w:fldChar w:fldCharType="separate"/>
        </w:r>
        <w:r>
          <w:rPr/>
          <w:fldChar w:fldCharType="begin"/>
        </w:r>
        <w:r>
          <w:rPr>
            <w:webHidden/>
          </w:rPr>
          <w:fldChar w:fldCharType="end"/>
        </w:r>
        <w:r>
          <w:rPr/>
          <w:instrText> PAGEREF _Toc3893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3894" w:tgtFrame="#_Toc3894">
        <w:r>
          <w:rPr/>
          <w:t>17.1.2 Le Règlement Général sur la Protection des Données (RGPD)</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_Toc3894 \h</w:instrText>
        </w:r>
        <w:r>
          <w:rPr>
            <w:webHidden/>
          </w:rPr>
          <w:fldChar w:fldCharType="separate"/>
        </w:r>
        <w:r>
          <w:rPr/>
          <w:fldChar w:fldCharType="begin"/>
        </w:r>
        <w:r>
          <w:rPr>
            <w:webHidden/>
          </w:rPr>
          <w:fldChar w:fldCharType="end"/>
        </w:r>
        <w:r>
          <w:rPr/>
          <w:instrText> PAGEREF _Toc3894 \h </w:instrText>
        </w:r>
        <w:r>
          <w:rPr/>
          <w:fldChar w:fldCharType="separate"/>
        </w:r>
        <w:r>
          <w:rPr/>
          <w:t>15</w:t>
        </w:r>
        <w:r>
          <w:rPr/>
          <w:fldChar w:fldCharType="end"/>
        </w:r>
      </w:hyperlink>
    </w:p>
    <w:p>
      <w:pPr>
        <w:pStyle w:val="Tabledesmatiresniveau3"/>
        <w:tabs>
          <w:tab w:val="right" w:pos="8290" w:leader="dot"/>
          <w:tab w:val="right" w:pos="9241" w:leader="dot"/>
        </w:tabs>
        <w:rPr/>
      </w:pPr>
      <w:hyperlink w:anchor="_Toc3895" w:tgtFrame="#_Toc3895">
        <w:r>
          <w:rPr/>
          <w:t>17.1.3 Le Code du Patrimoine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_Toc3895 \h</w:instrText>
        </w:r>
        <w:r>
          <w:rPr>
            <w:webHidden/>
          </w:rPr>
          <w:fldChar w:fldCharType="separate"/>
        </w:r>
        <w:r>
          <w:rPr/>
          <w:fldChar w:fldCharType="begin"/>
        </w:r>
        <w:r>
          <w:rPr>
            <w:webHidden/>
          </w:rPr>
          <w:fldChar w:fldCharType="end"/>
        </w:r>
        <w:r>
          <w:rPr/>
          <w:instrText> PAGEREF _Toc3895 \h </w:instrText>
        </w:r>
        <w:r>
          <w:rPr/>
          <w:fldChar w:fldCharType="separate"/>
        </w:r>
        <w:r>
          <w:rPr/>
          <w:t>16</w:t>
        </w:r>
        <w:r>
          <w:rPr/>
          <w:fldChar w:fldCharType="end"/>
        </w:r>
      </w:hyperlink>
    </w:p>
    <w:p>
      <w:pPr>
        <w:pStyle w:val="Tabledesmatiresniveau2"/>
        <w:tabs>
          <w:tab w:val="clear" w:pos="706"/>
          <w:tab w:val="right" w:pos="8290" w:leader="dot"/>
        </w:tabs>
        <w:rPr/>
      </w:pPr>
      <w:hyperlink w:anchor="_Toc3896" w:tgtFrame="#_Toc3896">
        <w:r>
          <w:rPr/>
          <w:t>17.2 Les clauses générales de confidentialité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_Toc3896 \h</w:instrText>
        </w:r>
        <w:r>
          <w:rPr>
            <w:webHidden/>
          </w:rPr>
          <w:fldChar w:fldCharType="separate"/>
        </w:r>
        <w:r>
          <w:rPr/>
          <w:fldChar w:fldCharType="begin"/>
        </w:r>
        <w:r>
          <w:rPr>
            <w:webHidden/>
          </w:rPr>
          <w:fldChar w:fldCharType="end"/>
        </w:r>
        <w:r>
          <w:rPr/>
          <w:instrText> PAGEREF _Toc3896 \h </w:instrText>
        </w:r>
        <w:r>
          <w:rPr/>
          <w:fldChar w:fldCharType="separate"/>
        </w:r>
        <w:r>
          <w:rPr/>
          <w:t>16</w:t>
        </w:r>
        <w:r>
          <w:rPr/>
          <w:fldChar w:fldCharType="end"/>
        </w:r>
      </w:hyperlink>
    </w:p>
    <w:p>
      <w:pPr>
        <w:pStyle w:val="Tabledesmatiresniveau2"/>
        <w:tabs>
          <w:tab w:val="clear" w:pos="706"/>
          <w:tab w:val="right" w:pos="8290" w:leader="dot"/>
        </w:tabs>
        <w:rPr/>
      </w:pPr>
      <w:hyperlink w:anchor="_Toc3897" w:tgtFrame="#_Toc3897">
        <w:r>
          <w:rPr/>
          <w:t>17.3 Les contrôles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_Toc3897 \h</w:instrText>
        </w:r>
        <w:r>
          <w:rPr>
            <w:webHidden/>
          </w:rPr>
          <w:fldChar w:fldCharType="separate"/>
        </w:r>
        <w:r>
          <w:rPr/>
          <w:fldChar w:fldCharType="begin"/>
        </w:r>
        <w:r>
          <w:rPr>
            <w:webHidden/>
          </w:rPr>
          <w:fldChar w:fldCharType="end"/>
        </w:r>
        <w:r>
          <w:rPr/>
          <w:instrText> PAGEREF _Toc3897 \h </w:instrText>
        </w:r>
        <w:r>
          <w:rPr/>
          <w:fldChar w:fldCharType="separate"/>
        </w:r>
        <w:r>
          <w:rPr/>
          <w:t>17</w:t>
        </w:r>
        <w:r>
          <w:rPr/>
          <w:fldChar w:fldCharType="end"/>
        </w:r>
      </w:hyperlink>
    </w:p>
    <w:p>
      <w:pPr>
        <w:pStyle w:val="Tabledesmatiresniveau2"/>
        <w:tabs>
          <w:tab w:val="clear" w:pos="706"/>
          <w:tab w:val="right" w:pos="8290" w:leader="dot"/>
        </w:tabs>
        <w:rPr/>
      </w:pPr>
      <w:hyperlink w:anchor="_Toc3898" w:tgtFrame="#_Toc3898">
        <w:r>
          <w:rPr/>
          <w:t>17.4 Phase de réversibilité</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_Toc3898 \h</w:instrText>
        </w:r>
        <w:r>
          <w:rPr>
            <w:webHidden/>
          </w:rPr>
          <w:fldChar w:fldCharType="separate"/>
        </w:r>
        <w:r>
          <w:rPr/>
          <w:fldChar w:fldCharType="begin"/>
        </w:r>
        <w:r>
          <w:rPr>
            <w:webHidden/>
          </w:rPr>
          <w:fldChar w:fldCharType="end"/>
        </w:r>
        <w:r>
          <w:rPr/>
          <w:instrText> PAGEREF _Toc3898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3899" w:tgtFrame="#_Toc3899">
        <w:r>
          <w:rPr/>
          <w:t>Article 18 - LOGICIEL E-ATTESTATIONS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_Toc3899 \h</w:instrText>
        </w:r>
        <w:r>
          <w:rPr>
            <w:webHidden/>
          </w:rPr>
          <w:fldChar w:fldCharType="separate"/>
        </w:r>
        <w:r>
          <w:rPr/>
          <w:fldChar w:fldCharType="begin"/>
        </w:r>
        <w:r>
          <w:rPr>
            <w:webHidden/>
          </w:rPr>
          <w:fldChar w:fldCharType="end"/>
        </w:r>
        <w:r>
          <w:rPr/>
          <w:instrText> PAGEREF _Toc3899 \h </w:instrText>
        </w:r>
        <w:r>
          <w:rPr/>
          <w:fldChar w:fldCharType="separate"/>
        </w:r>
        <w:r>
          <w:rPr/>
          <w:t>17</w:t>
        </w:r>
        <w:r>
          <w:rPr/>
          <w:fldChar w:fldCharType="end"/>
        </w:r>
      </w:hyperlink>
    </w:p>
    <w:p>
      <w:pPr>
        <w:pStyle w:val="Tabledesmatiresniveau1"/>
        <w:tabs>
          <w:tab w:val="right" w:pos="8290" w:leader="dot"/>
          <w:tab w:val="right" w:pos="9637" w:leader="dot"/>
        </w:tabs>
        <w:rPr/>
      </w:pPr>
      <w:hyperlink w:anchor="_Toc3900" w:tgtFrame="#_Toc3900">
        <w:r>
          <w:rPr/>
          <w:t>Article 19 - LOI APPLICABLE</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_Toc3900 \h</w:instrText>
        </w:r>
        <w:r>
          <w:rPr>
            <w:webHidden/>
          </w:rPr>
          <w:fldChar w:fldCharType="separate"/>
        </w:r>
        <w:r>
          <w:rPr/>
          <w:fldChar w:fldCharType="begin"/>
        </w:r>
        <w:r>
          <w:rPr>
            <w:webHidden/>
          </w:rPr>
          <w:fldChar w:fldCharType="end"/>
        </w:r>
        <w:r>
          <w:rPr/>
          <w:instrText> PAGEREF _Toc3900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901" w:tgtFrame="#_Toc3901">
        <w:r>
          <w:rPr/>
          <w:t>Article 20 - CONFORMITE AUX NORMES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_Toc3901 \h</w:instrText>
        </w:r>
        <w:r>
          <w:rPr>
            <w:webHidden/>
          </w:rPr>
          <w:fldChar w:fldCharType="separate"/>
        </w:r>
        <w:r>
          <w:rPr/>
          <w:fldChar w:fldCharType="begin"/>
        </w:r>
        <w:r>
          <w:rPr>
            <w:webHidden/>
          </w:rPr>
          <w:fldChar w:fldCharType="end"/>
        </w:r>
        <w:r>
          <w:rPr/>
          <w:instrText> PAGEREF _Toc3901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902" w:tgtFrame="#_Toc3902">
        <w:r>
          <w:rPr/>
          <w:t>Article 21 - ASSURANCES</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_Toc3902 \h</w:instrText>
        </w:r>
        <w:r>
          <w:rPr>
            <w:webHidden/>
          </w:rPr>
          <w:fldChar w:fldCharType="separate"/>
        </w:r>
        <w:r>
          <w:rPr/>
          <w:fldChar w:fldCharType="begin"/>
        </w:r>
        <w:r>
          <w:rPr>
            <w:webHidden/>
          </w:rPr>
          <w:fldChar w:fldCharType="end"/>
        </w:r>
        <w:r>
          <w:rPr/>
          <w:instrText> PAGEREF _Toc3902 \h </w:instrText>
        </w:r>
        <w:r>
          <w:rPr/>
          <w:fldChar w:fldCharType="separate"/>
        </w:r>
        <w:r>
          <w:rPr/>
          <w:t>18</w:t>
        </w:r>
        <w:r>
          <w:rPr/>
          <w:fldChar w:fldCharType="end"/>
        </w:r>
      </w:hyperlink>
    </w:p>
    <w:p>
      <w:pPr>
        <w:pStyle w:val="Tabledesmatiresniveau1"/>
        <w:tabs>
          <w:tab w:val="right" w:pos="8290" w:leader="dot"/>
          <w:tab w:val="right" w:pos="9637" w:leader="dot"/>
        </w:tabs>
        <w:rPr/>
      </w:pPr>
      <w:hyperlink w:anchor="_Toc3903" w:tgtFrame="#_Toc3903">
        <w:r>
          <w:rPr/>
          <w:t>Article 22 - DEROGATIONS AUX DOCUMENTS GENERAUX</w:t>
          <w:tab/>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fldChar w:fldCharType="begin"/>
        </w:r>
        <w:r>
          <w:rPr/>
        </w:r>
        <w:r>
          <w:rPr/>
        </w:r>
        <w:r>
          <w:rPr/>
          <w:fldChar w:fldCharType="separate"/>
        </w:r>
        <w:r>
          <w:rPr/>
        </w:r>
        <w:r>
          <w:rPr/>
        </w:r>
        <w:r>
          <w:rPr/>
          <w:fldChar w:fldCharType="end"/>
        </w:r>
        <w:r>
          <w:rPr>
            <w:webHidden/>
          </w:rPr>
          <w:fldChar w:fldCharType="begin"/>
        </w:r>
        <w:r>
          <w:rPr>
            <w:webHidden/>
          </w:rPr>
          <w:instrText>PAGEREF _Toc3903 \h</w:instrText>
        </w:r>
        <w:r>
          <w:rPr>
            <w:webHidden/>
          </w:rPr>
          <w:fldChar w:fldCharType="separate"/>
        </w:r>
        <w:r>
          <w:rPr/>
          <w:fldChar w:fldCharType="begin"/>
        </w:r>
        <w:r>
          <w:rPr>
            <w:webHidden/>
          </w:rPr>
          <w:fldChar w:fldCharType="end"/>
        </w:r>
        <w:r>
          <w:rPr/>
          <w:instrText> PAGEREF _Toc3903 \h </w:instrText>
        </w:r>
        <w:r>
          <w:rPr/>
          <w:fldChar w:fldCharType="separate"/>
        </w:r>
        <w:r>
          <w:rPr/>
          <w:t>18</w:t>
        </w:r>
        <w:r>
          <w:rPr/>
          <w:fldChar w:fldCharType="end"/>
        </w:r>
      </w:hyperlink>
      <w:r>
        <w:br w:type="page"/>
      </w:r>
    </w:p>
    <w:p>
      <w:pPr>
        <w:pStyle w:val="Titre1"/>
        <w:numPr>
          <w:ilvl w:val="0"/>
          <w:numId w:val="2"/>
        </w:numPr>
        <w:rPr/>
      </w:pPr>
      <w:bookmarkStart w:id="0" w:name="_Toc3844"/>
      <w:r>
        <w:rPr/>
        <w:t>OBJET ET DUREE DU MARCHE</w:t>
      </w:r>
      <w:bookmarkEnd w:id="0"/>
    </w:p>
    <w:p>
      <w:pPr>
        <w:pStyle w:val="Titre2"/>
        <w:numPr>
          <w:ilvl w:val="1"/>
          <w:numId w:val="2"/>
        </w:numPr>
        <w:rPr/>
      </w:pPr>
      <w:bookmarkStart w:id="1" w:name="_Toc3845"/>
      <w:r>
        <w:rPr/>
        <w:t>Intitulé et Objet des prestations</w:t>
      </w:r>
      <w:bookmarkEnd w:id="1"/>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Intitulé de la consultation :</w:t>
      </w:r>
    </w:p>
    <w:p>
      <w:pPr>
        <w:pStyle w:val="Normal"/>
        <w:rPr/>
      </w:pPr>
      <w:r>
        <w:rPr>
          <w:rFonts w:eastAsia="arial" w:cs="arial" w:ascii="arial" w:hAnsi="arial"/>
          <w:b w:val="false"/>
          <w:i w:val="false"/>
          <w:color w:val="000000"/>
          <w:sz w:val="20"/>
          <w:u w:val="none"/>
        </w:rPr>
        <w:t xml:space="preserve"> </w:t>
      </w:r>
      <w:r>
        <w:rPr>
          <w:rFonts w:eastAsia="arial" w:cs="arial" w:ascii="arial" w:hAnsi="arial"/>
          <w:b w:val="false"/>
          <w:i w:val="false"/>
          <w:color w:val="000000"/>
          <w:sz w:val="20"/>
          <w:u w:val="none"/>
        </w:rPr>
        <w:t>Emission de cartes d'achat</w:t>
      </w:r>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La présente consultation a pour objet de mettre à disposition de la Ville de Marseille les cartes d’achat de porteurs désignés, de payer à l’accepteur (fournisseur) toute créance née d’un marché exécuté par carte d’achat et de porter chaque utilisation de la carte d’achat sur un relevé mensuel d’opérations.</w:t>
      </w:r>
    </w:p>
    <w:p>
      <w:pPr>
        <w:pStyle w:val="Normal"/>
        <w:rPr/>
      </w:pPr>
      <w:r>
        <w:rPr/>
      </w:r>
    </w:p>
    <w:p>
      <w:pPr>
        <w:pStyle w:val="Normal"/>
        <w:rPr>
          <w:highlight w:val="none"/>
        </w:rPr>
      </w:pPr>
      <w:r>
        <w:rPr/>
        <w:t>Le marché d’émission de cartes comprend les prestations suivantes :</w:t>
      </w:r>
    </w:p>
    <w:p>
      <w:pPr>
        <w:pStyle w:val="ListParagraph"/>
        <w:numPr>
          <w:ilvl w:val="0"/>
          <w:numId w:val="4"/>
        </w:numPr>
        <w:rPr/>
      </w:pPr>
      <w:r>
        <w:rPr/>
        <w:t>la mise à disposition de l’outil web carte d’achat, la formation et la fourniture d’un guide d’utilisation ;</w:t>
      </w:r>
    </w:p>
    <w:p>
      <w:pPr>
        <w:pStyle w:val="ListParagraph"/>
        <w:numPr>
          <w:ilvl w:val="0"/>
          <w:numId w:val="4"/>
        </w:numPr>
        <w:rPr/>
      </w:pPr>
      <w:r>
        <w:rPr/>
        <w:t>la fourniture et la livraison des cartes d’achat et des codes secrets ;</w:t>
      </w:r>
    </w:p>
    <w:p>
      <w:pPr>
        <w:pStyle w:val="ListParagraph"/>
        <w:numPr>
          <w:ilvl w:val="0"/>
          <w:numId w:val="4"/>
        </w:numPr>
        <w:rPr/>
      </w:pPr>
      <w:r>
        <w:rPr/>
        <w:t>le suivi technique et administratif du marché d’émission de carte d’achat</w:t>
      </w:r>
    </w:p>
    <w:p>
      <w:pPr>
        <w:pStyle w:val="ListParagraph"/>
        <w:numPr>
          <w:ilvl w:val="0"/>
          <w:numId w:val="4"/>
        </w:numPr>
        <w:rPr/>
      </w:pPr>
      <w:r>
        <w:rPr/>
        <w:t>l’assistance technique pour le démarrage du programme et à la gestion courante</w:t>
      </w:r>
    </w:p>
    <w:p>
      <w:pPr>
        <w:pStyle w:val="ListParagraph"/>
        <w:numPr>
          <w:ilvl w:val="0"/>
          <w:numId w:val="4"/>
        </w:numPr>
        <w:rPr/>
      </w:pPr>
      <w:r>
        <w:rPr/>
        <w:t>le paiement des fournisseurs (accepteurs)</w:t>
      </w:r>
    </w:p>
    <w:p>
      <w:pPr>
        <w:pStyle w:val="ListParagraph"/>
        <w:numPr>
          <w:ilvl w:val="0"/>
          <w:numId w:val="0"/>
        </w:numPr>
        <w:ind w:left="0" w:hanging="0"/>
        <w:rPr/>
      </w:pPr>
      <w:r>
        <w:rPr>
          <w:shd w:fill="FFFF00" w:val="clear"/>
        </w:rPr>
        <w:t xml:space="preserve"> </w:t>
      </w:r>
    </w:p>
    <w:p>
      <w:pPr>
        <w:pStyle w:val="Titre2"/>
        <w:numPr>
          <w:ilvl w:val="1"/>
          <w:numId w:val="2"/>
        </w:numPr>
        <w:rPr/>
      </w:pPr>
      <w:bookmarkStart w:id="2" w:name="_Toc3846"/>
      <w:r>
        <w:rPr/>
        <w:t>Procédure</w:t>
      </w:r>
      <w:bookmarkEnd w:id="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 procédure de passation est la suivante :MAPA OUVERT AVEC BOAMP - selon les articles suivants : articles L2123-1, R2123-1-1°, R2123-4 et 5 du Code de la commande publique.</w:t>
      </w:r>
    </w:p>
    <w:p>
      <w:pPr>
        <w:pStyle w:val="Normal"/>
        <w:rPr>
          <w:highlight w:val="none"/>
          <w:shd w:fill="auto" w:val="clear"/>
        </w:rPr>
      </w:pPr>
      <w:r>
        <w:rPr>
          <w:rFonts w:eastAsia="arial" w:cs="arial" w:ascii="arial" w:hAnsi="arial"/>
          <w:b/>
          <w:i w:val="false"/>
          <w:color w:val="000000"/>
          <w:sz w:val="20"/>
          <w:u w:val="none"/>
          <w:shd w:fill="auto" w:val="clear"/>
        </w:rPr>
        <w:t>Prestations similaires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Conformément à l'article R2122-7 du Code de la commande publique, le pouvoir adjudicateur se réserve la possibilité de conclure ultérieurement, avec le titulaire du marché, un marché ayant pour objet la réalisation de prestations similaires à celles confiées au titulaire dans le cadre de la présente consultation.</w:t>
      </w:r>
    </w:p>
    <w:p>
      <w:pPr>
        <w:pStyle w:val="Titre2"/>
        <w:numPr>
          <w:ilvl w:val="1"/>
          <w:numId w:val="2"/>
        </w:numPr>
        <w:rPr/>
      </w:pPr>
      <w:bookmarkStart w:id="3" w:name="_Toc3847"/>
      <w:r>
        <w:rPr>
          <w:shd w:fill="auto" w:val="clear"/>
        </w:rPr>
        <w:t>Décomposition</w:t>
      </w:r>
      <w:r>
        <w:rPr/>
        <w:t xml:space="preserve"> en Lots, Tranches et postes</w:t>
      </w:r>
      <w:bookmarkEnd w:id="3"/>
    </w:p>
    <w:p>
      <w:pPr>
        <w:pStyle w:val="Titre3"/>
        <w:numPr>
          <w:ilvl w:val="2"/>
          <w:numId w:val="2"/>
        </w:numPr>
        <w:rPr/>
      </w:pPr>
      <w:bookmarkStart w:id="4" w:name="_Toc3848"/>
      <w:r>
        <w:rPr/>
        <w:t>Décomposition en lots</w:t>
      </w:r>
      <w:bookmarkEnd w:id="4"/>
    </w:p>
    <w:p>
      <w:pPr>
        <w:pStyle w:val="Normal"/>
        <w:rPr/>
      </w:pPr>
      <w:r>
        <w:rPr>
          <w:rFonts w:eastAsia="arial" w:cs="arial" w:ascii="arial" w:hAnsi="arial"/>
          <w:b w:val="false"/>
          <w:i w:val="false"/>
          <w:color w:val="000000"/>
          <w:sz w:val="20"/>
          <w:u w:val="none"/>
        </w:rPr>
        <w:t>L'ensemble des prestations fait l'objet d'un marché unique.</w:t>
      </w:r>
    </w:p>
    <w:p>
      <w:pPr>
        <w:pStyle w:val="Titre3"/>
        <w:numPr>
          <w:ilvl w:val="2"/>
          <w:numId w:val="2"/>
        </w:numPr>
        <w:rPr/>
      </w:pPr>
      <w:bookmarkStart w:id="5" w:name="_Toc3849"/>
      <w:r>
        <w:rPr/>
        <w:t>Décomposition en tranches</w:t>
      </w:r>
      <w:bookmarkEnd w:id="5"/>
    </w:p>
    <w:p>
      <w:pPr>
        <w:pStyle w:val="Normal"/>
        <w:rPr/>
      </w:pPr>
      <w:r>
        <w:rPr>
          <w:rFonts w:eastAsia="arial" w:cs="arial" w:ascii="arial" w:hAnsi="arial"/>
          <w:b w:val="false"/>
          <w:i w:val="false"/>
          <w:color w:val="000000"/>
          <w:sz w:val="20"/>
          <w:u w:val="none"/>
        </w:rPr>
        <w:t>L'ensemble des prestations n'est pas subdivisé en tranches.</w:t>
      </w:r>
    </w:p>
    <w:p>
      <w:pPr>
        <w:pStyle w:val="Titre3"/>
        <w:numPr>
          <w:ilvl w:val="2"/>
          <w:numId w:val="2"/>
        </w:numPr>
        <w:rPr/>
      </w:pPr>
      <w:bookmarkStart w:id="6" w:name="_Toc3850"/>
      <w:r>
        <w:rPr/>
        <w:t>Décomposition en postes</w:t>
      </w:r>
      <w:bookmarkEnd w:id="6"/>
    </w:p>
    <w:p>
      <w:pPr>
        <w:pStyle w:val="Normal"/>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L'ensemble des prestations fait l’objet d’un accord-cadre global mono-attributaire.</w:t>
      </w:r>
    </w:p>
    <w:p>
      <w:pPr>
        <w:pStyle w:val="Normal"/>
        <w:rPr>
          <w:highlight w:val="none"/>
          <w:shd w:fill="auto" w:val="clear"/>
        </w:rPr>
      </w:pPr>
      <w:r>
        <w:rPr>
          <w:rFonts w:eastAsia="arial" w:cs="arial" w:ascii="arial" w:hAnsi="arial"/>
          <w:b w:val="false"/>
          <w:i w:val="false"/>
          <w:color w:val="000000"/>
          <w:sz w:val="20"/>
          <w:u w:val="none"/>
          <w:shd w:fill="auto" w:val="clear"/>
        </w:rPr>
        <w:t>Il est subdivisé en 2 postes :</w:t>
      </w:r>
    </w:p>
    <w:p>
      <w:pPr>
        <w:pStyle w:val="Normal"/>
        <w:rPr>
          <w:rFonts w:ascii="arial" w:hAnsi="arial" w:eastAsia="arial" w:cs="arial"/>
          <w:b w:val="false"/>
          <w:b w:val="false"/>
          <w:i w:val="false"/>
          <w:i w:val="false"/>
          <w:color w:val="000000"/>
          <w:sz w:val="20"/>
          <w:highlight w:val="none"/>
          <w:u w:val="none"/>
          <w:shd w:fill="auto" w:val="clear"/>
        </w:rPr>
      </w:pPr>
      <w:r>
        <w:rPr>
          <w:rFonts w:eastAsia="arial" w:cs="arial" w:ascii="arial" w:hAnsi="arial"/>
          <w:b w:val="false"/>
          <w:i w:val="false"/>
          <w:color w:val="000000"/>
          <w:sz w:val="20"/>
          <w:u w:val="none"/>
          <w:shd w:fill="auto" w:val="clear"/>
        </w:rPr>
      </w:r>
    </w:p>
    <w:p>
      <w:pPr>
        <w:pStyle w:val="Corpsdetexte"/>
        <w:spacing w:lineRule="auto" w:line="240" w:before="0" w:after="0"/>
        <w:ind w:left="0" w:right="0" w:hanging="0"/>
        <w:jc w:val="both"/>
        <w:rPr>
          <w:highlight w:val="none"/>
          <w:shd w:fill="auto" w:val="clear"/>
        </w:rPr>
      </w:pPr>
      <w:r>
        <w:rPr>
          <w:b/>
          <w:bCs/>
          <w:sz w:val="20"/>
          <w:szCs w:val="20"/>
          <w:shd w:fill="auto" w:val="clear"/>
        </w:rPr>
        <w:t>Poste 1 (en cas de changement de titulaire) comprenant :</w:t>
      </w:r>
      <w:r>
        <w:rPr>
          <w:b w:val="false"/>
          <w:bCs w:val="false"/>
          <w:sz w:val="20"/>
          <w:szCs w:val="20"/>
          <w:shd w:fill="auto" w:val="clear"/>
        </w:rPr>
        <w:t xml:space="preserve"> </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 l’assistance technique et le conseil pour le démarrage du programme ;</w:t>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 xml:space="preserve">- la mise à disposition du </w:t>
      </w:r>
      <w:r>
        <w:rPr>
          <w:b w:val="false"/>
          <w:bCs w:val="false"/>
          <w:sz w:val="20"/>
          <w:szCs w:val="20"/>
          <w:u w:val="none"/>
          <w:shd w:fill="auto" w:val="clear"/>
        </w:rPr>
        <w:t>nouvel</w:t>
      </w:r>
      <w:r>
        <w:rPr>
          <w:b w:val="false"/>
          <w:bCs w:val="false"/>
          <w:sz w:val="20"/>
          <w:szCs w:val="20"/>
          <w:shd w:fill="auto" w:val="clear"/>
        </w:rPr>
        <w:t xml:space="preserve"> outil web achat et la formation initiale à cet outil.</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Ces prestations sont décrites aux articles II-1.2 et II-1.3 du CCTP, et font l’objet d’un prix forfaitaire (annexe 2 à l’acte d’engagement).</w:t>
      </w:r>
    </w:p>
    <w:p>
      <w:pPr>
        <w:pStyle w:val="Corpsdetexte"/>
        <w:spacing w:lineRule="auto" w:line="240" w:before="0" w:after="0"/>
        <w:ind w:left="0" w:right="0" w:hanging="0"/>
        <w:jc w:val="both"/>
        <w:rPr>
          <w:rFonts w:ascii="Arial" w:hAnsi="Arial"/>
          <w:b w:val="false"/>
          <w:b w:val="false"/>
          <w:bCs w:val="false"/>
          <w:sz w:val="20"/>
          <w:szCs w:val="20"/>
          <w:highlight w:val="none"/>
          <w:shd w:fill="auto" w:val="clear"/>
        </w:rPr>
      </w:pPr>
      <w:r>
        <w:rPr>
          <w:b w:val="false"/>
          <w:bCs w:val="false"/>
          <w:sz w:val="20"/>
          <w:szCs w:val="20"/>
          <w:shd w:fill="auto" w:val="clear"/>
        </w:rPr>
      </w:r>
    </w:p>
    <w:p>
      <w:pPr>
        <w:pStyle w:val="Corpsdetexte"/>
        <w:spacing w:lineRule="auto" w:line="240" w:before="0" w:after="0"/>
        <w:ind w:left="0" w:right="0" w:hanging="0"/>
        <w:jc w:val="both"/>
        <w:rPr>
          <w:rFonts w:ascii="Arial" w:hAnsi="Arial"/>
          <w:b w:val="false"/>
          <w:b w:val="false"/>
          <w:bCs w:val="false"/>
          <w:sz w:val="20"/>
          <w:szCs w:val="20"/>
          <w:highlight w:val="none"/>
          <w:shd w:fill="auto" w:val="clear"/>
        </w:rPr>
      </w:pPr>
      <w:r>
        <w:rPr>
          <w:b w:val="false"/>
          <w:bCs w:val="false"/>
          <w:sz w:val="20"/>
          <w:szCs w:val="20"/>
          <w:shd w:fill="auto" w:val="clear"/>
        </w:rPr>
      </w:r>
    </w:p>
    <w:p>
      <w:pPr>
        <w:pStyle w:val="Corpsdetexte"/>
        <w:keepNext w:val="true"/>
        <w:keepLines/>
        <w:spacing w:lineRule="auto" w:line="240" w:before="0" w:after="0"/>
        <w:ind w:left="0" w:right="0" w:hanging="0"/>
        <w:jc w:val="both"/>
        <w:rPr>
          <w:highlight w:val="none"/>
          <w:shd w:fill="auto" w:val="clear"/>
        </w:rPr>
      </w:pPr>
      <w:r>
        <w:rPr>
          <w:b/>
          <w:bCs/>
          <w:sz w:val="20"/>
          <w:szCs w:val="20"/>
          <w:shd w:fill="auto" w:val="clear"/>
        </w:rPr>
        <w:t>Poste 2 (démarrage et exécution du marché) comprenant :</w:t>
      </w:r>
      <w:r>
        <w:rPr>
          <w:b w:val="false"/>
          <w:bCs w:val="false"/>
          <w:sz w:val="20"/>
          <w:szCs w:val="20"/>
          <w:shd w:fill="auto" w:val="clear"/>
        </w:rPr>
        <w:t xml:space="preserve"> </w:t>
      </w:r>
    </w:p>
    <w:p>
      <w:pPr>
        <w:pStyle w:val="Corpsdetexte"/>
        <w:spacing w:lineRule="auto" w:line="240" w:before="0" w:after="0"/>
        <w:ind w:left="0" w:right="0" w:hanging="0"/>
        <w:jc w:val="both"/>
        <w:rPr>
          <w:rFonts w:ascii="Arial" w:hAnsi="Arial"/>
          <w:sz w:val="20"/>
          <w:szCs w:val="20"/>
          <w:highlight w:val="none"/>
          <w:shd w:fill="auto" w:val="clear"/>
        </w:rPr>
      </w:pPr>
      <w:r>
        <w:rPr>
          <w:sz w:val="20"/>
          <w:szCs w:val="20"/>
          <w:shd w:fill="auto" w:val="clear"/>
        </w:rPr>
      </w:r>
    </w:p>
    <w:p>
      <w:pPr>
        <w:pStyle w:val="Corpsdetexte"/>
        <w:keepNext w:val="true"/>
        <w:keepLines/>
        <w:spacing w:lineRule="auto" w:line="240" w:before="0" w:after="0"/>
        <w:ind w:left="0" w:right="0" w:hanging="0"/>
        <w:jc w:val="both"/>
        <w:rPr>
          <w:highlight w:val="none"/>
          <w:shd w:fill="auto" w:val="clear"/>
        </w:rPr>
      </w:pPr>
      <w:r>
        <w:rPr>
          <w:b w:val="false"/>
          <w:bCs w:val="false"/>
          <w:sz w:val="20"/>
          <w:szCs w:val="20"/>
          <w:shd w:fill="auto" w:val="clear"/>
        </w:rPr>
        <w:t>- l’assistance technique et la gestion courante  (</w:t>
      </w:r>
      <w:r>
        <w:rPr>
          <w:b w:val="false"/>
          <w:bCs w:val="false"/>
          <w:i w:val="false"/>
          <w:iCs w:val="false"/>
          <w:sz w:val="20"/>
          <w:szCs w:val="20"/>
          <w:shd w:fill="auto" w:val="clear"/>
        </w:rPr>
        <w:t>articles II-2.1  et II.2.3 du présent CCTP)</w:t>
      </w:r>
      <w:r>
        <w:rPr>
          <w:b w:val="false"/>
          <w:bCs w:val="false"/>
          <w:sz w:val="20"/>
          <w:szCs w:val="20"/>
          <w:shd w:fill="auto" w:val="clear"/>
        </w:rPr>
        <w:t> ;</w:t>
      </w:r>
    </w:p>
    <w:p>
      <w:pPr>
        <w:pStyle w:val="Corpsdetexte"/>
        <w:spacing w:lineRule="auto" w:line="240" w:before="0" w:after="0"/>
        <w:ind w:left="0" w:right="0" w:hanging="0"/>
        <w:jc w:val="both"/>
        <w:rPr>
          <w:highlight w:val="none"/>
          <w:shd w:fill="auto" w:val="clear"/>
        </w:rPr>
      </w:pPr>
      <w:r>
        <w:rPr>
          <w:b w:val="false"/>
          <w:bCs w:val="false"/>
          <w:i w:val="false"/>
          <w:iCs w:val="false"/>
          <w:sz w:val="20"/>
          <w:szCs w:val="20"/>
          <w:shd w:fill="auto" w:val="clear"/>
        </w:rPr>
        <w:t>- les formations à l’outil web carte d’achat en cours de marché – prestations à bons de commande (articles II-1.4) ;</w:t>
      </w:r>
    </w:p>
    <w:p>
      <w:pPr>
        <w:pStyle w:val="Corpsdetexte"/>
        <w:spacing w:lineRule="auto" w:line="240" w:before="0" w:after="0"/>
        <w:ind w:left="0" w:right="0" w:hanging="0"/>
        <w:jc w:val="both"/>
        <w:rPr>
          <w:highlight w:val="none"/>
          <w:shd w:fill="auto" w:val="clear"/>
        </w:rPr>
      </w:pPr>
      <w:r>
        <w:rPr>
          <w:b w:val="false"/>
          <w:bCs w:val="false"/>
          <w:i w:val="false"/>
          <w:iCs w:val="false"/>
          <w:sz w:val="20"/>
          <w:szCs w:val="20"/>
          <w:shd w:fill="auto" w:val="clear"/>
        </w:rPr>
        <w:t>- le suivi technique et administratif du marché d'émission de cartes d’achat – forfait annuel  (article II-2.2)</w:t>
      </w:r>
      <w:r>
        <w:rPr>
          <w:b w:val="false"/>
          <w:bCs w:val="false"/>
          <w:sz w:val="20"/>
          <w:szCs w:val="20"/>
          <w:shd w:fill="auto" w:val="clear"/>
        </w:rPr>
        <w:t>.</w:t>
      </w:r>
    </w:p>
    <w:p>
      <w:pPr>
        <w:pStyle w:val="Corpsdetexte"/>
        <w:spacing w:lineRule="auto" w:line="240" w:before="0" w:after="0"/>
        <w:ind w:left="0" w:right="0" w:hanging="0"/>
        <w:jc w:val="both"/>
        <w:rPr>
          <w:rFonts w:ascii="Arial" w:hAnsi="Arial"/>
          <w:sz w:val="20"/>
          <w:szCs w:val="20"/>
          <w:highlight w:val="none"/>
          <w:shd w:fill="FFFF00" w:val="clear"/>
        </w:rPr>
      </w:pPr>
      <w:r>
        <w:rPr>
          <w:sz w:val="20"/>
          <w:szCs w:val="20"/>
          <w:shd w:fill="FFFF00" w:val="clear"/>
        </w:rPr>
      </w:r>
    </w:p>
    <w:p>
      <w:pPr>
        <w:pStyle w:val="Corpsdetexte"/>
        <w:spacing w:lineRule="auto" w:line="240" w:before="0" w:after="0"/>
        <w:ind w:left="0" w:right="0" w:hanging="0"/>
        <w:jc w:val="both"/>
        <w:rPr>
          <w:highlight w:val="none"/>
          <w:shd w:fill="auto" w:val="clear"/>
        </w:rPr>
      </w:pPr>
      <w:r>
        <w:rPr>
          <w:b w:val="false"/>
          <w:bCs w:val="false"/>
          <w:sz w:val="20"/>
          <w:szCs w:val="20"/>
          <w:shd w:fill="auto" w:val="clear"/>
        </w:rPr>
        <w:t>Les prix de ces prestations sont indiqués dans l’annexe 3 à l’acte d’engagement, intitulée « bordereau de prix ».</w:t>
      </w:r>
    </w:p>
    <w:p>
      <w:pPr>
        <w:pStyle w:val="Corpsdetexte"/>
        <w:keepNext w:val="true"/>
        <w:keepLines/>
        <w:spacing w:lineRule="auto" w:line="240" w:before="0" w:after="0"/>
        <w:ind w:left="0" w:right="0" w:hanging="0"/>
        <w:jc w:val="both"/>
        <w:rPr>
          <w:rFonts w:ascii="Arial" w:hAnsi="Arial"/>
          <w:i w:val="false"/>
          <w:i w:val="false"/>
          <w:iCs w:val="false"/>
          <w:sz w:val="20"/>
          <w:szCs w:val="20"/>
          <w:highlight w:val="none"/>
          <w:shd w:fill="auto" w:val="clear"/>
        </w:rPr>
      </w:pPr>
      <w:r>
        <w:rPr>
          <w:i w:val="false"/>
          <w:iCs w:val="false"/>
          <w:sz w:val="20"/>
          <w:szCs w:val="20"/>
          <w:shd w:fill="auto" w:val="clear"/>
        </w:rPr>
      </w:r>
    </w:p>
    <w:p>
      <w:pPr>
        <w:pStyle w:val="Titre2"/>
        <w:numPr>
          <w:ilvl w:val="1"/>
          <w:numId w:val="2"/>
        </w:numPr>
        <w:rPr>
          <w:highlight w:val="none"/>
          <w:shd w:fill="auto" w:val="clear"/>
        </w:rPr>
      </w:pPr>
      <w:bookmarkStart w:id="7" w:name="_Toc3851"/>
      <w:r>
        <w:rPr>
          <w:shd w:fill="auto" w:val="clear"/>
        </w:rPr>
        <w:t>Modalités d'exécution des tranches optionnelles</w:t>
      </w:r>
      <w:bookmarkEnd w:id="7"/>
    </w:p>
    <w:p>
      <w:pPr>
        <w:pStyle w:val="Normal"/>
        <w:rPr>
          <w:highlight w:val="none"/>
          <w:shd w:fill="auto" w:val="clear"/>
        </w:rPr>
      </w:pPr>
      <w:r>
        <w:rPr>
          <w:rFonts w:eastAsia="arial" w:cs="arial" w:ascii="arial" w:hAnsi="arial"/>
          <w:b w:val="false"/>
          <w:i w:val="false"/>
          <w:color w:val="000000"/>
          <w:sz w:val="20"/>
          <w:u w:val="none"/>
          <w:shd w:fill="auto" w:val="clear"/>
        </w:rPr>
        <w:t>L'ensemble des prestations n'est pas subdivisé en tranches.</w:t>
      </w:r>
    </w:p>
    <w:p>
      <w:pPr>
        <w:pStyle w:val="Titre2"/>
        <w:numPr>
          <w:ilvl w:val="1"/>
          <w:numId w:val="2"/>
        </w:numPr>
        <w:rPr>
          <w:highlight w:val="none"/>
          <w:shd w:fill="auto" w:val="clear"/>
        </w:rPr>
      </w:pPr>
      <w:bookmarkStart w:id="8" w:name="_Toc3852"/>
      <w:r>
        <w:rPr>
          <w:shd w:fill="auto" w:val="clear"/>
        </w:rPr>
        <w:t>Accord-cadre à bons de commande</w:t>
      </w:r>
      <w:bookmarkEnd w:id="8"/>
    </w:p>
    <w:p>
      <w:pPr>
        <w:pStyle w:val="Normal"/>
        <w:rPr>
          <w:highlight w:val="none"/>
          <w:shd w:fill="auto" w:val="clear"/>
        </w:rPr>
      </w:pPr>
      <w:r>
        <w:rPr>
          <w:shd w:fill="auto" w:val="clear"/>
        </w:rPr>
        <w:t xml:space="preserve">Le présent marché est un accord-cadre </w:t>
      </w:r>
      <w:r>
        <w:rPr>
          <w:rFonts w:ascii="Verdana;Geneva;sans-serif" w:hAnsi="Verdana;Geneva;sans-serif"/>
          <w:sz w:val="18"/>
          <w:shd w:fill="auto" w:val="clear"/>
        </w:rPr>
        <w:t>passé en application des articles R2162-13 et 14 du  Code de la commande publique.</w:t>
      </w:r>
    </w:p>
    <w:p>
      <w:pPr>
        <w:pStyle w:val="Normal"/>
        <w:rPr>
          <w:highlight w:val="none"/>
          <w:shd w:fill="auto" w:val="clear"/>
        </w:rPr>
      </w:pPr>
      <w:r>
        <w:rPr>
          <w:shd w:fill="auto" w:val="clear"/>
        </w:rPr>
        <w:t>L’accord cadre est conclu dans les conditions et limites suivantes :</w:t>
      </w:r>
    </w:p>
    <w:p>
      <w:pPr>
        <w:pStyle w:val="Normal"/>
        <w:rPr/>
      </w:pPr>
      <w:r>
        <w:rPr/>
        <w:t>Le volume suivant des prestations est donné sur toute la durée du marché soit 4 ans ferme :</w:t>
      </w:r>
    </w:p>
    <w:p>
      <w:pPr>
        <w:pStyle w:val="Normal"/>
        <w:rPr/>
      </w:pPr>
      <w:r>
        <w:rPr/>
        <w:t>SANS MINIMUM</w:t>
      </w:r>
    </w:p>
    <w:p>
      <w:pPr>
        <w:pStyle w:val="Normal"/>
        <w:rPr/>
      </w:pPr>
      <w:r>
        <w:rPr/>
        <w:t>MONTANT MAXIMUM : 130 000,00 € H.T.</w:t>
      </w:r>
    </w:p>
    <w:p>
      <w:pPr>
        <w:pStyle w:val="Normal"/>
        <w:rPr>
          <w:highlight w:val="none"/>
        </w:rPr>
      </w:pPr>
      <w:r>
        <w:rPr>
          <w:rFonts w:eastAsia="arial" w:cs="arial" w:ascii="arial" w:hAnsi="arial"/>
          <w:b w:val="false"/>
          <w:i w:val="false"/>
          <w:color w:val="000000"/>
          <w:u w:val="none"/>
          <w:shd w:fill="auto" w:val="clear"/>
        </w:rPr>
        <w:t>Ce montant maximum inclut les 2 postes décrits ci-dessus.</w:t>
      </w:r>
      <w:r>
        <w:rPr>
          <w:rFonts w:eastAsia="arial" w:cs="arial" w:ascii="arial" w:hAnsi="arial"/>
          <w:b w:val="false"/>
          <w:i w:val="false"/>
          <w:color w:val="000000"/>
          <w:u w:val="none"/>
          <w:shd w:fill="FFFF00" w:val="clear"/>
        </w:rPr>
        <w:t xml:space="preserve"> </w:t>
      </w:r>
    </w:p>
    <w:p>
      <w:pPr>
        <w:pStyle w:val="Titre2"/>
        <w:numPr>
          <w:ilvl w:val="1"/>
          <w:numId w:val="2"/>
        </w:numPr>
        <w:rPr/>
      </w:pPr>
      <w:bookmarkStart w:id="9" w:name="_Toc3853"/>
      <w:r>
        <w:rPr/>
        <w:t>Date d'effet du marché</w:t>
      </w:r>
      <w:bookmarkEnd w:id="9"/>
    </w:p>
    <w:p>
      <w:pPr>
        <w:pStyle w:val="Normal"/>
        <w:rPr>
          <w:highlight w:val="none"/>
          <w:shd w:fill="auto" w:val="clear"/>
        </w:rPr>
      </w:pPr>
      <w:r>
        <w:rPr>
          <w:rFonts w:eastAsia="arial" w:cs="arial" w:ascii="arial" w:hAnsi="arial"/>
          <w:b w:val="false"/>
          <w:i w:val="false"/>
          <w:color w:val="000000"/>
          <w:sz w:val="20"/>
          <w:u w:val="none"/>
          <w:shd w:fill="auto" w:val="clear"/>
        </w:rPr>
        <w:t>La date de début de la période de validité du marché est la date de notification du marché au titulaire.</w:t>
      </w:r>
    </w:p>
    <w:p>
      <w:pPr>
        <w:pStyle w:val="Normal"/>
        <w:rPr>
          <w:highlight w:val="none"/>
          <w:shd w:fill="auto" w:val="clear"/>
        </w:rPr>
      </w:pPr>
      <w:r>
        <w:rPr>
          <w:rFonts w:eastAsia="arial" w:cs="arial" w:ascii="arial" w:hAnsi="arial"/>
          <w:b w:val="false"/>
          <w:i w:val="false"/>
          <w:color w:val="000000"/>
          <w:sz w:val="20"/>
          <w:u w:val="none"/>
          <w:shd w:fill="auto" w:val="clear"/>
        </w:rPr>
        <w:t xml:space="preserve">Le poste 1 (en cas de changement de titulaire) démarrera dès la notification du marché. </w:t>
      </w:r>
    </w:p>
    <w:p>
      <w:pPr>
        <w:pStyle w:val="Normal"/>
        <w:rPr>
          <w:highlight w:val="none"/>
          <w:shd w:fill="auto" w:val="clear"/>
        </w:rPr>
      </w:pPr>
      <w:r>
        <w:rPr>
          <w:rFonts w:eastAsia="arial" w:cs="arial" w:ascii="arial" w:hAnsi="arial"/>
          <w:b w:val="false"/>
          <w:i w:val="false"/>
          <w:color w:val="000000"/>
          <w:sz w:val="20"/>
          <w:u w:val="none"/>
          <w:shd w:fill="auto" w:val="clear"/>
        </w:rPr>
        <w:t xml:space="preserve">Le poste 2 démarrera dès la fin du marché précédent, soit le </w:t>
      </w:r>
      <w:r>
        <w:rPr>
          <w:rFonts w:eastAsia="arial" w:cs="arial" w:ascii="arial" w:hAnsi="arial"/>
          <w:b/>
          <w:bCs/>
          <w:i w:val="false"/>
          <w:color w:val="000000"/>
          <w:sz w:val="20"/>
          <w:u w:val="none"/>
          <w:shd w:fill="auto" w:val="clear"/>
        </w:rPr>
        <w:t>18 avril 2023</w:t>
      </w:r>
      <w:r>
        <w:rPr>
          <w:rFonts w:eastAsia="arial" w:cs="arial" w:ascii="arial" w:hAnsi="arial"/>
          <w:b w:val="false"/>
          <w:i w:val="false"/>
          <w:color w:val="000000"/>
          <w:sz w:val="20"/>
          <w:u w:val="none"/>
          <w:shd w:fill="auto" w:val="clear"/>
        </w:rPr>
        <w:t>, éventuellement prolongé par avenant. Il s’agit de la date à partir de laquelle les premières cartes d'achat seront en situation de production (livrées, paramétrées et prêtes à l'emploi).</w:t>
      </w:r>
    </w:p>
    <w:p>
      <w:pPr>
        <w:pStyle w:val="Titre2"/>
        <w:numPr>
          <w:ilvl w:val="1"/>
          <w:numId w:val="2"/>
        </w:numPr>
        <w:rPr>
          <w:highlight w:val="none"/>
          <w:shd w:fill="auto" w:val="clear"/>
        </w:rPr>
      </w:pPr>
      <w:bookmarkStart w:id="10" w:name="_Toc3854"/>
      <w:r>
        <w:rPr>
          <w:shd w:fill="auto" w:val="clear"/>
        </w:rPr>
        <w:t>Durée du marché - Période de validité</w:t>
      </w:r>
      <w:bookmarkEnd w:id="10"/>
    </w:p>
    <w:p>
      <w:pPr>
        <w:pStyle w:val="Normal"/>
        <w:rPr>
          <w:highlight w:val="none"/>
          <w:shd w:fill="auto" w:val="clear"/>
        </w:rPr>
      </w:pPr>
      <w:r>
        <w:rPr>
          <w:rFonts w:eastAsia="arial" w:cs="arial" w:ascii="arial" w:hAnsi="arial"/>
          <w:b w:val="false"/>
          <w:i w:val="false"/>
          <w:color w:val="000000"/>
          <w:sz w:val="20"/>
          <w:u w:val="none"/>
          <w:shd w:fill="auto" w:val="clear"/>
        </w:rPr>
        <w:t>La durée du marché se définit comme suit :</w:t>
      </w:r>
    </w:p>
    <w:p>
      <w:pPr>
        <w:pStyle w:val="Normal"/>
        <w:rPr>
          <w:highlight w:val="none"/>
          <w:shd w:fill="auto" w:val="clear"/>
        </w:rPr>
      </w:pPr>
      <w:r>
        <w:rPr>
          <w:rFonts w:eastAsia="arial" w:cs="arial" w:ascii="arial" w:hAnsi="arial"/>
          <w:b/>
          <w:i w:val="false"/>
          <w:color w:val="000000"/>
          <w:sz w:val="20"/>
          <w:u w:val="none"/>
          <w:shd w:fill="auto" w:val="clear"/>
        </w:rPr>
        <w:t>4 ans ferme à compter de la date de notification du marché</w:t>
      </w:r>
    </w:p>
    <w:p>
      <w:pPr>
        <w:pStyle w:val="Normal"/>
        <w:rPr>
          <w:highlight w:val="none"/>
          <w:shd w:fill="auto" w:val="clear"/>
        </w:rPr>
      </w:pPr>
      <w:r>
        <w:rPr>
          <w:rFonts w:eastAsia="arial" w:cs="arial" w:ascii="arial" w:hAnsi="arial"/>
          <w:b w:val="false"/>
          <w:i w:val="false"/>
          <w:color w:val="000000"/>
          <w:sz w:val="20"/>
          <w:u w:val="none"/>
          <w:shd w:fill="auto" w:val="clear"/>
        </w:rPr>
        <w:t>Les bons de commande émis en fin de marché ne pourront voir leur exécution se prolonger de plus de 3 mois après la date d'expiration du marché.</w:t>
      </w:r>
    </w:p>
    <w:p>
      <w:pPr>
        <w:pStyle w:val="Titre2"/>
        <w:numPr>
          <w:ilvl w:val="1"/>
          <w:numId w:val="2"/>
        </w:numPr>
        <w:rPr>
          <w:highlight w:val="none"/>
          <w:shd w:fill="auto" w:val="clear"/>
        </w:rPr>
      </w:pPr>
      <w:bookmarkStart w:id="11" w:name="_Toc3855"/>
      <w:r>
        <w:rPr>
          <w:shd w:fill="auto" w:val="clear"/>
        </w:rPr>
        <w:t>Clause obligatoire d'insertion par l'activité économique</w:t>
      </w:r>
      <w:bookmarkEnd w:id="11"/>
    </w:p>
    <w:p>
      <w:pPr>
        <w:pStyle w:val="Normal"/>
        <w:rPr>
          <w:highlight w:val="none"/>
          <w:shd w:fill="auto" w:val="clear"/>
        </w:rPr>
      </w:pPr>
      <w:r>
        <w:rPr>
          <w:rFonts w:eastAsia="arial" w:cs="arial" w:ascii="arial" w:hAnsi="arial"/>
          <w:b w:val="false"/>
          <w:i w:val="false"/>
          <w:color w:val="000000"/>
          <w:sz w:val="20"/>
          <w:u w:val="none"/>
          <w:shd w:fill="auto" w:val="clear"/>
        </w:rPr>
        <w:t>Le marché ne prévoit pas la mise en place d'une clause obligatoire d'insertion par l'activité économique.</w:t>
      </w:r>
    </w:p>
    <w:p>
      <w:pPr>
        <w:pStyle w:val="Titre2"/>
        <w:numPr>
          <w:ilvl w:val="1"/>
          <w:numId w:val="2"/>
        </w:numPr>
        <w:rPr/>
      </w:pPr>
      <w:bookmarkStart w:id="12" w:name="_Toc3856"/>
      <w:r>
        <w:rPr/>
        <w:t xml:space="preserve">Réemploi, réutilisation ou intégration de matières recyclées </w:t>
      </w:r>
      <w:bookmarkEnd w:id="1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Sans objet</w:t>
      </w:r>
    </w:p>
    <w:p>
      <w:pPr>
        <w:pStyle w:val="Titre1"/>
        <w:numPr>
          <w:ilvl w:val="0"/>
          <w:numId w:val="2"/>
        </w:numPr>
        <w:rPr/>
      </w:pPr>
      <w:bookmarkStart w:id="13" w:name="_Toc3857"/>
      <w:r>
        <w:rPr/>
        <w:t>DOCUMENTS CONTRACTUELS</w:t>
      </w:r>
      <w:bookmarkEnd w:id="13"/>
    </w:p>
    <w:p>
      <w:pPr>
        <w:pStyle w:val="Normal"/>
        <w:rPr>
          <w:highlight w:val="none"/>
          <w:shd w:fill="auto" w:val="clear"/>
        </w:rPr>
      </w:pPr>
      <w:r>
        <w:rPr>
          <w:rFonts w:eastAsia="arial" w:cs="arial" w:ascii="arial" w:hAnsi="arial"/>
          <w:b/>
          <w:i w:val="false"/>
          <w:color w:val="000000"/>
          <w:sz w:val="20"/>
          <w:u w:val="none"/>
          <w:shd w:fill="auto" w:val="clear"/>
        </w:rPr>
        <w:t>Par dérogation à l'article 4.1 du C.C.A.G. FCS</w:t>
      </w:r>
      <w:r>
        <w:rPr>
          <w:rFonts w:eastAsia="arial" w:cs="arial" w:ascii="arial" w:hAnsi="arial"/>
          <w:b w:val="false"/>
          <w:i w:val="false"/>
          <w:color w:val="000000"/>
          <w:sz w:val="20"/>
          <w:u w:val="none"/>
          <w:shd w:fill="auto" w:val="clear"/>
        </w:rPr>
        <w:t>, les pièces constitutives du marché sont les suivantes par ordre de priorité décroissante :</w:t>
      </w:r>
    </w:p>
    <w:p>
      <w:pPr>
        <w:pStyle w:val="Normal"/>
        <w:rPr>
          <w:highlight w:val="none"/>
          <w:shd w:fill="auto" w:val="clear"/>
        </w:rPr>
      </w:pPr>
      <w:r>
        <w:rPr>
          <w:rFonts w:eastAsia="arial" w:cs="arial" w:ascii="arial" w:hAnsi="arial"/>
          <w:b w:val="false"/>
          <w:i w:val="false"/>
          <w:color w:val="000000"/>
          <w:sz w:val="20"/>
          <w:u w:val="none"/>
          <w:shd w:fill="auto" w:val="clear"/>
        </w:rPr>
        <w:t>- l'Acte d'Engagement (AE) et ses annexes désignées ci-après :</w:t>
      </w:r>
    </w:p>
    <w:p>
      <w:pPr>
        <w:pStyle w:val="Normal"/>
        <w:rPr>
          <w:strike/>
          <w:highlight w:val="none"/>
          <w:shd w:fill="FFFF00" w:val="clear"/>
        </w:rPr>
      </w:pPr>
      <w:r>
        <w:rPr>
          <w:strike/>
          <w:shd w:fill="FFFF00" w:val="clear"/>
        </w:rPr>
      </w:r>
    </w:p>
    <w:p>
      <w:pPr>
        <w:pStyle w:val="Normal"/>
        <w:rPr>
          <w:highlight w:val="none"/>
          <w:shd w:fill="auto" w:val="clear"/>
        </w:rPr>
      </w:pPr>
      <w:r>
        <w:rPr>
          <w:rFonts w:eastAsia="arial" w:cs="arial" w:ascii="arial" w:hAnsi="arial"/>
          <w:b w:val="false"/>
          <w:i w:val="false"/>
          <w:color w:val="000000"/>
          <w:sz w:val="20"/>
          <w:szCs w:val="40"/>
          <w:u w:val="none"/>
          <w:shd w:fill="auto" w:val="clear"/>
          <w:lang w:val="fr-FR" w:bidi="hi-IN"/>
        </w:rPr>
        <w:t>- l'annexe 1 à l’AE « Protection des données et Politique de sécurité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xml:space="preserve">- l’annexe 2 à l’AE : le Bordereau des Prix Forfaitaires (BPF) (poste 1) </w:t>
      </w:r>
    </w:p>
    <w:p>
      <w:pPr>
        <w:pStyle w:val="Normal"/>
        <w:rPr>
          <w:highlight w:val="none"/>
          <w:shd w:fill="auto" w:val="clear"/>
        </w:rPr>
      </w:pPr>
      <w:r>
        <w:rPr>
          <w:rFonts w:eastAsia="arial" w:cs="arial" w:ascii="arial" w:hAnsi="arial"/>
          <w:b w:val="false"/>
          <w:i w:val="false"/>
          <w:color w:val="000000"/>
          <w:sz w:val="20"/>
          <w:u w:val="none"/>
          <w:shd w:fill="auto" w:val="clear"/>
        </w:rPr>
        <w:t>- l’annexe 3 à l’AE : le Bordereau de Prix  (poste 2)</w:t>
      </w:r>
    </w:p>
    <w:p>
      <w:pPr>
        <w:pStyle w:val="Normal"/>
        <w:rPr>
          <w:highlight w:val="none"/>
          <w:shd w:fill="auto" w:val="clear"/>
        </w:rPr>
      </w:pPr>
      <w:r>
        <w:rPr>
          <w:rFonts w:eastAsia="arial" w:cs="arial" w:ascii="arial" w:hAnsi="arial"/>
          <w:b w:val="false"/>
          <w:i w:val="false"/>
          <w:color w:val="000000"/>
          <w:sz w:val="20"/>
          <w:szCs w:val="40"/>
          <w:u w:val="none"/>
          <w:shd w:fill="auto" w:val="clear"/>
          <w:lang w:val="fr-FR" w:bidi="hi-IN"/>
        </w:rPr>
        <w:t xml:space="preserve"> </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présent Cahier des Clauses Administratives Particulières (C.C.A.P.)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document intitulé Cahier des Clauses Techniques Particulières (C.C.T.P.)</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cahier des clauses administratives générales (C.C.A.G.) applicable aux marchés publics de Fournitures courantes et de services approuvé par l'arrêté du 30 mars 2021 publié au JORF du 1er avril 2021</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 le Mémoire Technique (M.T)</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le Mémoire de Développement Durable (MDD)</w:t>
      </w:r>
    </w:p>
    <w:p>
      <w:pPr>
        <w:pStyle w:val="Titre1"/>
        <w:numPr>
          <w:ilvl w:val="0"/>
          <w:numId w:val="2"/>
        </w:numPr>
        <w:rPr/>
      </w:pPr>
      <w:bookmarkStart w:id="14" w:name="_Toc3858"/>
      <w:r>
        <w:rPr/>
        <w:t>DELAIS DE LIVRAISON ET/OU D'EXECUTION</w:t>
      </w:r>
      <w:bookmarkEnd w:id="14"/>
    </w:p>
    <w:p>
      <w:pPr>
        <w:pStyle w:val="Titre2"/>
        <w:numPr>
          <w:ilvl w:val="1"/>
          <w:numId w:val="2"/>
        </w:numPr>
        <w:rPr/>
      </w:pPr>
      <w:bookmarkStart w:id="15" w:name="_Toc3859"/>
      <w:r>
        <w:rPr/>
        <w:t>Délais</w:t>
      </w:r>
      <w:bookmarkEnd w:id="15"/>
    </w:p>
    <w:p>
      <w:pPr>
        <w:pStyle w:val="Normal"/>
        <w:rPr>
          <w:highlight w:val="none"/>
          <w:shd w:fill="auto" w:val="clear"/>
        </w:rPr>
      </w:pPr>
      <w:r>
        <w:rPr>
          <w:rFonts w:eastAsia="arial" w:cs="arial" w:ascii="arial" w:hAnsi="arial"/>
          <w:b w:val="false"/>
          <w:i w:val="false"/>
          <w:color w:val="000000"/>
          <w:sz w:val="20"/>
          <w:u w:val="none"/>
          <w:shd w:fill="auto" w:val="clear"/>
        </w:rPr>
        <w:t>Les différentes prestations ci-dessous comprennent des délais d'exécution.</w:t>
      </w:r>
    </w:p>
    <w:p>
      <w:pPr>
        <w:pStyle w:val="ListParagraph"/>
        <w:numPr>
          <w:ilvl w:val="0"/>
          <w:numId w:val="6"/>
        </w:numPr>
        <w:rPr>
          <w:highlight w:val="none"/>
          <w:shd w:fill="auto" w:val="clear"/>
        </w:rPr>
      </w:pPr>
      <w:r>
        <w:rPr>
          <w:rFonts w:eastAsia="arial" w:cs="arial" w:ascii="arial;serif" w:hAnsi="arial;serif"/>
          <w:b w:val="false"/>
          <w:i w:val="false"/>
          <w:caps w:val="false"/>
          <w:smallCaps w:val="false"/>
          <w:strike w:val="false"/>
          <w:dstrike w:val="false"/>
          <w:color w:val="000000"/>
          <w:sz w:val="21"/>
          <w:u w:val="none"/>
          <w:effect w:val="none"/>
          <w:shd w:fill="auto" w:val="clear"/>
        </w:rPr>
        <w:t>Délai de mise à disposition de l'outil web, d'implantation du programme dans l’outil web du titulaire, la création des cartes du programme, des codes et envoi. Délai ne pouvant pas excéder 30 jours à compter de la date de remise au titulaire des éléments d'implantation du programme</w:t>
      </w:r>
      <w:r>
        <w:rPr>
          <w:rFonts w:eastAsia="arial" w:cs="arial" w:ascii="arial" w:hAnsi="arial"/>
          <w:b w:val="false"/>
          <w:i w:val="false"/>
          <w:color w:val="000000"/>
          <w:sz w:val="20"/>
          <w:u w:val="none"/>
          <w:shd w:fill="auto" w:val="clear"/>
        </w:rPr>
        <w:t xml:space="preserve"> </w:t>
      </w:r>
    </w:p>
    <w:p>
      <w:pPr>
        <w:pStyle w:val="Normal"/>
        <w:numPr>
          <w:ilvl w:val="0"/>
          <w:numId w:val="5"/>
        </w:numPr>
        <w:rPr>
          <w:highlight w:val="none"/>
          <w:shd w:fill="auto" w:val="clear"/>
        </w:rPr>
      </w:pPr>
      <w:r>
        <w:rPr>
          <w:rFonts w:eastAsia="arial" w:cs="arial" w:ascii="arial;serif" w:hAnsi="arial;serif"/>
          <w:b w:val="false"/>
          <w:i w:val="false"/>
          <w:caps w:val="false"/>
          <w:smallCaps w:val="false"/>
          <w:strike w:val="false"/>
          <w:dstrike w:val="false"/>
          <w:color w:val="000000"/>
          <w:sz w:val="21"/>
          <w:u w:val="none"/>
          <w:effect w:val="none"/>
          <w:shd w:fill="auto" w:val="clear"/>
        </w:rPr>
        <w:t>délai de fabrication et d’envoi de toutes nouvelles cartes, à compter de la date de réception du bon de commande. Délai ne pouvant pas excéder 10 jours</w:t>
      </w:r>
      <w:r>
        <w:rPr>
          <w:rFonts w:eastAsia="arial" w:cs="arial" w:ascii="arial" w:hAnsi="arial"/>
          <w:b w:val="false"/>
          <w:i w:val="false"/>
          <w:color w:val="000000"/>
          <w:sz w:val="20"/>
          <w:u w:val="none"/>
          <w:shd w:fill="auto" w:val="clear"/>
        </w:rPr>
        <w:t xml:space="preserve"> ;</w:t>
      </w:r>
    </w:p>
    <w:p>
      <w:pPr>
        <w:pStyle w:val="Normal"/>
        <w:numPr>
          <w:ilvl w:val="0"/>
          <w:numId w:val="5"/>
        </w:numPr>
        <w:rPr>
          <w:highlight w:val="none"/>
          <w:shd w:fill="auto" w:val="clear"/>
        </w:rPr>
      </w:pPr>
      <w:r>
        <w:rPr>
          <w:rFonts w:eastAsia="arial" w:cs="arial" w:ascii="arial" w:hAnsi="arial"/>
          <w:b w:val="false"/>
          <w:i w:val="false"/>
          <w:color w:val="000000"/>
          <w:sz w:val="20"/>
          <w:u w:val="none"/>
          <w:shd w:fill="auto" w:val="clear"/>
        </w:rPr>
        <w:t>délai d'édition et d'envoi des codes secrets, délai à compter de la réception du bon de commande de fabrication de carte. Délai ne pouvant pas excéder 10 jours;</w:t>
      </w:r>
    </w:p>
    <w:p>
      <w:pPr>
        <w:pStyle w:val="Normal"/>
        <w:numPr>
          <w:ilvl w:val="0"/>
          <w:numId w:val="5"/>
        </w:numPr>
        <w:rPr>
          <w:highlight w:val="none"/>
          <w:shd w:fill="auto" w:val="clear"/>
        </w:rPr>
      </w:pPr>
      <w:r>
        <w:rPr>
          <w:rFonts w:eastAsia="arial" w:cs="arial" w:ascii="arial" w:hAnsi="arial"/>
          <w:b w:val="false"/>
          <w:i w:val="false"/>
          <w:color w:val="000000"/>
          <w:sz w:val="20"/>
          <w:u w:val="none"/>
          <w:shd w:fill="auto" w:val="clear"/>
        </w:rPr>
        <w:t>délai d'exécution d'une formation en distanciel à partir de la réception du bon de commande, délai inférieur à 30 jours;</w:t>
      </w:r>
    </w:p>
    <w:p>
      <w:pPr>
        <w:pStyle w:val="Normal"/>
        <w:numPr>
          <w:ilvl w:val="0"/>
          <w:numId w:val="5"/>
        </w:numPr>
        <w:rPr>
          <w:highlight w:val="none"/>
          <w:shd w:fill="auto" w:val="clear"/>
        </w:rPr>
      </w:pPr>
      <w:r>
        <w:rPr>
          <w:rFonts w:eastAsia="arial" w:cs="arial" w:ascii="arial" w:hAnsi="arial"/>
          <w:b w:val="false"/>
          <w:i w:val="false"/>
          <w:color w:val="000000"/>
          <w:sz w:val="20"/>
          <w:u w:val="none"/>
          <w:shd w:fill="auto" w:val="clear"/>
        </w:rPr>
        <w:t>délai de mise en place d'une formation en présentiel à partir de la réception du bon de commande délai inférieur à 30 jours;</w:t>
      </w:r>
    </w:p>
    <w:p>
      <w:pPr>
        <w:pStyle w:val="Titre2"/>
        <w:numPr>
          <w:ilvl w:val="1"/>
          <w:numId w:val="2"/>
        </w:numPr>
        <w:rPr>
          <w:highlight w:val="none"/>
          <w:shd w:fill="auto" w:val="clear"/>
        </w:rPr>
      </w:pPr>
      <w:bookmarkStart w:id="16" w:name="_Toc3860"/>
      <w:r>
        <w:rPr>
          <w:shd w:fill="auto" w:val="clear"/>
        </w:rPr>
        <w:t xml:space="preserve">Émission des bons de commande </w:t>
      </w:r>
      <w:bookmarkEnd w:id="16"/>
    </w:p>
    <w:p>
      <w:pPr>
        <w:pStyle w:val="Normal"/>
        <w:rPr>
          <w:highlight w:val="none"/>
          <w:shd w:fill="auto" w:val="clear"/>
        </w:rPr>
      </w:pPr>
      <w:r>
        <w:rPr>
          <w:rFonts w:eastAsia="arial" w:cs="arial" w:ascii="arial" w:hAnsi="arial"/>
          <w:b w:val="false"/>
          <w:i w:val="false"/>
          <w:color w:val="000000"/>
          <w:sz w:val="20"/>
          <w:u w:val="none"/>
          <w:shd w:fill="auto" w:val="clear"/>
        </w:rPr>
        <w:t>Les commandes sont faites au fur et à mesure des besoins par le moyen de bons de commande délivrés par le service et qui comporteront :</w:t>
      </w:r>
    </w:p>
    <w:p>
      <w:pPr>
        <w:pStyle w:val="Normal"/>
        <w:rPr>
          <w:highlight w:val="none"/>
          <w:shd w:fill="auto" w:val="clear"/>
        </w:rPr>
      </w:pPr>
      <w:r>
        <w:rPr>
          <w:rFonts w:eastAsia="arial" w:cs="arial" w:ascii="arial" w:hAnsi="arial"/>
          <w:b w:val="false"/>
          <w:i w:val="false"/>
          <w:color w:val="000000"/>
          <w:sz w:val="20"/>
          <w:u w:val="none"/>
          <w:shd w:fill="auto" w:val="clear"/>
        </w:rPr>
        <w:t>- La référence au marché,</w:t>
      </w:r>
    </w:p>
    <w:p>
      <w:pPr>
        <w:pStyle w:val="Normal"/>
        <w:rPr>
          <w:highlight w:val="none"/>
          <w:shd w:fill="auto" w:val="clear"/>
        </w:rPr>
      </w:pPr>
      <w:r>
        <w:rPr>
          <w:rFonts w:eastAsia="arial" w:cs="arial" w:ascii="arial" w:hAnsi="arial"/>
          <w:b w:val="false"/>
          <w:i w:val="false"/>
          <w:color w:val="000000"/>
          <w:sz w:val="20"/>
          <w:u w:val="none"/>
          <w:shd w:fill="auto" w:val="clear"/>
        </w:rPr>
        <w:t xml:space="preserve">- La désignation de la </w:t>
      </w:r>
      <w:r>
        <w:rPr>
          <w:rFonts w:eastAsia="arial" w:cs="arial" w:ascii="arial" w:hAnsi="arial"/>
          <w:b/>
          <w:i w:val="false"/>
          <w:color w:val="000000"/>
          <w:sz w:val="20"/>
          <w:u w:val="none"/>
          <w:shd w:fill="auto" w:val="clear"/>
        </w:rPr>
        <w:t>prestation</w:t>
      </w:r>
      <w:r>
        <w:rPr>
          <w:rFonts w:eastAsia="arial" w:cs="arial" w:ascii="arial" w:hAnsi="arial"/>
          <w:b w:val="false"/>
          <w:i w:val="false"/>
          <w:color w:val="000000"/>
          <w:sz w:val="20"/>
          <w:u w:val="none"/>
          <w:shd w:fill="auto" w:val="clear"/>
        </w:rPr>
        <w:t xml:space="preserve"> à effectuer</w:t>
      </w:r>
    </w:p>
    <w:p>
      <w:pPr>
        <w:pStyle w:val="Normal"/>
        <w:rPr>
          <w:highlight w:val="none"/>
          <w:shd w:fill="auto" w:val="clear"/>
        </w:rPr>
      </w:pPr>
      <w:r>
        <w:rPr>
          <w:rFonts w:eastAsia="arial" w:cs="arial" w:ascii="arial" w:hAnsi="arial"/>
          <w:b w:val="false"/>
          <w:i w:val="false"/>
          <w:color w:val="000000"/>
          <w:sz w:val="20"/>
          <w:u w:val="none"/>
          <w:shd w:fill="auto" w:val="clear"/>
        </w:rPr>
        <w:t>- La quantité commandée,</w:t>
      </w:r>
    </w:p>
    <w:p>
      <w:pPr>
        <w:pStyle w:val="Normal"/>
        <w:rPr>
          <w:highlight w:val="none"/>
          <w:shd w:fill="auto" w:val="clear"/>
        </w:rPr>
      </w:pPr>
      <w:r>
        <w:rPr>
          <w:rFonts w:eastAsia="arial" w:cs="arial" w:ascii="arial" w:hAnsi="arial"/>
          <w:b w:val="false"/>
          <w:i w:val="false"/>
          <w:color w:val="000000"/>
          <w:sz w:val="20"/>
          <w:u w:val="none"/>
          <w:shd w:fill="auto" w:val="clear"/>
        </w:rPr>
        <w:t xml:space="preserve">-Le délai </w:t>
      </w:r>
      <w:r>
        <w:rPr>
          <w:rFonts w:eastAsia="arial" w:cs="arial" w:ascii="arial" w:hAnsi="arial"/>
          <w:b/>
          <w:i w:val="false"/>
          <w:color w:val="000000"/>
          <w:sz w:val="20"/>
          <w:u w:val="none"/>
          <w:shd w:fill="auto" w:val="clear"/>
        </w:rPr>
        <w:t>d'exécution ou de livraison,</w:t>
      </w:r>
    </w:p>
    <w:p>
      <w:pPr>
        <w:pStyle w:val="Normal"/>
        <w:rPr>
          <w:highlight w:val="none"/>
          <w:shd w:fill="auto" w:val="clear"/>
        </w:rPr>
      </w:pPr>
      <w:r>
        <w:rPr>
          <w:rFonts w:eastAsia="arial" w:cs="arial" w:ascii="arial" w:hAnsi="arial"/>
          <w:b w:val="false"/>
          <w:i w:val="false"/>
          <w:color w:val="000000"/>
          <w:sz w:val="20"/>
          <w:u w:val="none"/>
          <w:shd w:fill="auto" w:val="clear"/>
        </w:rPr>
        <w:t>- Le montant total en Euro HT et TTC du bon de commande</w:t>
      </w:r>
    </w:p>
    <w:p>
      <w:pPr>
        <w:pStyle w:val="Normal"/>
        <w:rPr>
          <w:highlight w:val="none"/>
          <w:shd w:fill="auto" w:val="clear"/>
        </w:rPr>
      </w:pPr>
      <w:r>
        <w:rPr>
          <w:rFonts w:eastAsia="arial" w:cs="arial" w:ascii="arial" w:hAnsi="arial"/>
          <w:b w:val="false"/>
          <w:i w:val="false"/>
          <w:color w:val="000000"/>
          <w:sz w:val="20"/>
          <w:u w:val="none"/>
          <w:shd w:fill="auto" w:val="clear"/>
        </w:rPr>
        <w:t>- La date</w:t>
      </w:r>
    </w:p>
    <w:p>
      <w:pPr>
        <w:pStyle w:val="Normal"/>
        <w:rPr>
          <w:highlight w:val="none"/>
          <w:shd w:fill="auto" w:val="clear"/>
        </w:rPr>
      </w:pPr>
      <w:r>
        <w:rPr>
          <w:rFonts w:eastAsia="arial" w:cs="arial" w:ascii="arial" w:hAnsi="arial"/>
          <w:b w:val="false"/>
          <w:i w:val="false"/>
          <w:color w:val="000000"/>
          <w:sz w:val="20"/>
          <w:u w:val="none"/>
          <w:shd w:fill="auto" w:val="clear"/>
        </w:rPr>
        <w:t xml:space="preserve">La personne habilitée à signer les bons de commande est : </w:t>
      </w:r>
      <w:r>
        <w:rPr>
          <w:rFonts w:eastAsia="arial" w:cs="arial" w:ascii="arial" w:hAnsi="arial"/>
          <w:b/>
          <w:i w:val="false"/>
          <w:color w:val="000000"/>
          <w:sz w:val="20"/>
          <w:u w:val="none"/>
          <w:shd w:fill="auto" w:val="clear"/>
        </w:rPr>
        <w:t>Le Responsable de Programme carte d’achat.</w:t>
      </w:r>
    </w:p>
    <w:p>
      <w:pPr>
        <w:pStyle w:val="Normal"/>
        <w:rPr>
          <w:highlight w:val="none"/>
          <w:shd w:fill="auto" w:val="clear"/>
        </w:rPr>
      </w:pPr>
      <w:r>
        <w:rPr>
          <w:rFonts w:eastAsia="arial" w:cs="arial" w:ascii="arial" w:hAnsi="arial"/>
          <w:b w:val="false"/>
          <w:i w:val="false"/>
          <w:color w:val="000000"/>
          <w:sz w:val="20"/>
          <w:u w:val="none"/>
          <w:shd w:fill="auto" w:val="clear"/>
        </w:rPr>
        <w:t xml:space="preserve">Les bons de commande seront notifiés par </w:t>
      </w:r>
      <w:r>
        <w:rPr>
          <w:rFonts w:eastAsia="arial" w:cs="arial" w:ascii="arial" w:hAnsi="arial"/>
          <w:b/>
          <w:i w:val="false"/>
          <w:color w:val="000000"/>
          <w:sz w:val="20"/>
          <w:u w:val="none"/>
          <w:shd w:fill="auto" w:val="clear"/>
        </w:rPr>
        <w:t>courrier, fax (télécopie) ou par mail</w:t>
      </w:r>
      <w:r>
        <w:rPr>
          <w:rFonts w:eastAsia="arial" w:cs="arial" w:ascii="arial" w:hAnsi="arial"/>
          <w:b w:val="false"/>
          <w:i w:val="false"/>
          <w:color w:val="000000"/>
          <w:sz w:val="20"/>
          <w:u w:val="none"/>
          <w:shd w:fill="auto" w:val="clear"/>
        </w:rPr>
        <w:t xml:space="preserve"> (avec accusé de réception).</w:t>
      </w:r>
    </w:p>
    <w:p>
      <w:pPr>
        <w:pStyle w:val="Normal"/>
        <w:rPr>
          <w:highlight w:val="none"/>
          <w:shd w:fill="auto" w:val="clear"/>
        </w:rPr>
      </w:pPr>
      <w:r>
        <w:rPr>
          <w:rFonts w:eastAsia="arial" w:cs="arial" w:ascii="arial" w:hAnsi="arial"/>
          <w:b w:val="false"/>
          <w:i w:val="false"/>
          <w:color w:val="000000"/>
          <w:sz w:val="20"/>
          <w:u w:val="none"/>
          <w:shd w:fill="auto" w:val="clear"/>
        </w:rPr>
        <w:t>Le délai d'exécution commence à courir à compter de la date de notification du bon de commande.</w:t>
      </w:r>
    </w:p>
    <w:p>
      <w:pPr>
        <w:pStyle w:val="Titre1"/>
        <w:numPr>
          <w:ilvl w:val="0"/>
          <w:numId w:val="2"/>
        </w:numPr>
        <w:rPr>
          <w:highlight w:val="none"/>
          <w:shd w:fill="auto" w:val="clear"/>
        </w:rPr>
      </w:pPr>
      <w:bookmarkStart w:id="17" w:name="_Toc3861"/>
      <w:r>
        <w:rPr>
          <w:shd w:fill="auto" w:val="clear"/>
        </w:rPr>
        <w:t>ENTREPRISES GROUPEES</w:t>
      </w:r>
      <w:bookmarkEnd w:id="17"/>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mandataire du groupement représente l'ensemble des entrepreneurs, vis-à-vis du représentant du pouvoir adjudicateur pour l'exécution du marché.</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assure, sous sa responsabilité, la coordination de ces entrepreneurs.</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Dans le cas d'entrepreneurs groupés conjoints, le mandataire est solidaire de chacun des membres du groupement dans les obligations contractuelles de celui-ci à l'égard de la personne publique jusqu'à la date à laquelle ces obligations prennent fin.</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Dans le cas d'entrepreneurs groupés solidaires, si le marché ne désigne pas l'entrepreneur mandataire, celui qui est énuméré le premier dans l'Acte d'Engagement est le mandataire des autres entrepreneurs.</w:t>
      </w:r>
    </w:p>
    <w:p>
      <w:pPr>
        <w:pStyle w:val="Titre1"/>
        <w:numPr>
          <w:ilvl w:val="0"/>
          <w:numId w:val="2"/>
        </w:numPr>
        <w:rPr/>
      </w:pPr>
      <w:bookmarkStart w:id="18" w:name="_Toc3862"/>
      <w:r>
        <w:rPr/>
        <w:t>CONDITIONS DE LIVRAISON ET D'EXECUTION</w:t>
      </w:r>
      <w:bookmarkEnd w:id="18"/>
    </w:p>
    <w:p>
      <w:pPr>
        <w:pStyle w:val="Titre2"/>
        <w:numPr>
          <w:ilvl w:val="1"/>
          <w:numId w:val="2"/>
        </w:numPr>
        <w:rPr>
          <w:highlight w:val="none"/>
          <w:shd w:fill="auto" w:val="clear"/>
        </w:rPr>
      </w:pPr>
      <w:bookmarkStart w:id="19" w:name="_Toc3863"/>
      <w:r>
        <w:rPr>
          <w:shd w:fill="auto" w:val="clear"/>
        </w:rPr>
        <w:t>Transport  et Emballages</w:t>
      </w:r>
      <w:bookmarkEnd w:id="1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n'est pas prévu de dispositions particulières.</w:t>
      </w:r>
    </w:p>
    <w:p>
      <w:pPr>
        <w:pStyle w:val="Titre2"/>
        <w:numPr>
          <w:ilvl w:val="1"/>
          <w:numId w:val="2"/>
        </w:numPr>
        <w:rPr>
          <w:highlight w:val="none"/>
          <w:shd w:fill="auto" w:val="clear"/>
        </w:rPr>
      </w:pPr>
      <w:bookmarkStart w:id="20" w:name="_Toc3864"/>
      <w:r>
        <w:rPr>
          <w:shd w:fill="auto" w:val="clear"/>
        </w:rPr>
        <w:t>Lieux d'exécution ou de livraison</w:t>
      </w:r>
      <w:bookmarkEnd w:id="20"/>
    </w:p>
    <w:p>
      <w:pPr>
        <w:pStyle w:val="Normal"/>
        <w:rPr>
          <w:highlight w:val="none"/>
          <w:shd w:fill="auto" w:val="clear"/>
        </w:rPr>
      </w:pPr>
      <w:r>
        <w:rPr>
          <w:rFonts w:eastAsia="arial" w:cs="arial" w:ascii="arial" w:hAnsi="arial"/>
          <w:b w:val="false"/>
          <w:i w:val="false"/>
          <w:color w:val="000000"/>
          <w:sz w:val="20"/>
          <w:u w:val="none"/>
          <w:shd w:fill="auto" w:val="clear"/>
        </w:rPr>
        <w:t>Le lieu d'exécution est précisé dans chaque bon de commande.</w:t>
      </w:r>
    </w:p>
    <w:p>
      <w:pPr>
        <w:pStyle w:val="Normal"/>
        <w:rPr>
          <w:highlight w:val="none"/>
          <w:shd w:fill="auto" w:val="clear"/>
        </w:rPr>
      </w:pPr>
      <w:r>
        <w:rPr>
          <w:rFonts w:eastAsia="arial" w:cs="arial" w:ascii="arial" w:hAnsi="arial"/>
          <w:b w:val="false"/>
          <w:i w:val="false"/>
          <w:color w:val="000000"/>
          <w:sz w:val="20"/>
          <w:u w:val="none"/>
          <w:shd w:fill="auto" w:val="clear"/>
        </w:rPr>
        <w:t>S’agissant des prestations d'accompagnement et de formation : quand celles-ci se dérouleront en présentiel, le titulaire devra se conformer aux horaires et jours de travail en vigueur à la Ville de Marseille, et respecter le règlement intérieur des services.</w:t>
      </w:r>
    </w:p>
    <w:p>
      <w:pPr>
        <w:pStyle w:val="Normal"/>
        <w:rPr>
          <w:highlight w:val="none"/>
          <w:shd w:fill="auto" w:val="clear"/>
        </w:rPr>
      </w:pPr>
      <w:r>
        <w:rPr>
          <w:rFonts w:eastAsia="arial" w:cs="arial" w:ascii="arial" w:hAnsi="arial"/>
          <w:b w:val="false"/>
          <w:i w:val="false"/>
          <w:color w:val="000000"/>
          <w:sz w:val="20"/>
          <w:u w:val="none"/>
          <w:shd w:fill="auto" w:val="clear"/>
        </w:rPr>
        <w:t>Préalablement à chaque exécution de prestation, il s'informera auprès du responsable de programme carte d'achat des contraintes liées à l'accès dans un lieu d'exécution de prestation et des horaires d'ouverture et de fermeture de ce lieu.</w:t>
      </w:r>
    </w:p>
    <w:p>
      <w:pPr>
        <w:pStyle w:val="Normal"/>
        <w:rPr>
          <w:highlight w:val="none"/>
          <w:shd w:fill="auto" w:val="clear"/>
        </w:rPr>
      </w:pPr>
      <w:r>
        <w:rPr>
          <w:rFonts w:eastAsia="arial" w:cs="arial" w:ascii="arial" w:hAnsi="arial"/>
          <w:b w:val="false"/>
          <w:i w:val="false"/>
          <w:color w:val="000000"/>
          <w:sz w:val="20"/>
          <w:u w:val="none"/>
          <w:shd w:fill="auto" w:val="clear"/>
        </w:rPr>
        <w:t>Pour l’exécution des prestations de formation en présentiel, la Ville de Marseille mettra à disposition du titulaire du marché d’émission de cartes d’achat les locaux, le mobilier et le matériel nécessaires. En revanche, s’agissant des supports, le titulaire devra disposer de ses propres moyens pour exécuter sa prestation.</w:t>
      </w:r>
    </w:p>
    <w:p>
      <w:pPr>
        <w:pStyle w:val="Titre1"/>
        <w:numPr>
          <w:ilvl w:val="0"/>
          <w:numId w:val="2"/>
        </w:numPr>
        <w:rPr>
          <w:highlight w:val="none"/>
          <w:shd w:fill="auto" w:val="clear"/>
        </w:rPr>
      </w:pPr>
      <w:bookmarkStart w:id="21" w:name="_Toc3865"/>
      <w:r>
        <w:rPr>
          <w:shd w:fill="auto" w:val="clear"/>
        </w:rPr>
        <w:t>CONDITIONS PARTICULIERES D'EXECUTION</w:t>
      </w:r>
      <w:bookmarkEnd w:id="21"/>
    </w:p>
    <w:p>
      <w:pPr>
        <w:pStyle w:val="Normal"/>
        <w:rPr>
          <w:highlight w:val="none"/>
          <w:shd w:fill="auto" w:val="clear"/>
        </w:rPr>
      </w:pPr>
      <w:r>
        <w:rPr>
          <w:rFonts w:eastAsia="arial" w:cs="arial" w:ascii="arial" w:hAnsi="arial"/>
          <w:b w:val="false"/>
          <w:i w:val="false"/>
          <w:color w:val="000000"/>
          <w:sz w:val="20"/>
          <w:u w:val="none"/>
          <w:shd w:fill="auto" w:val="clear"/>
        </w:rPr>
        <w:t>Le C.C.T.P. du marché fixe les conditions particulières d'exécution.</w:t>
      </w:r>
    </w:p>
    <w:p>
      <w:pPr>
        <w:pStyle w:val="Titre1"/>
        <w:numPr>
          <w:ilvl w:val="0"/>
          <w:numId w:val="2"/>
        </w:numPr>
        <w:rPr>
          <w:highlight w:val="none"/>
          <w:shd w:fill="auto" w:val="clear"/>
        </w:rPr>
      </w:pPr>
      <w:bookmarkStart w:id="22" w:name="_Toc3866"/>
      <w:r>
        <w:rPr>
          <w:shd w:fill="auto" w:val="clear"/>
        </w:rPr>
        <w:t>OPERATIONS DE VERIFICATIONS / ADMISSION</w:t>
      </w:r>
      <w:bookmarkEnd w:id="22"/>
    </w:p>
    <w:p>
      <w:pPr>
        <w:pStyle w:val="Titre2"/>
        <w:numPr>
          <w:ilvl w:val="1"/>
          <w:numId w:val="2"/>
        </w:numPr>
        <w:rPr>
          <w:highlight w:val="none"/>
          <w:shd w:fill="auto" w:val="clear"/>
        </w:rPr>
      </w:pPr>
      <w:bookmarkStart w:id="23" w:name="_Toc3867"/>
      <w:r>
        <w:rPr>
          <w:shd w:fill="auto" w:val="clear"/>
        </w:rPr>
        <w:t>Vérifications</w:t>
      </w:r>
      <w:bookmarkEnd w:id="23"/>
    </w:p>
    <w:p>
      <w:pPr>
        <w:pStyle w:val="Normal"/>
        <w:rPr>
          <w:highlight w:val="none"/>
          <w:shd w:fill="auto" w:val="clear"/>
        </w:rPr>
      </w:pPr>
      <w:r>
        <w:rPr>
          <w:rFonts w:eastAsia="arial" w:cs="arial" w:ascii="arial" w:hAnsi="arial"/>
          <w:b w:val="false"/>
          <w:i w:val="false"/>
          <w:color w:val="000000"/>
          <w:sz w:val="20"/>
          <w:u w:val="none"/>
          <w:shd w:fill="auto" w:val="clear"/>
        </w:rPr>
        <w:t>Les vérifications et les décisions d'admission, de réfaction, d'ajournement ou de rejet sont effectuées dans les conditions prévues aux articles 27 à 30 du C.C.A.G./F.C.S.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L'article 27.3 du C.C.A.G./F.C.S. ne s'applique pas.</w:t>
      </w:r>
    </w:p>
    <w:p>
      <w:pPr>
        <w:pStyle w:val="Titre2"/>
        <w:numPr>
          <w:ilvl w:val="1"/>
          <w:numId w:val="2"/>
        </w:numPr>
        <w:rPr>
          <w:highlight w:val="none"/>
          <w:shd w:fill="auto" w:val="clear"/>
        </w:rPr>
      </w:pPr>
      <w:bookmarkStart w:id="24" w:name="_Toc3868"/>
      <w:r>
        <w:rPr>
          <w:shd w:fill="auto" w:val="clear"/>
        </w:rPr>
        <w:t>Admission</w:t>
      </w:r>
      <w:bookmarkEnd w:id="24"/>
    </w:p>
    <w:p>
      <w:pPr>
        <w:pStyle w:val="Normal"/>
        <w:rPr>
          <w:highlight w:val="none"/>
          <w:shd w:fill="auto" w:val="clear"/>
        </w:rPr>
      </w:pPr>
      <w:r>
        <w:rPr>
          <w:rFonts w:eastAsia="arial" w:cs="arial" w:ascii="arial" w:hAnsi="arial"/>
          <w:b w:val="false"/>
          <w:i w:val="false"/>
          <w:color w:val="000000"/>
          <w:sz w:val="20"/>
          <w:u w:val="none"/>
          <w:shd w:fill="auto" w:val="clear"/>
        </w:rPr>
        <w:t xml:space="preserve">Suite aux vérifications, les décisions d'admission, de réfaction, d'ajournement ou de rejet des </w:t>
      </w:r>
      <w:r>
        <w:rPr>
          <w:rFonts w:eastAsia="arial" w:cs="arial" w:ascii="arial" w:hAnsi="arial"/>
          <w:b/>
          <w:i w:val="false"/>
          <w:color w:val="000000"/>
          <w:sz w:val="20"/>
          <w:u w:val="none"/>
          <w:shd w:fill="auto" w:val="clear"/>
        </w:rPr>
        <w:t>prestations / fournitures</w:t>
      </w:r>
      <w:r>
        <w:rPr>
          <w:rFonts w:eastAsia="arial" w:cs="arial" w:ascii="arial" w:hAnsi="arial"/>
          <w:b w:val="false"/>
          <w:i w:val="false"/>
          <w:color w:val="000000"/>
          <w:sz w:val="20"/>
          <w:u w:val="none"/>
          <w:shd w:fill="auto" w:val="clear"/>
        </w:rPr>
        <w:t xml:space="preserve"> sont prises dans les conditions prévues à l'article 30 du C.C.A.G./F.C.S par le responsable désigné par la personne publique. Les opérations de vérification et la notification de la décision du pouvoir adjudicateur doivent être effectuées sous un délai de quinze jours. Passé ce délai, la décision d'admission des </w:t>
      </w:r>
      <w:r>
        <w:rPr>
          <w:rFonts w:eastAsia="arial" w:cs="arial" w:ascii="arial" w:hAnsi="arial"/>
          <w:b/>
          <w:i w:val="false"/>
          <w:color w:val="000000"/>
          <w:sz w:val="20"/>
          <w:u w:val="none"/>
          <w:shd w:fill="auto" w:val="clear"/>
        </w:rPr>
        <w:t>prestations / fournitures</w:t>
      </w:r>
      <w:r>
        <w:rPr>
          <w:rFonts w:eastAsia="arial" w:cs="arial" w:ascii="arial" w:hAnsi="arial"/>
          <w:b w:val="false"/>
          <w:i w:val="false"/>
          <w:color w:val="000000"/>
          <w:sz w:val="20"/>
          <w:u w:val="none"/>
          <w:shd w:fill="auto" w:val="clear"/>
        </w:rPr>
        <w:t xml:space="preserve"> est réputée acquise.</w:t>
      </w:r>
    </w:p>
    <w:p>
      <w:pPr>
        <w:pStyle w:val="Titre1"/>
        <w:numPr>
          <w:ilvl w:val="0"/>
          <w:numId w:val="2"/>
        </w:numPr>
        <w:rPr>
          <w:highlight w:val="none"/>
          <w:shd w:fill="auto" w:val="clear"/>
        </w:rPr>
      </w:pPr>
      <w:bookmarkStart w:id="25" w:name="_Toc3869"/>
      <w:r>
        <w:rPr>
          <w:shd w:fill="auto" w:val="clear"/>
        </w:rPr>
        <w:t>GARANTIE CONTRACTUELLE</w:t>
      </w:r>
      <w:bookmarkEnd w:id="25"/>
    </w:p>
    <w:p>
      <w:pPr>
        <w:pStyle w:val="Titre2"/>
        <w:numPr>
          <w:ilvl w:val="1"/>
          <w:numId w:val="2"/>
        </w:numPr>
        <w:rPr>
          <w:highlight w:val="none"/>
          <w:shd w:fill="auto" w:val="clear"/>
        </w:rPr>
      </w:pPr>
      <w:bookmarkStart w:id="26" w:name="_Toc3870"/>
      <w:r>
        <w:rPr>
          <w:shd w:fill="auto" w:val="clear"/>
        </w:rPr>
        <w:t>Durée de garantie</w:t>
      </w:r>
      <w:bookmarkEnd w:id="26"/>
    </w:p>
    <w:p>
      <w:pPr>
        <w:pStyle w:val="Normal"/>
        <w:rPr>
          <w:highlight w:val="none"/>
          <w:shd w:fill="auto" w:val="clear"/>
        </w:rPr>
      </w:pPr>
      <w:r>
        <w:rPr>
          <w:rFonts w:eastAsia="arial" w:cs="arial" w:ascii="arial" w:hAnsi="arial"/>
          <w:b w:val="false"/>
          <w:i w:val="false"/>
          <w:color w:val="000000"/>
          <w:sz w:val="20"/>
          <w:u w:val="none"/>
          <w:shd w:fill="auto" w:val="clear"/>
        </w:rPr>
        <w:t xml:space="preserve">Les </w:t>
      </w:r>
      <w:r>
        <w:rPr>
          <w:rFonts w:eastAsia="arial" w:cs="arial" w:ascii="arial" w:hAnsi="arial"/>
          <w:b/>
          <w:i w:val="false"/>
          <w:color w:val="000000"/>
          <w:sz w:val="20"/>
          <w:u w:val="none"/>
          <w:shd w:fill="auto" w:val="clear"/>
        </w:rPr>
        <w:t>prestations/fournitures</w:t>
      </w:r>
      <w:r>
        <w:rPr>
          <w:rFonts w:eastAsia="arial" w:cs="arial" w:ascii="arial" w:hAnsi="arial"/>
          <w:b w:val="false"/>
          <w:i w:val="false"/>
          <w:color w:val="000000"/>
          <w:sz w:val="20"/>
          <w:u w:val="none"/>
          <w:shd w:fill="auto" w:val="clear"/>
        </w:rPr>
        <w:t xml:space="preserve"> font l'objet d'une garantie d'une durée de 1 an, conformément à l'article 33 du CCAG/FCS.</w:t>
      </w:r>
    </w:p>
    <w:p>
      <w:pPr>
        <w:pStyle w:val="Titre2"/>
        <w:numPr>
          <w:ilvl w:val="1"/>
          <w:numId w:val="2"/>
        </w:numPr>
        <w:rPr>
          <w:highlight w:val="none"/>
          <w:shd w:fill="auto" w:val="clear"/>
        </w:rPr>
      </w:pPr>
      <w:bookmarkStart w:id="27" w:name="_Toc3871"/>
      <w:r>
        <w:rPr>
          <w:shd w:fill="auto" w:val="clear"/>
        </w:rPr>
        <w:t>Point de départ de la garantie</w:t>
      </w:r>
      <w:bookmarkEnd w:id="27"/>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33.1 du CCAG/FCS, le point de départ du délai de garantie est la date de notification de la décision d'admission.</w:t>
      </w:r>
    </w:p>
    <w:p>
      <w:pPr>
        <w:pStyle w:val="Titre1"/>
        <w:numPr>
          <w:ilvl w:val="0"/>
          <w:numId w:val="2"/>
        </w:numPr>
        <w:rPr>
          <w:highlight w:val="none"/>
          <w:shd w:fill="auto" w:val="clear"/>
        </w:rPr>
      </w:pPr>
      <w:bookmarkStart w:id="28" w:name="_Toc4318"/>
      <w:r>
        <w:rPr>
          <w:shd w:fill="auto" w:val="clear"/>
        </w:rPr>
        <w:t>PROPRIETE INTELLECTUELLE ET UTILISATION DES RESULTATS</w:t>
      </w:r>
      <w:bookmarkEnd w:id="28"/>
    </w:p>
    <w:p>
      <w:pPr>
        <w:pStyle w:val="Normal"/>
        <w:rPr>
          <w:highlight w:val="none"/>
          <w:shd w:fill="auto" w:val="clear"/>
        </w:rPr>
      </w:pPr>
      <w:r>
        <w:rPr>
          <w:rFonts w:eastAsia="arial" w:cs="arial" w:ascii="arial" w:hAnsi="arial"/>
          <w:b w:val="false"/>
          <w:i w:val="false"/>
          <w:color w:val="000000"/>
          <w:sz w:val="20"/>
          <w:u w:val="none"/>
          <w:shd w:fill="auto" w:val="clear"/>
        </w:rPr>
        <w:t>L'utilisation des résultats, et notamment les droits respectifs du pouvoir adjudicateur et du titulaire en la matière, sont définis à l'article 37 du CCAG FCS.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Il n'est pas prévu de disposition particulière.</w:t>
      </w:r>
    </w:p>
    <w:p>
      <w:pPr>
        <w:pStyle w:val="Titre1"/>
        <w:numPr>
          <w:ilvl w:val="0"/>
          <w:numId w:val="2"/>
        </w:numPr>
        <w:rPr>
          <w:highlight w:val="none"/>
          <w:shd w:fill="auto" w:val="clear"/>
        </w:rPr>
      </w:pPr>
      <w:bookmarkStart w:id="29" w:name="_Toc4557"/>
      <w:r>
        <w:rPr>
          <w:shd w:fill="auto" w:val="clear"/>
        </w:rPr>
        <w:t>CONFIDENTIALITE ET MESURES DE SECURITE</w:t>
      </w:r>
      <w:bookmarkEnd w:id="29"/>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dispositions du CCAG FCS (articles 5 et 14) s'appliquent, sans dispositions particulières.</w:t>
      </w:r>
    </w:p>
    <w:p>
      <w:pPr>
        <w:pStyle w:val="Titre1"/>
        <w:numPr>
          <w:ilvl w:val="0"/>
          <w:numId w:val="2"/>
        </w:numPr>
        <w:rPr/>
      </w:pPr>
      <w:bookmarkStart w:id="30" w:name="_Toc3872"/>
      <w:r>
        <w:rPr/>
        <w:t>MODALITES DE DETERMINATION DES PRIX</w:t>
      </w:r>
      <w:bookmarkEnd w:id="30"/>
    </w:p>
    <w:p>
      <w:pPr>
        <w:pStyle w:val="Titre2"/>
        <w:numPr>
          <w:ilvl w:val="1"/>
          <w:numId w:val="2"/>
        </w:numPr>
        <w:rPr/>
      </w:pPr>
      <w:bookmarkStart w:id="31" w:name="_Toc3873"/>
      <w:r>
        <w:rPr/>
        <w:t>Nature du prix</w:t>
      </w:r>
      <w:bookmarkEnd w:id="31"/>
    </w:p>
    <w:p>
      <w:pPr>
        <w:pStyle w:val="Normal"/>
        <w:spacing w:before="0" w:after="0"/>
        <w:ind w:left="0" w:right="0" w:hanging="0"/>
        <w:rPr>
          <w:highlight w:val="none"/>
          <w:shd w:fill="auto" w:val="clear"/>
        </w:rPr>
      </w:pPr>
      <w:r>
        <w:rPr>
          <w:rFonts w:eastAsia="Arial" w:cs="Arial"/>
          <w:b/>
          <w:bCs/>
          <w:color w:val="000000"/>
          <w:sz w:val="20"/>
          <w:u w:val="single"/>
          <w:shd w:fill="auto" w:val="clear"/>
        </w:rPr>
        <w:t>Concernant le poste 1 (si changement de titulaire) :</w:t>
      </w:r>
    </w:p>
    <w:p>
      <w:pPr>
        <w:pStyle w:val="Normal"/>
        <w:spacing w:before="0" w:after="0"/>
        <w:ind w:left="0" w:right="0" w:hanging="0"/>
        <w:rPr>
          <w:highlight w:val="none"/>
          <w:shd w:fill="auto" w:val="clear"/>
        </w:rPr>
      </w:pPr>
      <w:r>
        <w:rPr>
          <w:rFonts w:eastAsia="Arial" w:cs="Arial"/>
          <w:b w:val="false"/>
          <w:bCs w:val="false"/>
          <w:color w:val="000000"/>
          <w:sz w:val="20"/>
          <w:u w:val="none"/>
          <w:shd w:fill="auto" w:val="clear"/>
        </w:rPr>
        <w:t>le marché est conclu aux prix forfaitaires indiqués dans l’annexe 2 de l’Acte d’engagement.</w:t>
      </w:r>
    </w:p>
    <w:p>
      <w:pPr>
        <w:pStyle w:val="Normal"/>
        <w:spacing w:before="0" w:after="0"/>
        <w:ind w:left="0" w:right="0" w:hanging="0"/>
        <w:rPr>
          <w:rFonts w:eastAsia="Arial" w:cs="Arial"/>
          <w:color w:val="000000"/>
          <w:sz w:val="20"/>
          <w:highlight w:val="none"/>
          <w:u w:val="none"/>
          <w:shd w:fill="auto" w:val="clear"/>
        </w:rPr>
      </w:pPr>
      <w:r>
        <w:rPr>
          <w:rFonts w:eastAsia="Arial" w:cs="Arial"/>
          <w:color w:val="000000"/>
          <w:sz w:val="20"/>
          <w:u w:val="none"/>
          <w:shd w:fill="auto" w:val="clear"/>
        </w:rPr>
      </w:r>
    </w:p>
    <w:p>
      <w:pPr>
        <w:pStyle w:val="Normal"/>
        <w:spacing w:before="0" w:after="0"/>
        <w:ind w:left="0" w:right="0" w:hanging="0"/>
        <w:rPr>
          <w:highlight w:val="none"/>
          <w:shd w:fill="auto" w:val="clear"/>
        </w:rPr>
      </w:pPr>
      <w:r>
        <w:rPr>
          <w:rFonts w:eastAsia="Arial" w:cs="Arial"/>
          <w:b/>
          <w:bCs/>
          <w:color w:val="000000"/>
          <w:sz w:val="20"/>
          <w:u w:val="single"/>
          <w:shd w:fill="auto" w:val="clear"/>
        </w:rPr>
        <w:t>Concernant le poste 2 :</w:t>
      </w:r>
    </w:p>
    <w:p>
      <w:pPr>
        <w:pStyle w:val="Normal"/>
        <w:spacing w:before="0" w:after="0"/>
        <w:ind w:left="0" w:right="0" w:hanging="0"/>
        <w:rPr>
          <w:highlight w:val="none"/>
          <w:shd w:fill="auto" w:val="clear"/>
        </w:rPr>
      </w:pPr>
      <w:r>
        <w:rPr>
          <w:rFonts w:eastAsia="Arial" w:cs="Arial"/>
          <w:b w:val="false"/>
          <w:bCs w:val="false"/>
          <w:color w:val="000000"/>
          <w:sz w:val="20"/>
          <w:u w:val="none"/>
          <w:shd w:fill="auto" w:val="clear"/>
        </w:rPr>
        <w:t>le marché est conclu aux prix  indiqués dans le bordereau de prix - annexe 3 de l’Acte d’engagement.</w:t>
      </w:r>
    </w:p>
    <w:p>
      <w:pPr>
        <w:pStyle w:val="Normal"/>
        <w:spacing w:before="0" w:after="0"/>
        <w:ind w:left="0" w:right="0" w:hanging="0"/>
        <w:rPr>
          <w:rFonts w:eastAsia="Arial" w:cs="Arial"/>
          <w:color w:val="000000"/>
          <w:sz w:val="20"/>
          <w:highlight w:val="none"/>
          <w:shd w:fill="auto" w:val="clear"/>
        </w:rPr>
      </w:pPr>
      <w:r>
        <w:rPr>
          <w:rFonts w:eastAsia="Arial" w:cs="Arial"/>
          <w:color w:val="000000"/>
          <w:sz w:val="20"/>
          <w:shd w:fill="auto" w:val="clear"/>
        </w:rPr>
      </w:r>
    </w:p>
    <w:p>
      <w:pPr>
        <w:pStyle w:val="Normal"/>
        <w:spacing w:before="0" w:after="0"/>
        <w:ind w:left="0" w:right="0" w:hanging="0"/>
        <w:rPr>
          <w:strike/>
          <w:highlight w:val="none"/>
          <w:shd w:fill="FFFF00" w:val="clear"/>
        </w:rPr>
      </w:pPr>
      <w:r>
        <w:rPr>
          <w:strike/>
          <w:shd w:fill="FFFF00" w:val="clear"/>
        </w:rPr>
      </w:r>
    </w:p>
    <w:p>
      <w:pPr>
        <w:pStyle w:val="Normal"/>
        <w:rPr/>
      </w:pPr>
      <w:r>
        <w:rPr>
          <w:rFonts w:eastAsia="arial" w:cs="arial" w:ascii="arial" w:hAnsi="arial"/>
          <w:b w:val="false"/>
          <w:i w:val="false"/>
          <w:color w:val="000000"/>
          <w:sz w:val="20"/>
          <w:u w:val="none"/>
        </w:rPr>
        <w:t>Le taux de la TVA à prendre en considération est celui en vigueur à la date du fait générateur, conformément à l'article 269 du CGI.</w:t>
      </w:r>
    </w:p>
    <w:p>
      <w:pPr>
        <w:pStyle w:val="Titre2"/>
        <w:numPr>
          <w:ilvl w:val="1"/>
          <w:numId w:val="2"/>
        </w:numPr>
        <w:rPr/>
      </w:pPr>
      <w:bookmarkStart w:id="32" w:name="_Toc3874"/>
      <w:r>
        <w:rPr/>
        <w:t>Variations de prix</w:t>
      </w:r>
      <w:bookmarkEnd w:id="32"/>
    </w:p>
    <w:p>
      <w:pPr>
        <w:pStyle w:val="Normal"/>
        <w:spacing w:before="0" w:after="0"/>
        <w:ind w:left="0" w:right="0" w:hanging="0"/>
        <w:rPr>
          <w:rFonts w:ascii="Arial" w:hAnsi="Arial" w:eastAsia="Arial" w:cs="Arial"/>
          <w:color w:val="000000"/>
          <w:sz w:val="20"/>
          <w:highlight w:val="none"/>
        </w:rPr>
      </w:pPr>
      <w:r>
        <w:rPr>
          <w:rFonts w:eastAsia="Arial" w:cs="Arial"/>
          <w:color w:val="000000"/>
          <w:sz w:val="20"/>
          <w:highlight w:val="white"/>
        </w:rPr>
        <w:t>Par dérogation à l'article 10.2.4 du CCAG, le</w:t>
      </w:r>
      <w:r>
        <w:rPr>
          <w:rFonts w:eastAsia="Arial" w:cs="Arial"/>
          <w:color w:val="000000"/>
          <w:sz w:val="20"/>
        </w:rPr>
        <w:t xml:space="preserve">s prix du présent marché sont réputés établis sur la base des conditions économiques du mois de la date </w:t>
      </w:r>
      <w:r>
        <w:rPr>
          <w:rFonts w:eastAsia="Arial" w:cs="Arial"/>
          <w:color w:val="000000"/>
          <w:sz w:val="20"/>
          <w:u w:val="single"/>
        </w:rPr>
        <w:t>limite</w:t>
      </w:r>
      <w:r>
        <w:rPr>
          <w:rFonts w:eastAsia="Arial" w:cs="Arial"/>
          <w:color w:val="000000"/>
          <w:sz w:val="20"/>
        </w:rPr>
        <w:t xml:space="preserve"> de remise des offres ; ce mois est appelé "mois zéro".</w:t>
      </w:r>
    </w:p>
    <w:p>
      <w:pPr>
        <w:pStyle w:val="Normal"/>
        <w:spacing w:before="0" w:after="0"/>
        <w:ind w:left="0" w:right="0" w:hanging="0"/>
        <w:rPr>
          <w:rFonts w:ascii="Arial" w:hAnsi="Arial" w:eastAsia="Arial" w:cs="Arial"/>
          <w:color w:val="000000"/>
          <w:sz w:val="20"/>
          <w:highlight w:val="none"/>
        </w:rPr>
      </w:pPr>
      <w:r>
        <w:rPr>
          <w:rFonts w:eastAsia="Arial" w:cs="Arial"/>
          <w:color w:val="000000"/>
          <w:sz w:val="20"/>
        </w:rPr>
      </w:r>
    </w:p>
    <w:p>
      <w:pPr>
        <w:pStyle w:val="Normal"/>
        <w:spacing w:before="0" w:after="0"/>
        <w:ind w:left="0" w:right="0" w:hanging="0"/>
        <w:rPr>
          <w:highlight w:val="none"/>
          <w:shd w:fill="auto" w:val="clear"/>
        </w:rPr>
      </w:pPr>
      <w:r>
        <w:rPr>
          <w:rFonts w:eastAsia="Arial" w:cs="Arial"/>
          <w:color w:val="000000"/>
          <w:sz w:val="20"/>
          <w:shd w:fill="auto" w:val="clear"/>
        </w:rPr>
        <w:t xml:space="preserve">Les prix du poste 1 sont fermes et non révisables. </w:t>
      </w:r>
    </w:p>
    <w:p>
      <w:pPr>
        <w:pStyle w:val="Normal"/>
        <w:spacing w:before="0" w:after="0"/>
        <w:ind w:left="0" w:right="0" w:hanging="0"/>
        <w:rPr>
          <w:rFonts w:ascii="Arial" w:hAnsi="Arial" w:eastAsia="Arial" w:cs="Arial"/>
          <w:sz w:val="20"/>
          <w:highlight w:val="none"/>
          <w:shd w:fill="auto" w:val="clear"/>
        </w:rPr>
      </w:pPr>
      <w:r>
        <w:rPr>
          <w:rFonts w:eastAsia="Arial" w:cs="Arial"/>
          <w:sz w:val="20"/>
          <w:shd w:fill="auto" w:val="clear"/>
        </w:rPr>
      </w:r>
    </w:p>
    <w:p>
      <w:pPr>
        <w:pStyle w:val="Normal"/>
        <w:spacing w:lineRule="atLeast" w:line="199" w:before="6" w:after="0"/>
        <w:ind w:left="0" w:right="-794" w:hanging="0"/>
        <w:rPr>
          <w:highlight w:val="none"/>
          <w:shd w:fill="auto" w:val="clear"/>
        </w:rPr>
      </w:pPr>
      <w:r>
        <w:rPr>
          <w:rFonts w:eastAsia="arial" w:cs="arial" w:ascii="arial" w:hAnsi="arial"/>
          <w:b/>
          <w:bCs/>
          <w:i w:val="false"/>
          <w:color w:val="000000"/>
          <w:sz w:val="20"/>
          <w:u w:val="single"/>
          <w:shd w:fill="auto" w:val="clear"/>
        </w:rPr>
        <w:t>Concernant le poste 2</w:t>
      </w:r>
      <w:r>
        <w:rPr>
          <w:rFonts w:eastAsia="arial" w:cs="arial" w:ascii="arial" w:hAnsi="arial"/>
          <w:b/>
          <w:bCs/>
          <w:i w:val="false"/>
          <w:color w:val="000000"/>
          <w:sz w:val="20"/>
          <w:u w:val="single"/>
          <w:shd w:fill="FFFF00" w:val="clear"/>
        </w:rPr>
        <w:t xml:space="preserve"> </w:t>
      </w:r>
    </w:p>
    <w:p>
      <w:pPr>
        <w:pStyle w:val="Normal"/>
        <w:spacing w:lineRule="atLeast" w:line="199" w:before="6" w:after="0"/>
        <w:ind w:left="0" w:right="-794" w:hanging="0"/>
        <w:rPr>
          <w:rFonts w:ascii="Arial" w:hAnsi="Arial" w:eastAsia="Arial" w:cs="Arial"/>
          <w:sz w:val="20"/>
          <w:highlight w:val="none"/>
          <w:shd w:fill="auto" w:val="clear"/>
        </w:rPr>
      </w:pPr>
      <w:r>
        <w:rPr>
          <w:rFonts w:eastAsia="Arial" w:cs="Arial"/>
          <w:sz w:val="20"/>
          <w:shd w:fill="auto" w:val="clear"/>
        </w:rPr>
      </w:r>
    </w:p>
    <w:p>
      <w:pPr>
        <w:pStyle w:val="Normal"/>
        <w:spacing w:lineRule="atLeast" w:line="199" w:before="6" w:after="0"/>
        <w:ind w:left="0" w:right="-794" w:hanging="0"/>
        <w:rPr>
          <w:rFonts w:ascii="Arial" w:hAnsi="Arial" w:eastAsia="Arial" w:cs="Arial"/>
          <w:sz w:val="20"/>
        </w:rPr>
      </w:pPr>
      <w:r>
        <w:rPr>
          <w:rFonts w:eastAsia="Arial" w:cs="Arial"/>
          <w:color w:val="000000"/>
          <w:sz w:val="20"/>
        </w:rPr>
        <w:t>Les prix sont révisables selon les modalités fixées ci-après.</w:t>
      </w:r>
    </w:p>
    <w:p>
      <w:pPr>
        <w:pStyle w:val="Normal"/>
        <w:spacing w:lineRule="atLeast" w:line="199" w:before="6" w:after="0"/>
        <w:ind w:left="0" w:right="-794" w:hanging="0"/>
        <w:rPr/>
      </w:pPr>
      <w:r>
        <w:rPr/>
      </w:r>
    </w:p>
    <w:p>
      <w:pPr>
        <w:pStyle w:val="Normal"/>
        <w:spacing w:before="0" w:after="0"/>
        <w:ind w:left="0" w:right="0" w:hanging="0"/>
        <w:rPr>
          <w:rFonts w:ascii="Arial" w:hAnsi="Arial" w:eastAsia="Arial" w:cs="Arial"/>
          <w:b/>
          <w:b/>
          <w:color w:val="000000"/>
          <w:sz w:val="20"/>
          <w:highlight w:val="white"/>
        </w:rPr>
      </w:pPr>
      <w:r>
        <w:rPr>
          <w:rFonts w:eastAsia="Arial" w:cs="Arial"/>
          <w:b/>
          <w:color w:val="000000"/>
          <w:sz w:val="20"/>
          <w:highlight w:val="white"/>
        </w:rPr>
      </w:r>
    </w:p>
    <w:p>
      <w:pPr>
        <w:pStyle w:val="Normal"/>
        <w:spacing w:before="0" w:after="0"/>
        <w:ind w:left="0" w:right="0" w:hanging="0"/>
        <w:rPr>
          <w:rFonts w:ascii="Arial" w:hAnsi="Arial" w:eastAsia="Arial" w:cs="Arial"/>
          <w:color w:val="000000"/>
          <w:sz w:val="20"/>
          <w:highlight w:val="white"/>
        </w:rPr>
      </w:pPr>
      <w:r>
        <w:rPr>
          <w:rFonts w:eastAsia="Arial" w:cs="Arial"/>
          <w:color w:val="000000"/>
          <w:sz w:val="20"/>
          <w:highlight w:val="white"/>
        </w:rPr>
      </w:r>
    </w:p>
    <w:p>
      <w:pPr>
        <w:pStyle w:val="Normal"/>
        <w:spacing w:lineRule="atLeast" w:line="199" w:before="6" w:after="0"/>
        <w:ind w:left="0" w:right="-794" w:hanging="0"/>
        <w:rPr/>
      </w:pPr>
      <w:r>
        <w:rPr>
          <w:rFonts w:eastAsia="Arial" w:cs="Arial"/>
          <w:color w:val="000000"/>
          <w:sz w:val="20"/>
          <w:u w:val="single"/>
        </w:rPr>
        <w:t>Révision des prix selon formule paramétrique :</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Les prix du présent marché sont réputés établis sur la base des conditions économiques du mois de la date limite de remise des offres ; ce mois est appelé "mois zéro".</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 xml:space="preserve">Les prix du marché évoluent de la manière suivante en fonction de l'évolution des conditions économiques. </w:t>
      </w:r>
      <w:r>
        <w:rPr>
          <w:rFonts w:eastAsia="Arial" w:cs="Arial"/>
          <w:color w:val="000000"/>
          <w:sz w:val="20"/>
          <w:u w:val="single"/>
        </w:rPr>
        <w:t>Les prix sont révisables</w:t>
      </w:r>
      <w:r>
        <w:rPr>
          <w:rFonts w:eastAsia="Arial" w:cs="Arial"/>
          <w:color w:val="000000"/>
          <w:sz w:val="20"/>
        </w:rPr>
        <w:t>.</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Pour déterminer les prix de règlement, il sera fait application de la formule de révision figurant ci-après.</w:t>
      </w:r>
    </w:p>
    <w:p>
      <w:pPr>
        <w:pStyle w:val="Normal"/>
        <w:spacing w:lineRule="atLeast" w:line="199" w:before="6" w:after="0"/>
        <w:ind w:left="0" w:right="-794" w:hanging="0"/>
        <w:rPr/>
      </w:pPr>
      <w:r>
        <w:rPr/>
      </w:r>
    </w:p>
    <w:p>
      <w:pPr>
        <w:pStyle w:val="Normal"/>
        <w:spacing w:lineRule="atLeast" w:line="199" w:before="6" w:after="0"/>
        <w:ind w:left="0" w:right="-794" w:hanging="0"/>
        <w:rPr>
          <w:highlight w:val="none"/>
          <w:shd w:fill="auto" w:val="clear"/>
        </w:rPr>
      </w:pPr>
      <w:r>
        <w:rPr>
          <w:rFonts w:eastAsia="Arial" w:cs="Arial"/>
          <w:color w:val="000000"/>
          <w:sz w:val="20"/>
          <w:shd w:fill="auto" w:val="clear"/>
        </w:rPr>
        <w:t xml:space="preserve">Les prix sont révisés </w:t>
      </w:r>
      <w:r>
        <w:rPr>
          <w:rFonts w:eastAsia="Arial" w:cs="Arial"/>
          <w:b/>
          <w:color w:val="000000"/>
          <w:sz w:val="20"/>
          <w:shd w:fill="auto" w:val="clear"/>
        </w:rPr>
        <w:t xml:space="preserve">annuellement </w:t>
      </w:r>
      <w:r>
        <w:rPr>
          <w:rFonts w:eastAsia="Arial" w:cs="Arial"/>
          <w:color w:val="000000"/>
          <w:sz w:val="20"/>
          <w:shd w:fill="auto" w:val="clear"/>
        </w:rPr>
        <w:t>à chaque date anniversaire de la notification de l’accord-cadre, en application de la formule suivante :</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P(n) = P(o)* [0.15+0.85*(I(n)/I(0))]</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Les paramètres figurant dans la formule ont la signification suivante :</w:t>
      </w:r>
    </w:p>
    <w:p>
      <w:pPr>
        <w:pStyle w:val="Normal"/>
        <w:spacing w:lineRule="atLeast" w:line="199" w:before="6" w:after="0"/>
        <w:ind w:left="0" w:right="-794" w:hanging="0"/>
        <w:rPr/>
      </w:pPr>
      <w:r>
        <w:rPr>
          <w:rFonts w:eastAsia="Arial" w:cs="Arial"/>
          <w:color w:val="000000"/>
          <w:sz w:val="20"/>
        </w:rPr>
        <w:t>P (n) : Prix après révision</w:t>
      </w:r>
    </w:p>
    <w:p>
      <w:pPr>
        <w:pStyle w:val="Normal"/>
        <w:spacing w:lineRule="atLeast" w:line="199" w:before="6" w:after="0"/>
        <w:ind w:left="0" w:right="-794" w:hanging="0"/>
        <w:rPr/>
      </w:pPr>
      <w:r>
        <w:rPr>
          <w:rFonts w:eastAsia="Arial" w:cs="Arial"/>
          <w:color w:val="000000"/>
          <w:sz w:val="20"/>
        </w:rPr>
        <w:t>P (0) : Prix à la date limite de remise des offres</w:t>
      </w:r>
    </w:p>
    <w:p>
      <w:pPr>
        <w:pStyle w:val="Normal"/>
        <w:spacing w:lineRule="atLeast" w:line="199" w:before="6" w:after="0"/>
        <w:ind w:left="0" w:right="-794" w:hanging="0"/>
        <w:rPr/>
      </w:pPr>
      <w:r>
        <w:rPr>
          <w:rFonts w:eastAsia="Arial" w:cs="Arial"/>
          <w:color w:val="000000"/>
          <w:sz w:val="20"/>
        </w:rPr>
        <w:t xml:space="preserve">I (n) : Valeur de l'indice des prix à la consommation (mensuel, ensemble des ménages, métropole, base 1998) - Nomenclature COICOP : 12.6.2 - Autres frais financiers non compris ailleurs (S) - </w:t>
      </w:r>
    </w:p>
    <w:p>
      <w:pPr>
        <w:pStyle w:val="Normal"/>
        <w:spacing w:lineRule="atLeast" w:line="199" w:before="6" w:after="0"/>
        <w:ind w:left="0" w:right="-794" w:hanging="0"/>
        <w:rPr/>
      </w:pPr>
      <w:r>
        <w:rPr>
          <w:rFonts w:eastAsia="Arial" w:cs="Arial"/>
          <w:color w:val="000000"/>
          <w:sz w:val="20"/>
        </w:rPr>
        <w:t>identifiant : 001694136 – site internet : INSEE.fr – pris à chaque date anniversaire de la notification du marché.</w:t>
      </w:r>
    </w:p>
    <w:p>
      <w:pPr>
        <w:pStyle w:val="Normal"/>
        <w:spacing w:lineRule="atLeast" w:line="199" w:before="6" w:after="0"/>
        <w:ind w:left="0" w:right="-794" w:hanging="0"/>
        <w:rPr/>
      </w:pPr>
      <w:r>
        <w:rPr>
          <w:rFonts w:eastAsia="Arial" w:cs="Arial"/>
          <w:color w:val="000000"/>
          <w:sz w:val="20"/>
        </w:rPr>
        <w:t>I (0) : Même indice pris à la date limite de remise des offres.</w:t>
      </w:r>
    </w:p>
    <w:p>
      <w:pPr>
        <w:pStyle w:val="Normal"/>
        <w:spacing w:lineRule="atLeast" w:line="199" w:before="6" w:after="0"/>
        <w:ind w:left="0" w:right="-794" w:hanging="0"/>
        <w:rPr/>
      </w:pPr>
      <w:r>
        <w:rPr/>
      </w:r>
    </w:p>
    <w:p>
      <w:pPr>
        <w:pStyle w:val="Normal"/>
        <w:spacing w:lineRule="atLeast" w:line="199" w:before="200" w:after="0"/>
        <w:ind w:left="0" w:right="0" w:hanging="0"/>
        <w:rPr/>
      </w:pPr>
      <w:r>
        <w:rPr>
          <w:rFonts w:eastAsia="Arial" w:cs="Arial"/>
          <w:b/>
          <w:color w:val="000000"/>
          <w:sz w:val="20"/>
        </w:rPr>
        <w:t>C</w:t>
      </w:r>
      <w:r>
        <w:rPr>
          <w:rFonts w:eastAsia="Arial" w:cs="Arial"/>
          <w:color w:val="000000"/>
          <w:sz w:val="20"/>
        </w:rPr>
        <w:t>l</w:t>
      </w:r>
      <w:r>
        <w:rPr>
          <w:rFonts w:eastAsia="Arial" w:cs="Arial"/>
          <w:b/>
          <w:color w:val="000000"/>
          <w:sz w:val="20"/>
        </w:rPr>
        <w:t>ause de sauvegarde</w:t>
      </w:r>
    </w:p>
    <w:p>
      <w:pPr>
        <w:pStyle w:val="Normal"/>
        <w:widowControl/>
        <w:suppressAutoHyphens w:val="true"/>
        <w:bidi w:val="0"/>
        <w:spacing w:lineRule="atLeast" w:line="199" w:before="200" w:after="0"/>
        <w:ind w:left="0" w:right="-850" w:hanging="0"/>
        <w:jc w:val="both"/>
        <w:rPr/>
      </w:pPr>
      <w:r>
        <w:rPr>
          <w:rFonts w:eastAsia="Arial" w:cs="Arial"/>
          <w:color w:val="000000"/>
          <w:sz w:val="20"/>
        </w:rPr>
        <w:t xml:space="preserve">Lorsque l’évolution des tarifs appliqués par le titulaire fait apparaître une variation de prix sur 12 (douze) mois de plus de 3 %, le Pouvoir adjudicateur aura la possibilité, sous réserve d’en informer préalablement le titulaire, de résilier le contrat, sans indemnité pour la partie non exécutée des prestations. </w:t>
      </w:r>
    </w:p>
    <w:p>
      <w:pPr>
        <w:pStyle w:val="Normal"/>
        <w:rPr/>
      </w:pPr>
      <w:r>
        <w:rPr/>
      </w:r>
    </w:p>
    <w:p>
      <w:pPr>
        <w:pStyle w:val="Titre2"/>
        <w:numPr>
          <w:ilvl w:val="1"/>
          <w:numId w:val="2"/>
        </w:numPr>
        <w:rPr/>
      </w:pPr>
      <w:bookmarkStart w:id="33" w:name="_Toc3875"/>
      <w:r>
        <w:rPr/>
        <w:t>Disparition d'indice</w:t>
      </w:r>
      <w:bookmarkEnd w:id="33"/>
    </w:p>
    <w:p>
      <w:pPr>
        <w:pStyle w:val="Normal"/>
        <w:spacing w:lineRule="atLeast" w:line="199" w:before="6" w:after="0"/>
        <w:ind w:left="0" w:right="-794" w:hanging="0"/>
        <w:rPr/>
      </w:pPr>
      <w:r>
        <w:rPr>
          <w:rFonts w:eastAsia="Arial" w:cs="Arial"/>
          <w:color w:val="000000"/>
          <w:sz w:val="20"/>
        </w:rPr>
        <w:t xml:space="preserve">Dans le cas de disparition d'indice, le nouvel indice de substitution préconisé par l'organisme qui l'établit sera de plein droit applicable dès lors qu'il correspond à la structure de prix de la prestation. </w:t>
      </w:r>
    </w:p>
    <w:p>
      <w:pPr>
        <w:pStyle w:val="Normal"/>
        <w:spacing w:lineRule="atLeast" w:line="199" w:before="6" w:after="0"/>
        <w:ind w:left="0" w:right="-794" w:hanging="0"/>
        <w:rPr/>
      </w:pPr>
      <w:r>
        <w:rPr/>
      </w:r>
    </w:p>
    <w:p>
      <w:pPr>
        <w:pStyle w:val="Normal"/>
        <w:spacing w:lineRule="atLeast" w:line="199" w:before="6" w:after="0"/>
        <w:ind w:left="0" w:right="-794" w:hanging="0"/>
        <w:rPr/>
      </w:pPr>
      <w:r>
        <w:rPr>
          <w:rFonts w:eastAsia="Arial" w:cs="Arial"/>
          <w:color w:val="000000"/>
          <w:sz w:val="20"/>
        </w:rPr>
        <w:t>Dans l'hypothèse où aucun indice de substitution ne serait préconisé, les parties conviennent que la substitution d'indice sera effectuée par avenant après accord de chacune d'elles.</w:t>
      </w:r>
    </w:p>
    <w:p>
      <w:pPr>
        <w:pStyle w:val="Normal"/>
        <w:rPr/>
      </w:pPr>
      <w:r>
        <w:rPr/>
      </w:r>
    </w:p>
    <w:p>
      <w:pPr>
        <w:pStyle w:val="Titre1"/>
        <w:numPr>
          <w:ilvl w:val="0"/>
          <w:numId w:val="2"/>
        </w:numPr>
        <w:rPr/>
      </w:pPr>
      <w:bookmarkStart w:id="34" w:name="_Toc3876"/>
      <w:r>
        <w:rPr/>
        <w:t>AVANCE</w:t>
      </w:r>
      <w:bookmarkEnd w:id="34"/>
    </w:p>
    <w:p>
      <w:pPr>
        <w:pStyle w:val="Titre2"/>
        <w:numPr>
          <w:ilvl w:val="1"/>
          <w:numId w:val="2"/>
        </w:numPr>
        <w:rPr/>
      </w:pPr>
      <w:bookmarkStart w:id="35" w:name="_Toc3877"/>
      <w:r>
        <w:rPr/>
        <w:t>Régime de l'avance</w:t>
      </w:r>
      <w:bookmarkEnd w:id="35"/>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Sauf renoncement du titulaire porté à l'Acte d'Engagement, une avance sera versée au titulaire, dans les cas et selon les modalités prévues aux articles R2191-3 à 19 du Code de la commande publique et à l'Acte d'Engagement.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Elle est versée le cas échéant dans le délai de 30 jours à compter de la date de début du délai contractuel d'exécution du marché, du bon de commande ou de la tranche.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L'avance est remboursée dans les conditions prévues aux articles R2191-11, R2191-12 et R2191-29 du Code de la commande publique.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remboursement de l'avance s'impute sur les sommes dues au titulaire quand le montant des prestations exécutées par le titulaire atteint 65% du montant initial du présent marché et se termine lorsque le montant des prestations exécutées par le titulaire atteint 80% du même montant selon un rythme calculé au prorata du pourcentage d'avancement.</w:t>
      </w:r>
    </w:p>
    <w:p>
      <w:pPr>
        <w:pStyle w:val="Titre2"/>
        <w:numPr>
          <w:ilvl w:val="1"/>
          <w:numId w:val="2"/>
        </w:numPr>
        <w:rPr>
          <w:highlight w:val="none"/>
          <w:shd w:fill="auto" w:val="clear"/>
        </w:rPr>
      </w:pPr>
      <w:bookmarkStart w:id="36" w:name="_Toc3878"/>
      <w:r>
        <w:rPr>
          <w:shd w:fill="auto" w:val="clear"/>
        </w:rPr>
        <w:t>Dispositions complémentaires</w:t>
      </w:r>
      <w:bookmarkEnd w:id="36"/>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L'avance ne pourra toutefois être versée qu'après constitution par le titulaire d'une garantie à première demande ou, si le pouvoir adjudicateur en a donné son accord, d'une caution personnelle et solidaire d'un montant de 100 % du montant de l'avance et dont l'objet est de garantir le remboursement de l'avance consentie.</w:t>
      </w:r>
    </w:p>
    <w:p>
      <w:pPr>
        <w:pStyle w:val="Titre1"/>
        <w:numPr>
          <w:ilvl w:val="0"/>
          <w:numId w:val="2"/>
        </w:numPr>
        <w:rPr/>
      </w:pPr>
      <w:bookmarkStart w:id="37" w:name="_Toc3879"/>
      <w:r>
        <w:rPr/>
        <w:t>MODALITÉS DE REGLEMENT</w:t>
      </w:r>
      <w:bookmarkEnd w:id="37"/>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dispositions des articles R2191-20 à 22 du Code de la commande publique relatives aux acomptes sont applicables.Il n'est pas prévu de disposition complémentaire.</w:t>
      </w:r>
    </w:p>
    <w:p>
      <w:pPr>
        <w:pStyle w:val="Titre1"/>
        <w:numPr>
          <w:ilvl w:val="0"/>
          <w:numId w:val="2"/>
        </w:numPr>
        <w:rPr/>
      </w:pPr>
      <w:bookmarkStart w:id="38" w:name="_Toc3880"/>
      <w:r>
        <w:rPr/>
        <w:t>PAIEMENT ET ETABLISSEMENT DE LA FACTURE</w:t>
      </w:r>
      <w:bookmarkEnd w:id="38"/>
    </w:p>
    <w:p>
      <w:pPr>
        <w:pStyle w:val="Titre2"/>
        <w:numPr>
          <w:ilvl w:val="1"/>
          <w:numId w:val="2"/>
        </w:numPr>
        <w:rPr/>
      </w:pPr>
      <w:bookmarkStart w:id="39" w:name="_Toc3881"/>
      <w:r>
        <w:rPr/>
        <w:t>Délais de paiements</w:t>
      </w:r>
      <w:bookmarkEnd w:id="39"/>
    </w:p>
    <w:p>
      <w:pPr>
        <w:pStyle w:val="Normal"/>
        <w:rPr/>
      </w:pPr>
      <w:r>
        <w:rPr>
          <w:rFonts w:eastAsia="arial" w:cs="arial" w:ascii="arial" w:hAnsi="arial"/>
          <w:b w:val="false"/>
          <w:i w:val="false"/>
          <w:color w:val="000000"/>
          <w:sz w:val="20"/>
          <w:u w:val="none"/>
        </w:rPr>
        <w:t>En application des articles R2192-10 à 15 du Code de la commande publique, le paiement sera effectué dans un délai de 30 jours courant à compter de la date de réception de la demande de paiement par les services de la personne publique contractante ou à compter de la date d'exécution des prestations lorsqu'elle est postérieure à la date de réception de la demande de paiement.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 délai global de paiement pourra être suspendu dans les conditions prévues par la réglementation en vigueur.</w:t>
      </w:r>
    </w:p>
    <w:p>
      <w:pPr>
        <w:pStyle w:val="Titre2"/>
        <w:numPr>
          <w:ilvl w:val="1"/>
          <w:numId w:val="2"/>
        </w:numPr>
        <w:rPr/>
      </w:pPr>
      <w:bookmarkStart w:id="40" w:name="_Toc3882"/>
      <w:r>
        <w:rPr/>
        <w:t>Intérêts moratoires</w:t>
      </w:r>
      <w:bookmarkEnd w:id="40"/>
    </w:p>
    <w:p>
      <w:pPr>
        <w:pStyle w:val="Normal"/>
        <w:rPr>
          <w:rFonts w:ascii="arial" w:hAnsi="arial" w:eastAsia="arial" w:cs="arial"/>
          <w:b w:val="false"/>
          <w:b w:val="false"/>
          <w:i w:val="false"/>
          <w:i w:val="false"/>
          <w:color w:val="000000"/>
          <w:sz w:val="20"/>
          <w:u w:val="none"/>
        </w:rPr>
      </w:pPr>
      <w:r>
        <w:rPr>
          <w:rFonts w:eastAsia="arial" w:cs="arial" w:ascii="arial" w:hAnsi="arial"/>
          <w:b w:val="false"/>
          <w:i w:val="false"/>
          <w:color w:val="000000"/>
          <w:sz w:val="20"/>
          <w:u w:val="none"/>
        </w:rPr>
        <w:t>Pour le délai de paiement des factures du titulaire du marché :</w:t>
      </w:r>
    </w:p>
    <w:p>
      <w:pPr>
        <w:pStyle w:val="Normal"/>
        <w:rPr/>
      </w:pPr>
      <w:r>
        <w:rPr>
          <w:rFonts w:eastAsia="arial" w:cs="arial" w:ascii="arial" w:hAnsi="arial"/>
          <w:b w:val="false"/>
          <w:i w:val="false"/>
          <w:color w:val="000000"/>
          <w:sz w:val="20"/>
          <w:u w:val="none"/>
        </w:rPr>
        <w:t>Le défaut de paiement dans les délais prévus ci-dessus fait courir de plein droit, et sans autre formalité, des intérêts moratoires au bénéfice des titulaires ou des sous-traitants payés directement. Il est fait application, pour toute la durée du marché, du taux des intérêts moratoires égal au 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p>
    <w:p>
      <w:pPr>
        <w:pStyle w:val="Normal"/>
        <w:spacing w:before="120" w:after="0"/>
        <w:rPr/>
      </w:pPr>
      <w:r>
        <w:rPr/>
      </w:r>
    </w:p>
    <w:p>
      <w:pPr>
        <w:pStyle w:val="Normal"/>
        <w:spacing w:before="120" w:after="0"/>
        <w:rPr>
          <w:rFonts w:ascii="arial" w:hAnsi="arial" w:eastAsia="arial" w:cs="arial"/>
          <w:b w:val="false"/>
          <w:b w:val="false"/>
          <w:i w:val="false"/>
          <w:i w:val="false"/>
          <w:color w:val="000000"/>
          <w:sz w:val="20"/>
          <w:highlight w:val="none"/>
          <w:u w:val="none"/>
        </w:rPr>
      </w:pPr>
      <w:r>
        <w:rPr>
          <w:rFonts w:eastAsia="arial" w:cs="arial" w:ascii="arial" w:hAnsi="arial"/>
          <w:b w:val="false"/>
          <w:i w:val="false"/>
          <w:color w:val="000000"/>
          <w:sz w:val="20"/>
          <w:u w:val="none"/>
        </w:rPr>
        <w:t>Le montant de l'indemnité forfaitaire pour frais de recouvrement est fixé à 40 Euros conformément à l'article D2192-35 du Code de la commande publique.</w:t>
      </w:r>
    </w:p>
    <w:p>
      <w:pPr>
        <w:pStyle w:val="Normal"/>
        <w:spacing w:before="120" w:after="0"/>
        <w:rPr/>
      </w:pPr>
      <w:r>
        <w:rPr/>
      </w:r>
    </w:p>
    <w:p>
      <w:pPr>
        <w:pStyle w:val="Normal"/>
        <w:spacing w:before="120" w:after="0"/>
        <w:rPr>
          <w:highlight w:val="none"/>
        </w:rPr>
      </w:pPr>
      <w:r>
        <w:rPr/>
        <w:t>Pour le délai de paiement du relevé mensuel d’opérations :</w:t>
      </w:r>
    </w:p>
    <w:p>
      <w:pPr>
        <w:pStyle w:val="Normal"/>
        <w:spacing w:before="120" w:after="0"/>
        <w:rPr>
          <w:rFonts w:ascii="arial" w:hAnsi="arial" w:eastAsia="arial" w:cs="arial"/>
          <w:b w:val="false"/>
          <w:b w:val="false"/>
          <w:i w:val="false"/>
          <w:i w:val="false"/>
          <w:color w:val="000000"/>
          <w:u w:val="none"/>
        </w:rPr>
      </w:pPr>
      <w:r>
        <w:rPr>
          <w:rFonts w:eastAsia="arial" w:cs="arial" w:ascii="arial" w:hAnsi="arial"/>
          <w:b w:val="false"/>
          <w:i w:val="false"/>
          <w:color w:val="000000"/>
          <w:sz w:val="20"/>
          <w:u w:val="none"/>
        </w:rPr>
        <w:t>Conformément à l'instruction N°05-025-MO-M9 du 21 avril 2005, le marché d'émission de cartes peut prévoir des intérêts en cas de paiement tardif, mais ces créances ne sont pas soumises à aux règles et calcul de l'intérêt moratoire.</w:t>
      </w:r>
    </w:p>
    <w:p>
      <w:pPr>
        <w:pStyle w:val="Normal"/>
        <w:spacing w:before="120" w:after="0"/>
        <w:rPr/>
      </w:pPr>
      <w:r>
        <w:rPr/>
      </w:r>
    </w:p>
    <w:p>
      <w:pPr>
        <w:pStyle w:val="Titre2"/>
        <w:numPr>
          <w:ilvl w:val="1"/>
          <w:numId w:val="2"/>
        </w:numPr>
        <w:rPr/>
      </w:pPr>
      <w:bookmarkStart w:id="41" w:name="_Toc3883"/>
      <w:r>
        <w:rPr/>
        <w:t>Modalités de paiement direct des sous-traitants</w:t>
      </w:r>
      <w:bookmarkEnd w:id="41"/>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Conformément aux dispositions des articles L2193-11et R2193-10 du Code de la commande publique, seuls les sous-traitants directs du titulaire du marché (qui ont été acceptés et dont les conditions de paiement ont été agréées) peuvent bénéficier du paiement direct.</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paiement direct des sous-traitants régulièrement acceptés est mis en œuvre selon les modalités prévues par le Code de la commande publique, et notamment, par ses articles R2193-11 à 16.</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Les sous-traitants adressent leur demande de paiement, libellée au nom du pouvoir adjudicateur, au titulaire ainsi qu'à la personne désignée ci-après :</w:t>
      </w:r>
    </w:p>
    <w:p>
      <w:pPr>
        <w:pStyle w:val="Normal"/>
        <w:tabs>
          <w:tab w:val="clear" w:pos="706"/>
          <w:tab w:val="left" w:pos="2819" w:leader="none"/>
        </w:tabs>
        <w:spacing w:before="120" w:after="0"/>
        <w:rPr>
          <w:color w:val="auto"/>
          <w:highlight w:val="none"/>
          <w:shd w:fill="auto" w:val="clear"/>
        </w:rPr>
      </w:pPr>
      <w:r>
        <w:rPr>
          <w:rFonts w:eastAsia="arial" w:cs="arial" w:ascii="arial" w:hAnsi="arial"/>
          <w:b w:val="false"/>
          <w:i w:val="false"/>
          <w:color w:val="000000"/>
          <w:sz w:val="20"/>
          <w:u w:val="none"/>
          <w:shd w:fill="auto" w:val="clear"/>
        </w:rPr>
        <w:t>Ville de Marseille</w:t>
      </w:r>
    </w:p>
    <w:p>
      <w:pPr>
        <w:pStyle w:val="Normal"/>
        <w:tabs>
          <w:tab w:val="clear" w:pos="706"/>
          <w:tab w:val="left" w:pos="2819" w:leader="none"/>
        </w:tabs>
        <w:spacing w:before="120" w:after="0"/>
        <w:rPr>
          <w:color w:val="auto"/>
          <w:highlight w:val="none"/>
          <w:shd w:fill="auto" w:val="clear"/>
        </w:rPr>
      </w:pPr>
      <w:r>
        <w:rPr>
          <w:rFonts w:eastAsia="arial" w:cs="arial" w:ascii="arial" w:hAnsi="arial"/>
          <w:b w:val="false"/>
          <w:i w:val="false"/>
          <w:color w:val="000000"/>
          <w:sz w:val="20"/>
          <w:u w:val="none"/>
          <w:shd w:fill="auto" w:val="clear"/>
        </w:rPr>
        <w:t>Direction de l’Achat et de la Commande Publique</w:t>
      </w:r>
    </w:p>
    <w:p>
      <w:pPr>
        <w:pStyle w:val="Normal"/>
        <w:tabs>
          <w:tab w:val="clear" w:pos="706"/>
          <w:tab w:val="left" w:pos="2819" w:leader="none"/>
        </w:tabs>
        <w:spacing w:before="120" w:after="0"/>
        <w:rPr>
          <w:color w:val="auto"/>
          <w:highlight w:val="none"/>
          <w:shd w:fill="auto" w:val="clear"/>
        </w:rPr>
      </w:pPr>
      <w:r>
        <w:rPr>
          <w:rFonts w:eastAsia="arial" w:cs="arial" w:ascii="arial" w:hAnsi="arial"/>
          <w:b w:val="false"/>
          <w:i w:val="false"/>
          <w:color w:val="000000"/>
          <w:sz w:val="20"/>
          <w:u w:val="none"/>
          <w:shd w:fill="auto" w:val="clear"/>
        </w:rPr>
        <w:t>Service Projets et Évolution de la Fonction Achat</w:t>
      </w:r>
    </w:p>
    <w:p>
      <w:pPr>
        <w:pStyle w:val="Normal"/>
        <w:spacing w:before="120" w:after="0"/>
        <w:rPr>
          <w:color w:val="auto"/>
          <w:highlight w:val="none"/>
          <w:shd w:fill="auto" w:val="clear"/>
        </w:rPr>
      </w:pPr>
      <w:r>
        <w:rPr>
          <w:rFonts w:eastAsia="arial" w:cs="arial" w:ascii="arial" w:hAnsi="arial"/>
          <w:b w:val="false"/>
          <w:i w:val="false"/>
          <w:color w:val="000000"/>
          <w:sz w:val="20"/>
          <w:u w:val="none"/>
          <w:shd w:fill="auto" w:val="clear"/>
        </w:rPr>
        <w:t>189 Boulevard de la Valbarelle</w:t>
      </w:r>
    </w:p>
    <w:p>
      <w:pPr>
        <w:pStyle w:val="Normal"/>
        <w:spacing w:before="120" w:after="0"/>
        <w:rPr/>
      </w:pPr>
      <w:r>
        <w:rPr>
          <w:rFonts w:eastAsia="arial" w:cs="arial" w:ascii="arial" w:hAnsi="arial"/>
          <w:b w:val="false"/>
          <w:i w:val="false"/>
          <w:strike w:val="false"/>
          <w:dstrike w:val="false"/>
          <w:color w:val="000000"/>
          <w:sz w:val="20"/>
          <w:u w:val="none"/>
          <w:shd w:fill="auto" w:val="clear"/>
        </w:rPr>
        <w:t>13 233 MARSEILLE CEDEX 20</w:t>
      </w:r>
    </w:p>
    <w:p>
      <w:pPr>
        <w:pStyle w:val="Normal"/>
        <w:spacing w:before="120" w:after="0"/>
        <w:rPr>
          <w:rFonts w:ascii="arial" w:hAnsi="arial" w:eastAsia="arial" w:cs="arial"/>
          <w:b/>
          <w:b/>
          <w:i w:val="false"/>
          <w:i w:val="false"/>
          <w:strike/>
          <w:color w:val="000000"/>
          <w:sz w:val="20"/>
          <w:highlight w:val="none"/>
          <w:u w:val="none"/>
          <w:shd w:fill="auto" w:val="clear"/>
        </w:rPr>
      </w:pPr>
      <w:r>
        <w:rPr>
          <w:rFonts w:eastAsia="arial" w:cs="arial" w:ascii="arial" w:hAnsi="arial"/>
          <w:b/>
          <w:i w:val="false"/>
          <w:strike/>
          <w:color w:val="000000"/>
          <w:sz w:val="20"/>
          <w:u w:val="none"/>
          <w:shd w:fill="auto"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délai global de paiement du sous-traitant est de 30 jours. Ce délai est computé dans les conditions prévues aux articles R2192-22 et R2192-23 du Code de la commande publique.</w:t>
      </w:r>
    </w:p>
    <w:p>
      <w:pPr>
        <w:pStyle w:val="Titre2"/>
        <w:numPr>
          <w:ilvl w:val="1"/>
          <w:numId w:val="2"/>
        </w:numPr>
        <w:rPr>
          <w:highlight w:val="none"/>
          <w:shd w:fill="auto" w:val="clear"/>
        </w:rPr>
      </w:pPr>
      <w:bookmarkStart w:id="42" w:name="_Toc3884"/>
      <w:r>
        <w:rPr>
          <w:shd w:fill="auto" w:val="clear"/>
        </w:rPr>
        <w:t>Présentation des demandes de paiement</w:t>
      </w:r>
      <w:bookmarkEnd w:id="42"/>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factures afférentes au marché sont établies en portant, outre les mentions légales, les indications suivantes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nom / la raison sociale et l'adresses du créancier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SIRET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de son compte bancaire ou postal tel qu'il est précisé à l'acte d'engagement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numéro et la date du marché et de chaque avenant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date et le numéro du bon de commande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nature des prestations</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La quantité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prix de base hors révision et hors taxes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 Le taux et le montant de la T.V.A.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Le montant total de la facture en euro HT et TTC</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La date et le numéro de facture.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Tout rabais remise ristourne ou escompte acquis et chiffrable lors de l'opération et directement applicable à cette opération</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color w:val="000000" w:themeColor="text1"/>
          <w:shd w:fill="auto" w:val="clear"/>
        </w:rPr>
        <w:t>Le titulaire du marché fournira le RIB ou les RIB du ou des comptes à créditer pour le paiement des factures.</w:t>
      </w:r>
    </w:p>
    <w:p>
      <w:pPr>
        <w:pStyle w:val="Normal"/>
        <w:spacing w:before="120" w:after="0"/>
        <w:rPr>
          <w:highlight w:val="none"/>
          <w:shd w:fill="auto" w:val="clear"/>
        </w:rPr>
      </w:pPr>
      <w:r>
        <w:rPr>
          <w:color w:val="000000" w:themeColor="text1"/>
          <w:shd w:fill="auto" w:val="clear"/>
        </w:rPr>
        <w:t>Les factures des prestations sans TVA seront d’une facturation dissociée.</w:t>
      </w:r>
    </w:p>
    <w:p>
      <w:pPr>
        <w:pStyle w:val="Normal"/>
        <w:spacing w:before="120" w:after="0"/>
        <w:rPr>
          <w:color w:val="000000"/>
          <w:highlight w:val="none"/>
          <w:shd w:fill="auto" w:val="clear"/>
        </w:rPr>
      </w:pPr>
      <w:r>
        <w:rPr>
          <w:color w:val="000000"/>
          <w:shd w:fill="auto" w:val="clear"/>
        </w:rPr>
      </w:r>
    </w:p>
    <w:p>
      <w:pPr>
        <w:pStyle w:val="Normal"/>
        <w:spacing w:lineRule="atLeast" w:line="199" w:before="0" w:after="0"/>
        <w:ind w:left="0" w:right="-794" w:hanging="0"/>
        <w:rPr>
          <w:highlight w:val="none"/>
          <w:shd w:fill="auto" w:val="clear"/>
        </w:rPr>
      </w:pPr>
      <w:r>
        <w:rPr>
          <w:rFonts w:eastAsia="Arial" w:cs="Arial"/>
          <w:b/>
          <w:color w:val="000000" w:themeColor="text1"/>
          <w:sz w:val="20"/>
          <w:shd w:fill="auto" w:val="clear"/>
        </w:rPr>
        <w:t>Le relevé mensuel d'opérations</w:t>
      </w:r>
      <w:r>
        <w:rPr>
          <w:rFonts w:eastAsia="Arial" w:cs="Arial"/>
          <w:color w:val="000000" w:themeColor="text1"/>
          <w:sz w:val="20"/>
          <w:shd w:fill="auto" w:val="clear"/>
        </w:rPr>
        <w:t>:</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199" w:before="6" w:after="0"/>
        <w:ind w:left="0" w:right="-794" w:hanging="0"/>
        <w:rPr>
          <w:highlight w:val="none"/>
          <w:shd w:fill="auto" w:val="clear"/>
        </w:rPr>
      </w:pPr>
      <w:r>
        <w:rPr>
          <w:rFonts w:eastAsia="Arial" w:cs="Arial"/>
          <w:color w:val="000000" w:themeColor="text1"/>
          <w:sz w:val="20"/>
          <w:shd w:fill="auto" w:val="clear"/>
        </w:rPr>
        <w:t>Le relevé mensuel d'opérations établi dans les conditions fixées à l'article 10.5.4 partie I du CCTP sera mis à la disposition de la collectivité sur l'outil web de gestion carte d'achat.</w:t>
      </w:r>
    </w:p>
    <w:p>
      <w:pPr>
        <w:pStyle w:val="Normal"/>
        <w:spacing w:lineRule="atLeast" w:line="199" w:before="6" w:after="0"/>
        <w:ind w:left="0" w:right="-794" w:hanging="0"/>
        <w:rPr>
          <w:highlight w:val="none"/>
          <w:shd w:fill="auto" w:val="clear"/>
        </w:rPr>
      </w:pPr>
      <w:r>
        <w:rPr>
          <w:shd w:fill="auto" w:val="clear"/>
        </w:rPr>
      </w:r>
    </w:p>
    <w:p>
      <w:pPr>
        <w:pStyle w:val="Normal"/>
        <w:spacing w:lineRule="atLeast" w:line="199" w:before="6" w:after="0"/>
        <w:ind w:left="0" w:right="-794" w:hanging="0"/>
        <w:rPr>
          <w:highlight w:val="none"/>
          <w:shd w:fill="auto" w:val="clear"/>
        </w:rPr>
      </w:pPr>
      <w:r>
        <w:rPr>
          <w:rFonts w:eastAsia="Arial" w:cs="Arial"/>
          <w:color w:val="000000" w:themeColor="text1"/>
          <w:sz w:val="20"/>
          <w:shd w:fill="auto" w:val="clear"/>
        </w:rPr>
        <w:t>Les opérations récapitulées dans le relevé devront correspondre uniquement aux commandes par carte d'achat dont la facturation a été télécollectée par le fournisseur (accepteur), qui ont fait l'objet d'un paiement à ce dernier par le titulaire du marché d'émission de cartes et qui n'ont pas fait l'objet d'un refus de validation dans l'outil web carte d'achat</w:t>
      </w:r>
      <w:r>
        <w:rPr>
          <w:rFonts w:eastAsia="Arial" w:cs="Arial"/>
          <w:strike w:val="false"/>
          <w:dstrike w:val="false"/>
          <w:color w:val="000000" w:themeColor="text1"/>
          <w:sz w:val="20"/>
          <w:shd w:fill="auto" w:val="clear"/>
        </w:rPr>
        <w:t>.</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199" w:before="6" w:after="0"/>
        <w:ind w:left="0" w:right="-794" w:hanging="0"/>
        <w:rPr>
          <w:highlight w:val="none"/>
          <w:shd w:fill="auto" w:val="clear"/>
        </w:rPr>
      </w:pPr>
      <w:r>
        <w:rPr>
          <w:rFonts w:eastAsia="Arial" w:cs="Arial"/>
          <w:color w:val="000000" w:themeColor="text1"/>
          <w:sz w:val="20"/>
          <w:shd w:fill="auto" w:val="clear"/>
        </w:rPr>
        <w:t>Le paiement du relevé mensuel d'opérations (RO) s'effectuera suivant les règles de la comptabilité publique dans les conditions prévues aux articles 11 et 12 du C.C.A.G./F.C.S.</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249" w:before="0" w:after="0"/>
        <w:ind w:left="0" w:right="-720" w:hanging="0"/>
        <w:rPr>
          <w:highlight w:val="none"/>
          <w:shd w:fill="auto" w:val="clear"/>
        </w:rPr>
      </w:pPr>
      <w:r>
        <w:rPr>
          <w:rFonts w:eastAsia="Arial" w:cs="Arial"/>
          <w:color w:val="000000" w:themeColor="text1"/>
          <w:sz w:val="20"/>
          <w:shd w:fill="auto" w:val="clear"/>
        </w:rPr>
        <w:t>Le relevé mensuel d’opérations est payé par le comptable public en un ou plusieurs virements sur le compte technique correspondant. Toutefois, des dispositions visant à introduire une nouvelle modalité de règlement (prélèvement bancaire) pourront être mises en œuvre pendant l’exécution du marché.</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199" w:before="6" w:after="0"/>
        <w:ind w:left="0" w:right="-794" w:hanging="0"/>
        <w:rPr>
          <w:highlight w:val="none"/>
          <w:shd w:fill="auto" w:val="clear"/>
        </w:rPr>
      </w:pPr>
      <w:r>
        <w:rPr>
          <w:rFonts w:eastAsia="Arial" w:cs="Arial"/>
          <w:color w:val="000000" w:themeColor="text1"/>
          <w:sz w:val="20"/>
          <w:u w:val="single"/>
          <w:shd w:fill="auto" w:val="clear"/>
        </w:rPr>
        <w:t>Pour les candidats européens sans établissement en France</w:t>
      </w:r>
      <w:r>
        <w:rPr>
          <w:rFonts w:eastAsia="Arial" w:cs="Arial"/>
          <w:color w:val="000000" w:themeColor="text1"/>
          <w:sz w:val="20"/>
          <w:shd w:fill="auto" w:val="clear"/>
        </w:rPr>
        <w:t>: en lieu et place du numéro de SIRET, indiquer le N° de TVA intracommunautaire</w:t>
      </w:r>
    </w:p>
    <w:p>
      <w:pPr>
        <w:pStyle w:val="Normal"/>
        <w:spacing w:lineRule="atLeast" w:line="199" w:before="6" w:after="0"/>
        <w:ind w:left="0" w:right="-794" w:hanging="0"/>
        <w:rPr>
          <w:highlight w:val="none"/>
          <w:shd w:fill="auto" w:val="clear"/>
        </w:rPr>
      </w:pPr>
      <w:r>
        <w:rPr>
          <w:rFonts w:eastAsia="Arial" w:cs="Arial"/>
          <w:color w:val="000000" w:themeColor="text1"/>
          <w:sz w:val="20"/>
          <w:shd w:fill="auto" w:val="clear"/>
        </w:rPr>
        <w:t>N° de TVA intracommunautaire de la Ville de Marseille : FR75211300553</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199" w:before="6" w:after="0"/>
        <w:ind w:left="0" w:right="-794" w:hanging="0"/>
        <w:rPr>
          <w:highlight w:val="none"/>
          <w:shd w:fill="auto" w:val="clear"/>
        </w:rPr>
      </w:pPr>
      <w:r>
        <w:rPr>
          <w:rFonts w:eastAsia="Arial" w:cs="Arial"/>
          <w:color w:val="000000" w:themeColor="text1"/>
          <w:sz w:val="20"/>
          <w:shd w:fill="auto" w:val="clear"/>
        </w:rPr>
        <w:t>Le titulaire du marché fournira le RIB ou les RIB du ou des compte(s) technique(s) à créditer pour le paiement du relevé mensuel d'opérations.</w:t>
      </w:r>
    </w:p>
    <w:p>
      <w:pPr>
        <w:pStyle w:val="Normal"/>
        <w:spacing w:lineRule="atLeast" w:line="199" w:before="6" w:after="0"/>
        <w:ind w:left="0" w:right="-794" w:hanging="0"/>
        <w:rPr>
          <w:color w:val="000000"/>
          <w:highlight w:val="none"/>
          <w:shd w:fill="auto" w:val="clear"/>
        </w:rPr>
      </w:pPr>
      <w:r>
        <w:rPr>
          <w:color w:val="000000"/>
          <w:shd w:fill="auto" w:val="clear"/>
        </w:rPr>
      </w:r>
    </w:p>
    <w:p>
      <w:pPr>
        <w:pStyle w:val="Normal"/>
        <w:spacing w:lineRule="atLeast" w:line="199" w:before="6" w:after="0"/>
        <w:ind w:left="0" w:right="-794" w:hanging="0"/>
        <w:rPr>
          <w:color w:val="auto"/>
          <w:highlight w:val="none"/>
          <w:shd w:fill="auto" w:val="clear"/>
        </w:rPr>
      </w:pPr>
      <w:r>
        <w:rPr>
          <w:rFonts w:eastAsia="Arial" w:cs="Arial"/>
          <w:b/>
          <w:color w:val="000000" w:themeColor="text1"/>
          <w:sz w:val="20"/>
          <w:shd w:fill="auto" w:val="clear"/>
        </w:rPr>
        <w:t xml:space="preserve">Les factures des prestations </w:t>
      </w:r>
      <w:r>
        <w:rPr>
          <w:rFonts w:eastAsia="Arial" w:cs="Arial"/>
          <w:b w:val="false"/>
          <w:bCs w:val="false"/>
          <w:strike w:val="false"/>
          <w:dstrike w:val="false"/>
          <w:color w:val="000000"/>
          <w:sz w:val="20"/>
          <w:shd w:fill="auto" w:val="clear"/>
        </w:rPr>
        <w:t>des postes 1 et 2</w:t>
      </w:r>
    </w:p>
    <w:p>
      <w:pPr>
        <w:pStyle w:val="Normal"/>
        <w:spacing w:lineRule="atLeast" w:line="199" w:before="6" w:after="0"/>
        <w:ind w:left="0" w:right="-794" w:hanging="0"/>
        <w:rPr>
          <w:color w:val="auto"/>
          <w:highlight w:val="none"/>
          <w:shd w:fill="auto" w:val="clear"/>
        </w:rPr>
      </w:pPr>
      <w:r>
        <w:rPr>
          <w:color w:val="000000"/>
          <w:shd w:fill="auto" w:val="clear"/>
        </w:rPr>
      </w:r>
    </w:p>
    <w:p>
      <w:pPr>
        <w:pStyle w:val="Normal"/>
        <w:spacing w:lineRule="atLeast" w:line="199" w:before="6" w:after="0"/>
        <w:ind w:left="0" w:right="-794" w:hanging="0"/>
        <w:rPr>
          <w:color w:val="auto"/>
          <w:highlight w:val="none"/>
          <w:shd w:fill="auto" w:val="clear"/>
        </w:rPr>
      </w:pPr>
      <w:r>
        <w:rPr>
          <w:rFonts w:eastAsia="Arial" w:cs="Arial"/>
          <w:color w:val="000000" w:themeColor="text1"/>
          <w:sz w:val="20"/>
          <w:shd w:fill="auto" w:val="clear"/>
        </w:rPr>
        <w:t xml:space="preserve">Les prestations, </w:t>
      </w:r>
      <w:r>
        <w:rPr>
          <w:rFonts w:eastAsia="Arial" w:cs="Arial"/>
          <w:color w:val="000000"/>
          <w:sz w:val="20"/>
          <w:shd w:fill="auto" w:val="clear"/>
        </w:rPr>
        <w:t>des postes 1 et 2</w:t>
      </w:r>
      <w:r>
        <w:rPr>
          <w:rFonts w:eastAsia="Arial" w:cs="Arial"/>
          <w:color w:val="000000" w:themeColor="text1"/>
          <w:sz w:val="20"/>
          <w:shd w:fill="auto" w:val="clear"/>
        </w:rPr>
        <w:t xml:space="preserve"> devront faire l'objet d'une facturation distincte du relevé mensuel d'opérations. Cette facturation devra être conforme aux prix unitaires et aux prix forfaitaires respectivement annoncés dans le Bordereau des Prix Unitaires (BPU) </w:t>
      </w:r>
      <w:r>
        <w:rPr>
          <w:rFonts w:eastAsia="Arial" w:cs="Arial"/>
          <w:strike w:val="false"/>
          <w:dstrike w:val="false"/>
          <w:color w:val="000000" w:themeColor="text1"/>
          <w:sz w:val="20"/>
          <w:shd w:fill="auto" w:val="clear"/>
        </w:rPr>
        <w:t>et dans le Bordereau de Prix Forfaitaires (BPF).</w:t>
      </w:r>
    </w:p>
    <w:p>
      <w:pPr>
        <w:pStyle w:val="Normal"/>
        <w:spacing w:lineRule="atLeast" w:line="199" w:before="6" w:after="0"/>
        <w:ind w:left="0" w:right="-794" w:hanging="0"/>
        <w:rPr>
          <w:color w:val="auto"/>
          <w:highlight w:val="none"/>
          <w:shd w:fill="auto" w:val="clear"/>
        </w:rPr>
      </w:pPr>
      <w:r>
        <w:rPr>
          <w:rFonts w:eastAsia="Arial" w:cs="Arial"/>
          <w:strike w:val="false"/>
          <w:dstrike w:val="false"/>
          <w:color w:val="000000" w:themeColor="text1"/>
          <w:sz w:val="20"/>
          <w:shd w:fill="auto" w:val="clear"/>
        </w:rPr>
        <w:t>L</w:t>
      </w:r>
      <w:r>
        <w:rPr>
          <w:rFonts w:eastAsia="Arial" w:cs="Arial"/>
          <w:color w:val="000000" w:themeColor="text1"/>
          <w:sz w:val="20"/>
          <w:shd w:fill="auto" w:val="clear"/>
        </w:rPr>
        <w:t xml:space="preserve">es commissions sur flux et les prestations annexes seront facturées mensuellement. Les abonnements cartes et l'abonnement pour l'accès du RPro à l'outil web </w:t>
      </w:r>
      <w:r>
        <w:rPr>
          <w:rFonts w:eastAsia="Arial" w:cs="Arial"/>
          <w:color w:val="000000"/>
          <w:sz w:val="20"/>
          <w:shd w:fill="auto" w:val="clear"/>
        </w:rPr>
        <w:t xml:space="preserve">ainsi que les prestations du suivi technique et administratif du marché </w:t>
      </w:r>
      <w:r>
        <w:rPr>
          <w:rFonts w:eastAsia="Arial" w:cs="Arial"/>
          <w:color w:val="000000" w:themeColor="text1"/>
          <w:sz w:val="20"/>
          <w:shd w:fill="auto" w:val="clear"/>
        </w:rPr>
        <w:t>seront facturés annuellement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 xml:space="preserve">Les factures dématérialisées indiquent l'adresse suivante : </w:t>
      </w:r>
    </w:p>
    <w:p>
      <w:pPr>
        <w:pStyle w:val="Normal"/>
        <w:tabs>
          <w:tab w:val="clear" w:pos="706"/>
          <w:tab w:val="left" w:pos="2819" w:leader="none"/>
        </w:tabs>
        <w:spacing w:before="120" w:after="0"/>
        <w:rPr>
          <w:highlight w:val="none"/>
          <w:shd w:fill="auto" w:val="clear"/>
        </w:rPr>
      </w:pPr>
      <w:r>
        <w:rPr>
          <w:rFonts w:eastAsia="arial" w:cs="arial" w:ascii="arial" w:hAnsi="arial"/>
          <w:b w:val="false"/>
          <w:i w:val="false"/>
          <w:color w:val="000000"/>
          <w:sz w:val="20"/>
          <w:u w:val="none"/>
          <w:shd w:fill="auto" w:val="clear"/>
        </w:rPr>
        <w:t>Ville de Marseille</w:t>
      </w:r>
    </w:p>
    <w:p>
      <w:pPr>
        <w:pStyle w:val="Normal"/>
        <w:tabs>
          <w:tab w:val="clear" w:pos="706"/>
          <w:tab w:val="left" w:pos="2819" w:leader="none"/>
        </w:tabs>
        <w:spacing w:before="120" w:after="0"/>
        <w:rPr>
          <w:highlight w:val="none"/>
          <w:shd w:fill="auto" w:val="clear"/>
        </w:rPr>
      </w:pPr>
      <w:r>
        <w:rPr>
          <w:rFonts w:eastAsia="arial" w:cs="arial" w:ascii="arial" w:hAnsi="arial"/>
          <w:b w:val="false"/>
          <w:i w:val="false"/>
          <w:color w:val="000000"/>
          <w:sz w:val="20"/>
          <w:u w:val="none"/>
          <w:shd w:fill="auto" w:val="clear"/>
        </w:rPr>
        <w:t>Direction de l’Achat et de la Commande Publique</w:t>
      </w:r>
    </w:p>
    <w:p>
      <w:pPr>
        <w:pStyle w:val="Normal"/>
        <w:tabs>
          <w:tab w:val="clear" w:pos="706"/>
          <w:tab w:val="left" w:pos="2819" w:leader="none"/>
        </w:tabs>
        <w:spacing w:before="120" w:after="0"/>
        <w:rPr>
          <w:highlight w:val="none"/>
          <w:shd w:fill="auto" w:val="clear"/>
        </w:rPr>
      </w:pPr>
      <w:r>
        <w:rPr>
          <w:rFonts w:eastAsia="arial" w:cs="arial" w:ascii="arial" w:hAnsi="arial"/>
          <w:b w:val="false"/>
          <w:i w:val="false"/>
          <w:color w:val="000000"/>
          <w:sz w:val="20"/>
          <w:u w:val="none"/>
          <w:shd w:fill="auto" w:val="clear"/>
        </w:rPr>
        <w:t>Service Projets et Évolution de la Fonction Achat</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189 Boulevard de la Valbarelle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13 233 MARSEILLE CEDEX 20</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 paiement s'effectue suivant les règles de la comptabilité publique dans les conditions prévues aux articles 11 et 12 du C.C.A.G./F.C.S.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single"/>
          <w:shd w:fill="auto" w:val="clear"/>
        </w:rPr>
        <w:t>Pour les candidats européens sans établissement en France</w:t>
      </w:r>
      <w:r>
        <w:rPr>
          <w:rFonts w:eastAsia="arial" w:cs="arial" w:ascii="arial" w:hAnsi="arial"/>
          <w:b w:val="false"/>
          <w:i w:val="false"/>
          <w:color w:val="000000"/>
          <w:sz w:val="20"/>
          <w:u w:val="none"/>
          <w:shd w:fill="auto" w:val="clear"/>
        </w:rPr>
        <w:t xml:space="preserve"> : en lieu et place du numéro de SIRET, indiquer le N° de TVA intracommunautaire</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N° de TVA intracommunautaire de la Ville de Marseille : FR75211300553</w:t>
      </w:r>
    </w:p>
    <w:p>
      <w:pPr>
        <w:pStyle w:val="Titre2"/>
        <w:numPr>
          <w:ilvl w:val="1"/>
          <w:numId w:val="2"/>
        </w:numPr>
        <w:rPr/>
      </w:pPr>
      <w:bookmarkStart w:id="43" w:name="_Toc3885"/>
      <w:r>
        <w:rPr/>
        <w:t>Dématérialisation des factures</w:t>
      </w:r>
      <w:bookmarkEnd w:id="43"/>
    </w:p>
    <w:p>
      <w:pPr>
        <w:pStyle w:val="Normal"/>
        <w:rPr/>
      </w:pPr>
      <w:r>
        <w:rPr>
          <w:rFonts w:eastAsia="arial" w:cs="arial" w:ascii="arial" w:hAnsi="arial"/>
          <w:b w:val="false"/>
          <w:i w:val="false"/>
          <w:color w:val="000000"/>
          <w:sz w:val="20"/>
          <w:u w:val="none"/>
        </w:rPr>
        <w:t>Le titulaire, ainsi que ses éventuels sous-traitants admis au paiement direct, transmettent leurs factures sous forme électronique, conformément aux dispositions des articles L2192-1 à L2192-7 et R2192-1 à R2192-3 du Code de la Commande Publique.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factures doivent être envoyées de façon dématérialisée et gratuite en utilisant le "portail public de facturation" sécurisé Chorus Pro à l'adresse suivante : https://chorus-pro.gouv.fr</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portail permet d'intégrer automatiquement les données nécessaires à la mise en paiement des factures et d'économiser les coûts d'édition et d'envoi postal des factures ainsi que de suivre par internet l'état d'avancement de leur traitement.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Toutes les informations utiles aux modalités d'utilisation du portail et de transmission des factures sont </w:t>
      </w:r>
      <w:r>
        <w:rPr>
          <w:rFonts w:eastAsia="arial" w:cs="arial" w:ascii="arial" w:hAnsi="arial"/>
          <w:b/>
          <w:i w:val="false"/>
          <w:color w:val="000000"/>
          <w:sz w:val="20"/>
          <w:u w:val="single"/>
        </w:rPr>
        <w:t>disponibles directement sur le site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Pour accéder à la « structure »(au sens CHORUS PRO) Ville de Marseille adéquate, le titulaire sera informé du </w:t>
      </w:r>
      <w:r>
        <w:rPr>
          <w:rFonts w:eastAsia="arial" w:cs="arial" w:ascii="arial" w:hAnsi="arial"/>
          <w:b/>
          <w:i w:val="false"/>
          <w:color w:val="000000"/>
          <w:sz w:val="20"/>
          <w:u w:val="single"/>
        </w:rPr>
        <w:t>numéro SIRET</w:t>
      </w:r>
      <w:r>
        <w:rPr>
          <w:rFonts w:eastAsia="arial" w:cs="arial" w:ascii="arial" w:hAnsi="arial"/>
          <w:b w:val="false"/>
          <w:i w:val="false"/>
          <w:color w:val="000000"/>
          <w:sz w:val="20"/>
          <w:u w:val="none"/>
        </w:rPr>
        <w:t xml:space="preserve"> devant être utilisé.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 xml:space="preserve">De même, la Ville de Marseille a choisi de rendre obligatoire la </w:t>
      </w:r>
      <w:r>
        <w:rPr>
          <w:rFonts w:eastAsia="arial" w:cs="arial" w:ascii="arial" w:hAnsi="arial"/>
          <w:b/>
          <w:i w:val="false"/>
          <w:color w:val="000000"/>
          <w:sz w:val="20"/>
          <w:u w:val="single"/>
        </w:rPr>
        <w:t>référence à l'engagement</w:t>
      </w:r>
      <w:r>
        <w:rPr>
          <w:rFonts w:eastAsia="arial" w:cs="arial" w:ascii="arial" w:hAnsi="arial"/>
          <w:b w:val="false"/>
          <w:i w:val="false"/>
          <w:color w:val="000000"/>
          <w:sz w:val="20"/>
          <w:u w:val="none"/>
        </w:rPr>
        <w:t>. Le ou les numéros d'engagement seront communiqués au titulaire par le service gestionnaire du marché ou par le service acheteur.</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Sous peine d'irrecevabilité, les factures seront déposées dans CHORUS PRO en respectant l'obligation de renseignement exact des 2 numéros précités.</w:t>
      </w:r>
    </w:p>
    <w:p>
      <w:pPr>
        <w:pStyle w:val="Normal"/>
        <w:spacing w:before="120" w:after="0"/>
        <w:rPr/>
      </w:pPr>
      <w:r>
        <w:rPr/>
      </w:r>
    </w:p>
    <w:p>
      <w:pPr>
        <w:pStyle w:val="Normal"/>
        <w:spacing w:before="120" w:after="0"/>
        <w:rPr/>
      </w:pPr>
      <w:r>
        <w:rPr/>
      </w:r>
    </w:p>
    <w:p>
      <w:pPr>
        <w:pStyle w:val="Titre1"/>
        <w:numPr>
          <w:ilvl w:val="0"/>
          <w:numId w:val="2"/>
        </w:numPr>
        <w:rPr/>
      </w:pPr>
      <w:bookmarkStart w:id="44" w:name="_Toc3886"/>
      <w:r>
        <w:rPr/>
        <w:t>PENALITES</w:t>
      </w:r>
      <w:bookmarkEnd w:id="44"/>
    </w:p>
    <w:p>
      <w:pPr>
        <w:pStyle w:val="Titre2"/>
        <w:numPr>
          <w:ilvl w:val="1"/>
          <w:numId w:val="2"/>
        </w:numPr>
        <w:rPr/>
      </w:pPr>
      <w:bookmarkStart w:id="45" w:name="_Toc3887"/>
      <w:r>
        <w:rPr/>
        <w:t>Pénalités de retard</w:t>
      </w:r>
      <w:bookmarkEnd w:id="45"/>
    </w:p>
    <w:p>
      <w:pPr>
        <w:pStyle w:val="Normal"/>
        <w:rPr>
          <w:highlight w:val="none"/>
          <w:shd w:fill="auto" w:val="clear"/>
        </w:rPr>
      </w:pPr>
      <w:r>
        <w:rPr>
          <w:rFonts w:eastAsia="arial" w:cs="arial" w:ascii="arial" w:hAnsi="arial"/>
          <w:b w:val="false"/>
          <w:i w:val="false"/>
          <w:color w:val="000000"/>
          <w:sz w:val="20"/>
          <w:u w:val="none"/>
          <w:shd w:fill="auto" w:val="clear"/>
        </w:rPr>
        <w:t>Il incombe au titulaire de signaler à la Ville de Marseille, avant l'expiration du délai d'exécution des prestations, les clauses qui, n'étant pas de son fait, feraient obstacle à l'exécution du marché.</w:t>
      </w:r>
    </w:p>
    <w:p>
      <w:pPr>
        <w:pStyle w:val="Normal"/>
        <w:rPr>
          <w:highlight w:val="none"/>
          <w:shd w:fill="auto" w:val="clear"/>
        </w:rPr>
      </w:pPr>
      <w:r>
        <w:rPr>
          <w:rFonts w:eastAsia="arial" w:cs="arial" w:ascii="arial" w:hAnsi="arial"/>
          <w:b w:val="false"/>
          <w:i w:val="false"/>
          <w:color w:val="000000"/>
          <w:sz w:val="20"/>
          <w:u w:val="none"/>
          <w:shd w:fill="auto" w:val="clear"/>
        </w:rPr>
        <w:t>Par dérogation à l'article 14.1.1 du CCAG,</w:t>
      </w:r>
    </w:p>
    <w:p>
      <w:pPr>
        <w:pStyle w:val="Normal"/>
        <w:rPr>
          <w:highlight w:val="none"/>
          <w:shd w:fill="auto" w:val="clear"/>
        </w:rPr>
      </w:pPr>
      <w:r>
        <w:rPr>
          <w:rFonts w:eastAsia="arial" w:cs="arial" w:ascii="arial" w:hAnsi="arial"/>
          <w:b w:val="false"/>
          <w:i w:val="false"/>
          <w:color w:val="000000"/>
          <w:sz w:val="20"/>
          <w:u w:val="none"/>
          <w:shd w:fill="auto" w:val="clear"/>
        </w:rPr>
        <w:t>- Le titulaire subira par jour de retard, par rapport au délai fixé pour la mise à disposition de l'outil web de gestion et de l’intégration du programme, et sans mise en demeure préalable, une pénalité de 200 Euros.</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Le titulaire subira par jour de retard, par rapport au délai fixé pour la fabrication et l’envoi d'une carte d'achat et l’envoi du code secret, et sans mise en demeure préalable, une pénalité de 100 euros.</w:t>
      </w:r>
    </w:p>
    <w:p>
      <w:pPr>
        <w:pStyle w:val="Normal"/>
        <w:ind w:left="0" w:hanging="0"/>
        <w:rPr>
          <w:highlight w:val="none"/>
          <w:shd w:fill="auto" w:val="clear"/>
        </w:rPr>
      </w:pPr>
      <w:r>
        <w:rPr>
          <w:rFonts w:eastAsia="arial" w:cs="arial" w:ascii="arial" w:hAnsi="arial"/>
          <w:b w:val="false"/>
          <w:i w:val="false"/>
          <w:color w:val="000000"/>
          <w:sz w:val="20"/>
          <w:u w:val="none"/>
          <w:shd w:fill="auto" w:val="clear"/>
        </w:rPr>
        <w:t>- Le titulaire subira par jour de retard, par rapport au délai fixé pour la formation en présentiel ou en distanciel, et sans mise en demeure préalable une pénalité de 100 euros.</w:t>
      </w:r>
    </w:p>
    <w:p>
      <w:pPr>
        <w:pStyle w:val="Normal"/>
        <w:ind w:left="0" w:hanging="0"/>
        <w:rPr>
          <w:strike/>
          <w:highlight w:val="none"/>
          <w:shd w:fill="FFFF00" w:val="clear"/>
        </w:rPr>
      </w:pPr>
      <w:r>
        <w:rPr>
          <w:strike/>
          <w:shd w:fill="FFFF00" w:val="clear"/>
        </w:rPr>
      </w:r>
    </w:p>
    <w:p>
      <w:pPr>
        <w:pStyle w:val="Normal"/>
        <w:ind w:left="0" w:hanging="0"/>
        <w:rPr>
          <w:strike/>
          <w:color w:val="C9211E"/>
          <w:highlight w:val="none"/>
          <w:shd w:fill="FFFF00" w:val="clear"/>
        </w:rPr>
      </w:pPr>
      <w:r>
        <w:rPr>
          <w:strike/>
          <w:color w:val="C9211E"/>
          <w:shd w:fill="FFFF00" w:val="clear"/>
        </w:rPr>
      </w:r>
    </w:p>
    <w:p>
      <w:pPr>
        <w:pStyle w:val="Normal"/>
        <w:rPr>
          <w:highlight w:val="none"/>
          <w:shd w:fill="auto" w:val="clear"/>
        </w:rPr>
      </w:pPr>
      <w:r>
        <w:rPr>
          <w:rFonts w:eastAsia="arial" w:cs="arial" w:ascii="arial" w:hAnsi="arial"/>
          <w:b w:val="false"/>
          <w:i w:val="false"/>
          <w:color w:val="000000"/>
          <w:sz w:val="20"/>
          <w:u w:val="none"/>
          <w:shd w:fill="auto" w:val="clear"/>
        </w:rPr>
        <w:t xml:space="preserve">En application de l'article 14.1.2 du CCAG FCS, le montant total des pénalités de retard ne peut excéder 10 % du montant total hors taxes </w:t>
      </w:r>
      <w:r>
        <w:rPr>
          <w:rFonts w:eastAsia="arial" w:cs="arial" w:ascii="arial" w:hAnsi="arial"/>
          <w:b/>
          <w:i w:val="false"/>
          <w:color w:val="000000"/>
          <w:sz w:val="20"/>
          <w:u w:val="none"/>
          <w:shd w:fill="auto" w:val="clear"/>
        </w:rPr>
        <w:t>du bon de commande.</w:t>
      </w:r>
    </w:p>
    <w:p>
      <w:pPr>
        <w:pStyle w:val="Normal"/>
        <w:rPr>
          <w:highlight w:val="none"/>
          <w:shd w:fill="auto" w:val="clear"/>
        </w:rPr>
      </w:pPr>
      <w:r>
        <w:rPr>
          <w:rFonts w:eastAsia="arial" w:cs="arial" w:ascii="arial" w:hAnsi="arial"/>
          <w:b w:val="false"/>
          <w:i w:val="false"/>
          <w:color w:val="000000"/>
          <w:sz w:val="20"/>
          <w:u w:val="none"/>
          <w:shd w:fill="auto" w:val="clear"/>
        </w:rPr>
        <w:t xml:space="preserve">En application de l'article 14.1.3 du CCAG FCS, le titulaire est exonéré des pénalités dont le montant ne dépasse pas </w:t>
      </w:r>
      <w:r>
        <w:rPr>
          <w:rFonts w:eastAsia="arial" w:cs="arial" w:ascii="arial" w:hAnsi="arial"/>
          <w:b/>
          <w:i w:val="false"/>
          <w:color w:val="000000"/>
          <w:sz w:val="20"/>
          <w:u w:val="none"/>
          <w:shd w:fill="auto" w:val="clear"/>
        </w:rPr>
        <w:t xml:space="preserve">1000 euros </w:t>
      </w:r>
      <w:r>
        <w:rPr>
          <w:rFonts w:eastAsia="arial" w:cs="arial" w:ascii="arial" w:hAnsi="arial"/>
          <w:b w:val="false"/>
          <w:i w:val="false"/>
          <w:color w:val="000000"/>
          <w:sz w:val="20"/>
          <w:u w:val="none"/>
          <w:shd w:fill="auto" w:val="clear"/>
        </w:rPr>
        <w:t>pour l'ensemble du marché.</w:t>
      </w:r>
    </w:p>
    <w:p>
      <w:pPr>
        <w:pStyle w:val="Titre2"/>
        <w:numPr>
          <w:ilvl w:val="1"/>
          <w:numId w:val="2"/>
        </w:numPr>
        <w:rPr>
          <w:highlight w:val="none"/>
          <w:shd w:fill="auto" w:val="clear"/>
        </w:rPr>
      </w:pPr>
      <w:bookmarkStart w:id="46" w:name="_Toc4545"/>
      <w:r>
        <w:rPr>
          <w:shd w:fill="auto" w:val="clear"/>
        </w:rPr>
        <w:t>Pénalités pour non respect des obligations environnementales du titulaire</w:t>
      </w:r>
      <w:bookmarkEnd w:id="46"/>
    </w:p>
    <w:p>
      <w:pPr>
        <w:pStyle w:val="Normal"/>
        <w:rPr>
          <w:highlight w:val="none"/>
          <w:shd w:fill="auto" w:val="clear"/>
        </w:rPr>
      </w:pPr>
      <w:r>
        <w:rPr>
          <w:rFonts w:eastAsia="arial" w:cs="arial" w:ascii="arial" w:hAnsi="arial"/>
          <w:b w:val="false"/>
          <w:i w:val="false"/>
          <w:color w:val="000000"/>
          <w:sz w:val="20"/>
          <w:u w:val="none"/>
          <w:shd w:fill="auto" w:val="clear"/>
        </w:rPr>
        <w:t>Il est dérogé à l'article à l'article 16.2 au CCAG/FCS.</w:t>
      </w:r>
    </w:p>
    <w:p>
      <w:pPr>
        <w:pStyle w:val="Normal"/>
        <w:rPr>
          <w:highlight w:val="none"/>
          <w:shd w:fill="auto" w:val="clear"/>
        </w:rPr>
      </w:pPr>
      <w:r>
        <w:rPr>
          <w:rFonts w:eastAsia="arial" w:cs="arial" w:ascii="arial" w:hAnsi="arial"/>
          <w:b w:val="false"/>
          <w:i w:val="false"/>
          <w:color w:val="000000"/>
          <w:sz w:val="20"/>
          <w:u w:val="none"/>
          <w:shd w:fill="auto" w:val="clear"/>
        </w:rPr>
        <w:t xml:space="preserve">Au titre du développement durable, le titulaire propose dans son Mémoire Technique la démarche environnementale qu'il engagera pour la bonne exécution du marché. </w:t>
      </w:r>
    </w:p>
    <w:p>
      <w:pPr>
        <w:pStyle w:val="Normal"/>
        <w:rPr>
          <w:highlight w:val="none"/>
          <w:shd w:fill="auto" w:val="clear"/>
        </w:rPr>
      </w:pPr>
      <w:r>
        <w:rPr>
          <w:rFonts w:eastAsia="arial" w:cs="arial" w:ascii="arial" w:hAnsi="arial"/>
          <w:b w:val="false"/>
          <w:i w:val="false"/>
          <w:color w:val="000000"/>
          <w:sz w:val="20"/>
          <w:u w:val="none"/>
          <w:shd w:fill="auto" w:val="clear"/>
        </w:rPr>
        <w:t>Le Mémoire technique, pièce contractuelle du marché en application du présent CCAP/CCP, constitue un engagement du titulaire.</w:t>
      </w:r>
    </w:p>
    <w:p>
      <w:pPr>
        <w:pStyle w:val="Normal"/>
        <w:rPr>
          <w:highlight w:val="none"/>
          <w:shd w:fill="auto" w:val="clear"/>
        </w:rPr>
      </w:pPr>
      <w:r>
        <w:rPr>
          <w:rFonts w:eastAsia="arial" w:cs="arial" w:ascii="arial" w:hAnsi="arial"/>
          <w:b w:val="false"/>
          <w:i w:val="false"/>
          <w:color w:val="000000"/>
          <w:sz w:val="20"/>
          <w:u w:val="none"/>
          <w:shd w:fill="auto" w:val="clear"/>
        </w:rPr>
        <w:t>Le pouvoir adjudicateur procédera à des contrôles afin de s'assurer de la bonne mise en œuvre des engagements du titulaire, et se réserve la possibilité d'opérer par contrôle inopiné.</w:t>
      </w:r>
    </w:p>
    <w:p>
      <w:pPr>
        <w:pStyle w:val="Normal"/>
        <w:rPr>
          <w:highlight w:val="none"/>
          <w:shd w:fill="auto" w:val="clear"/>
        </w:rPr>
      </w:pPr>
      <w:r>
        <w:rPr>
          <w:rFonts w:eastAsia="arial" w:cs="arial" w:ascii="arial" w:hAnsi="arial"/>
          <w:b w:val="false"/>
          <w:i w:val="false"/>
          <w:color w:val="000000"/>
          <w:sz w:val="20"/>
          <w:u w:val="none"/>
          <w:shd w:fill="auto" w:val="clear"/>
        </w:rPr>
        <w:t xml:space="preserve">Sans mise en demeure préalable, le pouvoir adjudicateur appliquera une pénalité dont le montant est fixé à </w:t>
      </w:r>
      <w:r>
        <w:rPr>
          <w:rFonts w:eastAsia="arial" w:cs="arial" w:ascii="arial" w:hAnsi="arial"/>
          <w:b/>
          <w:i w:val="false"/>
          <w:color w:val="000000"/>
          <w:sz w:val="20"/>
          <w:u w:val="none"/>
          <w:shd w:fill="auto" w:val="clear"/>
        </w:rPr>
        <w:t>50 euros</w:t>
      </w:r>
      <w:r>
        <w:rPr>
          <w:rFonts w:eastAsia="arial" w:cs="arial" w:ascii="arial" w:hAnsi="arial"/>
          <w:b w:val="false"/>
          <w:i w:val="false"/>
          <w:color w:val="000000"/>
          <w:sz w:val="20"/>
          <w:u w:val="none"/>
          <w:shd w:fill="auto" w:val="clear"/>
        </w:rPr>
        <w:t xml:space="preserve"> par manquement constaté.</w:t>
      </w:r>
    </w:p>
    <w:p>
      <w:pPr>
        <w:pStyle w:val="Titre2"/>
        <w:numPr>
          <w:ilvl w:val="1"/>
          <w:numId w:val="2"/>
        </w:numPr>
        <w:rPr>
          <w:highlight w:val="none"/>
          <w:shd w:fill="auto" w:val="clear"/>
        </w:rPr>
      </w:pPr>
      <w:bookmarkStart w:id="47" w:name="_Toc3888"/>
      <w:r>
        <w:rPr>
          <w:shd w:fill="auto" w:val="clear"/>
        </w:rPr>
        <w:t>Pénalités pour non respect des dispositions du Code du Travail</w:t>
      </w:r>
      <w:bookmarkEnd w:id="47"/>
    </w:p>
    <w:p>
      <w:pPr>
        <w:pStyle w:val="Normal"/>
        <w:rPr>
          <w:highlight w:val="none"/>
          <w:shd w:fill="auto" w:val="clear"/>
        </w:rPr>
      </w:pPr>
      <w:r>
        <w:rPr>
          <w:rFonts w:eastAsia="arial" w:cs="arial" w:ascii="arial" w:hAnsi="arial"/>
          <w:b w:val="false"/>
          <w:i w:val="false"/>
          <w:color w:val="000000"/>
          <w:sz w:val="20"/>
          <w:u w:val="none"/>
          <w:shd w:fill="auto" w:val="clear"/>
        </w:rPr>
        <w:t xml:space="preserve">En application de l'article 93 de la loi n°2011-525 du 17/05/2011 de simplification et d'amélioration de la qualité du droit, le titulaire qui ne s'acquitte pas des formalités mentionnées aux articles L.8221-3 à L.8221-5 du Code du Travail se verra infliger une pénalité d'un montant </w:t>
      </w:r>
      <w:r>
        <w:rPr>
          <w:rFonts w:eastAsia="arial" w:cs="arial" w:ascii="arial" w:hAnsi="arial"/>
          <w:b/>
          <w:i w:val="false"/>
          <w:color w:val="000000"/>
          <w:sz w:val="20"/>
          <w:u w:val="none"/>
          <w:shd w:fill="auto" w:val="clear"/>
        </w:rPr>
        <w:t>de</w:t>
      </w:r>
      <w:r>
        <w:rPr>
          <w:rFonts w:eastAsia="arial" w:cs="arial" w:ascii="arial" w:hAnsi="arial"/>
          <w:b w:val="false"/>
          <w:i w:val="false"/>
          <w:color w:val="000000"/>
          <w:sz w:val="20"/>
          <w:u w:val="none"/>
          <w:shd w:fill="auto" w:val="clear"/>
        </w:rPr>
        <w:t xml:space="preserve"> 50</w:t>
      </w:r>
      <w:r>
        <w:rPr>
          <w:rFonts w:eastAsia="arial" w:cs="arial" w:ascii="arial" w:hAnsi="arial"/>
          <w:b/>
          <w:i w:val="false"/>
          <w:color w:val="000000"/>
          <w:sz w:val="20"/>
          <w:u w:val="none"/>
          <w:shd w:fill="auto" w:val="clear"/>
        </w:rPr>
        <w:t xml:space="preserve"> euros par jour de retard.</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montant de cette pénalité sera au plus égal à 10% du montant du présent contrat et ne pourra excéder le montant des amendes encourues en application des articles L.8224-1, L.8224-2 et L.8224-5 du Code du Travail.</w:t>
      </w:r>
    </w:p>
    <w:p>
      <w:pPr>
        <w:pStyle w:val="Titre2"/>
        <w:numPr>
          <w:ilvl w:val="1"/>
          <w:numId w:val="2"/>
        </w:numPr>
        <w:rPr>
          <w:highlight w:val="none"/>
          <w:shd w:fill="auto" w:val="clear"/>
        </w:rPr>
      </w:pPr>
      <w:bookmarkStart w:id="48" w:name="_Toc3889"/>
      <w:r>
        <w:rPr>
          <w:shd w:fill="auto" w:val="clear"/>
        </w:rPr>
        <w:t>Autres pénalités</w:t>
      </w:r>
      <w:bookmarkEnd w:id="48"/>
    </w:p>
    <w:p>
      <w:pPr>
        <w:pStyle w:val="Normal"/>
        <w:rPr>
          <w:highlight w:val="none"/>
          <w:shd w:fill="auto" w:val="clear"/>
        </w:rPr>
      </w:pPr>
      <w:r>
        <w:rPr>
          <w:rFonts w:eastAsia="arial" w:cs="arial" w:ascii="arial" w:hAnsi="arial"/>
          <w:b w:val="false"/>
          <w:i w:val="false"/>
          <w:color w:val="000000"/>
          <w:sz w:val="20"/>
          <w:u w:val="none"/>
          <w:shd w:fill="auto" w:val="clear"/>
        </w:rPr>
        <w:t>Il n'est pas prévu d'autres pénalités.</w:t>
      </w:r>
    </w:p>
    <w:p>
      <w:pPr>
        <w:pStyle w:val="Titre1"/>
        <w:numPr>
          <w:ilvl w:val="0"/>
          <w:numId w:val="2"/>
        </w:numPr>
        <w:rPr>
          <w:highlight w:val="none"/>
          <w:shd w:fill="auto" w:val="clear"/>
        </w:rPr>
      </w:pPr>
      <w:bookmarkStart w:id="49" w:name="_Toc3890"/>
      <w:r>
        <w:rPr>
          <w:shd w:fill="auto" w:val="clear"/>
        </w:rPr>
        <w:t>RESILIATION ET EXECUTION DES PRESTATIONS AUX FRAIS ET RISQUES DU TITULAIRE</w:t>
      </w:r>
      <w:bookmarkEnd w:id="49"/>
    </w:p>
    <w:p>
      <w:pPr>
        <w:pStyle w:val="Normal"/>
        <w:rPr>
          <w:highlight w:val="none"/>
          <w:shd w:fill="auto" w:val="clear"/>
        </w:rPr>
      </w:pPr>
      <w:r>
        <w:rPr>
          <w:rFonts w:eastAsia="arial" w:cs="arial" w:ascii="arial" w:hAnsi="arial"/>
          <w:b w:val="false"/>
          <w:i w:val="false"/>
          <w:color w:val="000000"/>
          <w:sz w:val="20"/>
          <w:u w:val="none"/>
          <w:shd w:fill="auto" w:val="clear"/>
        </w:rPr>
        <w:t>L'ensemble des dispositions du CCAG/FCS (chapitre 7) est applicable.</w:t>
      </w:r>
    </w:p>
    <w:p>
      <w:pPr>
        <w:pStyle w:val="Normal"/>
        <w:rPr/>
      </w:pPr>
      <w:r>
        <w:rPr>
          <w:rFonts w:eastAsia="arial" w:cs="arial" w:ascii="arial" w:hAnsi="arial"/>
          <w:b w:val="false"/>
          <w:i w:val="false"/>
          <w:color w:val="000000"/>
          <w:sz w:val="20"/>
          <w:u w:val="none"/>
        </w:rPr>
        <w:t>En cas d'inexactitude des renseignements prévus aux articles R2143-6 à 16 du Code de la commande publique ou de refus de produire les pièces prévues aux articles D.8222-5 ou D.8222-7 et D.8222-8 du Code du travail, le marché sera résilié aux torts du cocontractant de la personne publique et exécuté à ses frais et risques.</w:t>
      </w:r>
    </w:p>
    <w:p>
      <w:pPr>
        <w:pStyle w:val="Titre1"/>
        <w:numPr>
          <w:ilvl w:val="0"/>
          <w:numId w:val="2"/>
        </w:numPr>
        <w:rPr/>
      </w:pPr>
      <w:bookmarkStart w:id="50" w:name="_Toc3891"/>
      <w:r>
        <w:rPr/>
        <w:t>CLAUSES DE GESTION DES DONNEES</w:t>
      </w:r>
      <w:bookmarkEnd w:id="50"/>
    </w:p>
    <w:p>
      <w:pPr>
        <w:pStyle w:val="Titre2"/>
        <w:numPr>
          <w:ilvl w:val="1"/>
          <w:numId w:val="2"/>
        </w:numPr>
        <w:rPr/>
      </w:pPr>
      <w:bookmarkStart w:id="51" w:name="_Toc3892"/>
      <w:r>
        <w:rPr/>
        <w:t xml:space="preserve">Les contraintes réglementaires </w:t>
      </w:r>
      <w:bookmarkEnd w:id="51"/>
    </w:p>
    <w:p>
      <w:pPr>
        <w:pStyle w:val="Titre3"/>
        <w:numPr>
          <w:ilvl w:val="2"/>
          <w:numId w:val="2"/>
        </w:numPr>
        <w:rPr/>
      </w:pPr>
      <w:bookmarkStart w:id="52" w:name="_Toc3893"/>
      <w:r>
        <w:rPr/>
        <w:t>Le RGS</w:t>
      </w:r>
      <w:bookmarkEnd w:id="52"/>
    </w:p>
    <w:p>
      <w:pPr>
        <w:pStyle w:val="Normal"/>
        <w:rPr/>
      </w:pPr>
      <w:r>
        <w:rPr>
          <w:rFonts w:eastAsia="arial" w:cs="arial" w:ascii="arial" w:hAnsi="arial"/>
          <w:b w:val="false"/>
          <w:i w:val="false"/>
          <w:color w:val="000000"/>
          <w:sz w:val="20"/>
          <w:u w:val="none"/>
        </w:rPr>
        <w:t xml:space="preserve">Le décret </w:t>
      </w:r>
      <w:r>
        <w:rPr>
          <w:rFonts w:eastAsia="arial" w:cs="arial" w:ascii="arial" w:hAnsi="arial"/>
          <w:b/>
          <w:i w:val="false"/>
          <w:color w:val="000000"/>
          <w:sz w:val="20"/>
          <w:u w:val="none"/>
        </w:rPr>
        <w:t>RGS</w:t>
      </w:r>
      <w:r>
        <w:rPr>
          <w:rFonts w:eastAsia="arial" w:cs="arial" w:ascii="arial" w:hAnsi="arial"/>
          <w:b w:val="false"/>
          <w:i/>
          <w:color w:val="000000"/>
          <w:sz w:val="20"/>
          <w:u w:val="none"/>
        </w:rPr>
        <w:t>(Référentiel Général de Sécurité)</w:t>
      </w:r>
      <w:r>
        <w:rPr>
          <w:rFonts w:eastAsia="arial" w:cs="arial" w:ascii="arial" w:hAnsi="arial"/>
          <w:b w:val="false"/>
          <w:i w:val="false"/>
          <w:color w:val="000000"/>
          <w:sz w:val="20"/>
          <w:u w:val="none"/>
        </w:rPr>
        <w:t>, pris en application de</w:t>
      </w:r>
      <w:r>
        <w:rPr>
          <w:rFonts w:eastAsia="arial" w:cs="arial" w:ascii="arial" w:hAnsi="arial"/>
          <w:b/>
          <w:i w:val="false"/>
          <w:color w:val="000000"/>
          <w:sz w:val="20"/>
          <w:u w:val="none"/>
        </w:rPr>
        <w:t xml:space="preserve"> l'ordonnance n° 2005-1516 du 8 Décembre 2005</w:t>
      </w:r>
      <w:r>
        <w:rPr>
          <w:rFonts w:eastAsia="arial" w:cs="arial" w:ascii="arial" w:hAnsi="arial"/>
          <w:b w:val="false"/>
          <w:i w:val="false"/>
          <w:color w:val="000000"/>
          <w:sz w:val="20"/>
          <w:u w:val="none"/>
        </w:rPr>
        <w:t>, dite « ordonnance télé-services » et en vigueur depuis le 19 Mai 2013, s'impose à la totalité des systèmes d'information, et nous oblige à garantir la sécurité des échanges électroniques entre le citoyen et l'administration, entre deux administrations ou entre une administration et ses partenaires. Ces échanges électroniques sont également nommés</w:t>
      </w:r>
      <w:r>
        <w:rPr>
          <w:rFonts w:eastAsia="arial" w:cs="arial" w:ascii="arial" w:hAnsi="arial"/>
          <w:b/>
          <w:i w:val="false"/>
          <w:color w:val="000000"/>
          <w:sz w:val="20"/>
          <w:u w:val="none"/>
        </w:rPr>
        <w:t xml:space="preserve"> télé-services</w:t>
      </w:r>
      <w:r>
        <w:rPr>
          <w:rFonts w:eastAsia="arial" w:cs="arial" w:ascii="arial" w:hAnsi="arial"/>
          <w:b w:val="false"/>
          <w:i w:val="false"/>
          <w:color w:val="000000"/>
          <w:sz w:val="20"/>
          <w:u w:val="none"/>
        </w:rPr>
        <w:t>.</w:t>
      </w:r>
    </w:p>
    <w:p>
      <w:pPr>
        <w:pStyle w:val="Titre3"/>
        <w:numPr>
          <w:ilvl w:val="2"/>
          <w:numId w:val="2"/>
        </w:numPr>
        <w:rPr/>
      </w:pPr>
      <w:bookmarkStart w:id="53" w:name="_Toc3894"/>
      <w:r>
        <w:rPr/>
        <w:t>Le Règlement Général sur la Protection des Données (RGPD)</w:t>
      </w:r>
      <w:bookmarkEnd w:id="53"/>
    </w:p>
    <w:p>
      <w:pPr>
        <w:pStyle w:val="Normal"/>
        <w:rPr/>
      </w:pPr>
      <w:r>
        <w:rPr>
          <w:rFonts w:eastAsia="arial" w:cs="arial" w:ascii="arial" w:hAnsi="arial"/>
          <w:b w:val="false"/>
          <w:i w:val="false"/>
          <w:color w:val="000000"/>
          <w:sz w:val="20"/>
          <w:u w:val="none"/>
        </w:rPr>
        <w:t>Sont applicables dans le cadre de ce marché les dispositions du Règlement 2016/679 du Parlement européen et du Conseil du 27 avril 2016 relatif à la protection des personnes physiques à l'égard du traitement des données à caractère personnel et à la libre circulation de ces données (Règlement Général sur la Protection des Données).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Il est notamment nécessaire de confirmer le respect de l'article 44 du Règlement Général sur la Protection des Données qui précise que le transfert de données personnelles à l'extérieur de l'Union Européenne ne peut se faire qu'à certaines conditions contractuelles et en co-responsabilité du responsable de traitement et du titulaire du marché (sous-traitant au sens du RGPD)</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L'ensemble des conditions sont définies dans l'annexe « Protection des données et Politique de sécurité » de l'acte d'engagement, le cas échéant.</w:t>
      </w:r>
    </w:p>
    <w:p>
      <w:pPr>
        <w:pStyle w:val="Titre3"/>
        <w:numPr>
          <w:ilvl w:val="2"/>
          <w:numId w:val="2"/>
        </w:numPr>
        <w:rPr/>
      </w:pPr>
      <w:bookmarkStart w:id="54" w:name="_Toc3895"/>
      <w:r>
        <w:rPr/>
        <w:t>Le Code du Patrimoine</w:t>
      </w:r>
      <w:bookmarkEnd w:id="54"/>
    </w:p>
    <w:p>
      <w:pPr>
        <w:pStyle w:val="Normal"/>
        <w:rPr/>
      </w:pPr>
      <w:r>
        <w:rPr>
          <w:rFonts w:eastAsia="arial" w:cs="arial" w:ascii="arial" w:hAnsi="arial"/>
          <w:b w:val="false"/>
          <w:i w:val="false"/>
          <w:color w:val="000000"/>
          <w:sz w:val="20"/>
          <w:u w:val="none"/>
        </w:rPr>
        <w:t>Les documents et données produits ou reçus par la Ville de Marseille constituent des archives publiques.</w:t>
      </w:r>
    </w:p>
    <w:p>
      <w:pPr>
        <w:pStyle w:val="Normal"/>
        <w:spacing w:before="120" w:after="0"/>
        <w:rPr/>
      </w:pPr>
      <w:r>
        <w:rPr>
          <w:rFonts w:eastAsia="arial" w:cs="arial" w:ascii="arial" w:hAnsi="arial"/>
          <w:b w:val="false"/>
          <w:i w:val="false"/>
          <w:color w:val="000000"/>
          <w:sz w:val="20"/>
          <w:u w:val="none"/>
        </w:rPr>
        <w:t xml:space="preserve">Or, la </w:t>
      </w:r>
      <w:r>
        <w:rPr>
          <w:rFonts w:eastAsia="arial" w:cs="arial" w:ascii="arial" w:hAnsi="arial"/>
          <w:b/>
          <w:i w:val="false"/>
          <w:color w:val="000000"/>
          <w:sz w:val="20"/>
          <w:u w:val="none"/>
        </w:rPr>
        <w:t>loi n°2015-195</w:t>
      </w:r>
      <w:r>
        <w:rPr>
          <w:rFonts w:eastAsia="arial" w:cs="arial" w:ascii="arial" w:hAnsi="arial"/>
          <w:b w:val="false"/>
          <w:i w:val="false"/>
          <w:color w:val="000000"/>
          <w:sz w:val="20"/>
          <w:u w:val="none"/>
        </w:rPr>
        <w:t xml:space="preserve"> promulguée le 20 février 2015 et modifiant</w:t>
      </w:r>
      <w:r>
        <w:rPr>
          <w:rFonts w:eastAsia="arial" w:cs="arial" w:ascii="arial" w:hAnsi="arial"/>
          <w:b/>
          <w:i w:val="false"/>
          <w:color w:val="000000"/>
          <w:sz w:val="20"/>
          <w:u w:val="none"/>
        </w:rPr>
        <w:t xml:space="preserve"> l'article L.111-1 du Code du Patrimoine</w:t>
      </w:r>
      <w:r>
        <w:rPr>
          <w:rFonts w:eastAsia="arial" w:cs="arial" w:ascii="arial" w:hAnsi="arial"/>
          <w:b w:val="false"/>
          <w:i w:val="false"/>
          <w:color w:val="000000"/>
          <w:sz w:val="20"/>
          <w:u w:val="none"/>
        </w:rPr>
        <w:t>, qualifie les archives publiques de "</w:t>
      </w:r>
      <w:r>
        <w:rPr>
          <w:rFonts w:eastAsia="arial" w:cs="arial" w:ascii="arial" w:hAnsi="arial"/>
          <w:b w:val="false"/>
          <w:i w:val="false"/>
          <w:color w:val="000000"/>
          <w:sz w:val="20"/>
          <w:u w:val="single"/>
        </w:rPr>
        <w:t>Trésors nationaux</w:t>
      </w:r>
      <w:r>
        <w:rPr>
          <w:rFonts w:eastAsia="arial" w:cs="arial" w:ascii="arial" w:hAnsi="arial"/>
          <w:b w:val="false"/>
          <w:i w:val="false"/>
          <w:color w:val="000000"/>
          <w:sz w:val="20"/>
          <w:u w:val="none"/>
        </w:rPr>
        <w:t>" et ne peuvent donc sortir du territoire douanier qu'après autorisation du Service inter-ministériel des Archives de France (SIAF) et seulement dans certains cas précis.</w:t>
      </w:r>
    </w:p>
    <w:p>
      <w:pPr>
        <w:pStyle w:val="Titre2"/>
        <w:numPr>
          <w:ilvl w:val="1"/>
          <w:numId w:val="2"/>
        </w:numPr>
        <w:rPr/>
      </w:pPr>
      <w:bookmarkStart w:id="55" w:name="_Toc3896"/>
      <w:r>
        <w:rPr/>
        <w:t>Les clauses générales de confidentialité</w:t>
      </w:r>
      <w:bookmarkEnd w:id="55"/>
    </w:p>
    <w:p>
      <w:pPr>
        <w:pStyle w:val="Normal"/>
        <w:rPr/>
      </w:pPr>
      <w:r>
        <w:rPr>
          <w:rFonts w:eastAsia="arial" w:cs="arial" w:ascii="arial" w:hAnsi="arial"/>
          <w:b w:val="false"/>
          <w:i w:val="false"/>
          <w:color w:val="000000"/>
          <w:sz w:val="20"/>
          <w:u w:val="none"/>
        </w:rPr>
        <w:t xml:space="preserve">Les supports informatiques physiques et documents fournis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à la société prestataire restent la propriété de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Les données</w:t>
      </w:r>
      <w:r>
        <w:rPr>
          <w:rFonts w:eastAsia="arial" w:cs="arial" w:ascii="arial" w:hAnsi="arial"/>
          <w:b w:val="false"/>
          <w:i w:val="false"/>
          <w:color w:val="000000"/>
          <w:sz w:val="20"/>
          <w:u w:val="none"/>
        </w:rPr>
        <w:t xml:space="preserve"> contenues dans ces supports et documents sont </w:t>
      </w:r>
      <w:r>
        <w:rPr>
          <w:rFonts w:eastAsia="arial" w:cs="arial" w:ascii="arial" w:hAnsi="arial"/>
          <w:b/>
          <w:i w:val="false"/>
          <w:color w:val="000000"/>
          <w:sz w:val="20"/>
          <w:u w:val="none"/>
        </w:rPr>
        <w:t>strictement couvertes par le secret professionnel</w:t>
      </w:r>
      <w:r>
        <w:rPr>
          <w:rFonts w:eastAsia="arial" w:cs="arial" w:ascii="arial" w:hAnsi="arial"/>
          <w:b w:val="false"/>
          <w:i w:val="false"/>
          <w:color w:val="000000"/>
          <w:sz w:val="20"/>
          <w:u w:val="none"/>
        </w:rPr>
        <w:t xml:space="preserve"> (article 226-13 du Code pénal), il en va de même pour toutes les données dont la société prestataire prendra connaissance à l'occasion de l'exécution de ce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Les données produites, collectées, traitées ou gérées par la collectivité ou par le concessionnaire/titulaire du marché pour son compte, dans le cadre de ses activités de service public et en lien avec ses compétences, en ce qu'elles sont nécessaires au fonctionnement du service public, sont réputées appartenir à l'acheteur public dès l'origine. Le titulaire du marché s'engage à permettre à l'acheteur public d'accéder librement à ces données à tout moment de l'exécution du marché public. A l'issue du marché public, le titulaire s'engage à remettre gratuitement à l'acheteur public toutes les données visées dans cet article et à apporter la preuve de leur destruction.</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société</w:t>
      </w:r>
      <w:r>
        <w:rPr>
          <w:rFonts w:eastAsia="arial" w:cs="arial" w:ascii="arial" w:hAnsi="arial"/>
          <w:b w:val="false"/>
          <w:i w:val="false"/>
          <w:color w:val="000000"/>
          <w:sz w:val="20"/>
          <w:u w:val="none"/>
        </w:rPr>
        <w:t xml:space="preserve"> prestataire s'engage donc à respecter les obligations suivantes et à les faire respecter par son personnel :</w:t>
      </w:r>
    </w:p>
    <w:p>
      <w:pPr>
        <w:pStyle w:val="Normal"/>
        <w:spacing w:before="120" w:after="0"/>
        <w:rPr/>
      </w:pPr>
      <w:r>
        <w:rPr/>
      </w:r>
    </w:p>
    <w:p>
      <w:pPr>
        <w:pStyle w:val="Normal"/>
        <w:spacing w:before="120" w:after="0"/>
        <w:rPr/>
      </w:pPr>
      <w:r>
        <w:rPr/>
      </w:r>
    </w:p>
    <w:p>
      <w:pPr>
        <w:pStyle w:val="Normal"/>
        <w:numPr>
          <w:ilvl w:val="0"/>
          <w:numId w:val="3"/>
        </w:numPr>
        <w:rPr/>
      </w:pPr>
      <w:r>
        <w:rPr>
          <w:rFonts w:eastAsia="arial" w:cs="arial" w:ascii="arial" w:hAnsi="arial"/>
          <w:b w:val="false"/>
          <w:i w:val="false"/>
          <w:color w:val="000000"/>
          <w:sz w:val="20"/>
          <w:u w:val="none"/>
        </w:rPr>
        <w:t>ne prendre aucune copie des documents et supports d'informations qui lui sont confiés, à l'exception de celles nécessaires à l'exécution de la prestation prévue dans ce marché, l'accord préalable du responsable du fichier est nécessaire ;</w:t>
      </w:r>
    </w:p>
    <w:p>
      <w:pPr>
        <w:pStyle w:val="Normal"/>
        <w:numPr>
          <w:ilvl w:val="0"/>
          <w:numId w:val="3"/>
        </w:numPr>
        <w:rPr/>
      </w:pPr>
      <w:r>
        <w:rPr>
          <w:rFonts w:eastAsia="arial" w:cs="arial" w:ascii="arial" w:hAnsi="arial"/>
          <w:b w:val="false"/>
          <w:i w:val="false"/>
          <w:color w:val="000000"/>
          <w:sz w:val="20"/>
          <w:u w:val="none"/>
        </w:rPr>
        <w:t>ne pas utiliser les documents et informations traités à des fins autres que celles spécifiées dans ce marché ;</w:t>
      </w:r>
    </w:p>
    <w:p>
      <w:pPr>
        <w:pStyle w:val="Normal"/>
        <w:numPr>
          <w:ilvl w:val="0"/>
          <w:numId w:val="3"/>
        </w:numPr>
        <w:rPr/>
      </w:pPr>
      <w:r>
        <w:rPr>
          <w:rFonts w:eastAsia="arial" w:cs="arial" w:ascii="arial" w:hAnsi="arial"/>
          <w:b w:val="false"/>
          <w:i w:val="false"/>
          <w:color w:val="000000"/>
          <w:sz w:val="20"/>
          <w:u w:val="none"/>
        </w:rPr>
        <w:t>ne pas divulguer ces documents ou informations à d'autres personnes, qu'il s'agisse de personnes privées ou publiques, physiques ou morales ;</w:t>
      </w:r>
    </w:p>
    <w:p>
      <w:pPr>
        <w:pStyle w:val="Normal"/>
        <w:numPr>
          <w:ilvl w:val="0"/>
          <w:numId w:val="3"/>
        </w:numPr>
        <w:rPr/>
      </w:pPr>
      <w:r>
        <w:rPr>
          <w:rFonts w:eastAsia="arial" w:cs="arial" w:ascii="arial" w:hAnsi="arial"/>
          <w:b w:val="false"/>
          <w:i w:val="false"/>
          <w:color w:val="000000"/>
          <w:sz w:val="20"/>
          <w:u w:val="none"/>
        </w:rPr>
        <w:t>prendre toutes mesures permettant d'éviter toute utilisation détournée ou frauduleuse des fichiers informatiques en cours d'exécution du marché ;</w:t>
      </w:r>
    </w:p>
    <w:p>
      <w:pPr>
        <w:pStyle w:val="Normal"/>
        <w:numPr>
          <w:ilvl w:val="0"/>
          <w:numId w:val="3"/>
        </w:numPr>
        <w:rPr/>
      </w:pPr>
      <w:r>
        <w:rPr>
          <w:rFonts w:eastAsia="arial" w:cs="arial" w:ascii="arial" w:hAnsi="arial"/>
          <w:b w:val="false"/>
          <w:i w:val="false"/>
          <w:color w:val="000000"/>
          <w:sz w:val="20"/>
          <w:u w:val="none"/>
        </w:rPr>
        <w:t>prendre toutes mesures de sécurité, notamment matérielle, pour assurer la conservation et l'intégrité des documents et informations traités pendant la durée du marché ;</w:t>
      </w:r>
    </w:p>
    <w:p>
      <w:pPr>
        <w:pStyle w:val="Normal"/>
        <w:numPr>
          <w:ilvl w:val="0"/>
          <w:numId w:val="3"/>
        </w:numPr>
        <w:rPr/>
      </w:pPr>
      <w:r>
        <w:rPr>
          <w:rFonts w:eastAsia="arial" w:cs="arial" w:ascii="arial" w:hAnsi="arial"/>
          <w:b w:val="false"/>
          <w:i w:val="false"/>
          <w:color w:val="000000"/>
          <w:sz w:val="20"/>
          <w:u w:val="none"/>
        </w:rPr>
        <w:t>échanger des informations personnelles, sensibles ou des authentifications/identifications uniquement de manière chiffrée ;</w:t>
      </w:r>
    </w:p>
    <w:p>
      <w:pPr>
        <w:pStyle w:val="Normal"/>
        <w:numPr>
          <w:ilvl w:val="0"/>
          <w:numId w:val="3"/>
        </w:numPr>
        <w:rPr/>
      </w:pPr>
      <w:r>
        <w:rPr>
          <w:rFonts w:eastAsia="arial" w:cs="arial" w:ascii="arial" w:hAnsi="arial"/>
          <w:b w:val="false"/>
          <w:i w:val="false"/>
          <w:color w:val="000000"/>
          <w:sz w:val="20"/>
          <w:u w:val="none"/>
        </w:rPr>
        <w:t>en fin de marché à procéder à la mise à disposition de toutes les données appartenant à la Ville de Marseille ;</w:t>
      </w:r>
    </w:p>
    <w:p>
      <w:pPr>
        <w:pStyle w:val="Normal"/>
        <w:numPr>
          <w:ilvl w:val="0"/>
          <w:numId w:val="3"/>
        </w:numPr>
        <w:rPr/>
      </w:pPr>
      <w:r>
        <w:rPr>
          <w:rFonts w:eastAsia="arial" w:cs="arial" w:ascii="arial" w:hAnsi="arial"/>
          <w:b w:val="false"/>
          <w:i w:val="false"/>
          <w:color w:val="000000"/>
          <w:sz w:val="20"/>
          <w:u w:val="none"/>
        </w:rPr>
        <w:t>et en fin de marché à procéder à la destruction de tous fichiers manuels ou informatisés stockant les informations saisies.</w:t>
      </w:r>
    </w:p>
    <w:p>
      <w:pPr>
        <w:pStyle w:val="Titre2"/>
        <w:numPr>
          <w:ilvl w:val="1"/>
          <w:numId w:val="2"/>
        </w:numPr>
        <w:rPr/>
      </w:pPr>
      <w:bookmarkStart w:id="56" w:name="_Toc3897"/>
      <w:r>
        <w:rPr/>
        <w:t>Les contrôles</w:t>
      </w:r>
      <w:bookmarkEnd w:id="56"/>
    </w:p>
    <w:p>
      <w:pPr>
        <w:pStyle w:val="Normal"/>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se réserve le droit de procéder à toute vérification qui lui paraîtrait utile pour constater le respect des obligations réglementaires et techniques de sécurité par la société prestataire, notamment par la réalisation d'audits ponctuels.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En cas de non-respect des dispositions précitées, la responsabilité du titulaire peut également être engagée sur la base des dispositions des articles 226-5 et 226-17 du nouveau code pénal.</w:t>
      </w:r>
    </w:p>
    <w:p>
      <w:pPr>
        <w:pStyle w:val="Normal"/>
        <w:spacing w:before="120" w:after="0"/>
        <w:rPr/>
      </w:pPr>
      <w:r>
        <w:rPr/>
      </w:r>
    </w:p>
    <w:p>
      <w:pPr>
        <w:pStyle w:val="Normal"/>
        <w:spacing w:before="120" w:after="0"/>
        <w:rPr/>
      </w:pPr>
      <w:r>
        <w:rPr>
          <w:rFonts w:eastAsia="arial" w:cs="arial" w:ascii="arial" w:hAnsi="arial"/>
          <w:b/>
          <w:i w:val="false"/>
          <w:color w:val="000000"/>
          <w:sz w:val="20"/>
          <w:u w:val="none"/>
        </w:rPr>
        <w:t>La Ville de Marseille</w:t>
      </w:r>
      <w:r>
        <w:rPr>
          <w:rFonts w:eastAsia="arial" w:cs="arial" w:ascii="arial" w:hAnsi="arial"/>
          <w:b w:val="false"/>
          <w:i w:val="false"/>
          <w:color w:val="000000"/>
          <w:sz w:val="20"/>
          <w:u w:val="none"/>
        </w:rPr>
        <w:t xml:space="preserve"> pourra prononcer la résiliation du marché, sans indemnisation du titulaire, en cas de violation du secret professionnel ou de non-respect des dispositions précitées.</w:t>
      </w:r>
    </w:p>
    <w:p>
      <w:pPr>
        <w:pStyle w:val="Titre2"/>
        <w:numPr>
          <w:ilvl w:val="1"/>
          <w:numId w:val="2"/>
        </w:numPr>
        <w:rPr/>
      </w:pPr>
      <w:bookmarkStart w:id="57" w:name="_Toc3898"/>
      <w:r>
        <w:rPr/>
        <w:t>Phase de réversibilité</w:t>
      </w:r>
      <w:bookmarkEnd w:id="57"/>
    </w:p>
    <w:p>
      <w:pPr>
        <w:pStyle w:val="Normal"/>
        <w:rPr/>
      </w:pPr>
      <w:r>
        <w:rPr>
          <w:rFonts w:eastAsia="arial" w:cs="arial" w:ascii="arial" w:hAnsi="arial"/>
          <w:b w:val="false"/>
          <w:i w:val="false"/>
          <w:color w:val="000000"/>
          <w:sz w:val="20"/>
          <w:u w:val="none"/>
        </w:rPr>
        <w:t xml:space="preserve">Au terme du marché, le prestataire s'engage à faciliter la réversibilité selon les modalités choisies par la </w:t>
      </w:r>
      <w:r>
        <w:rPr>
          <w:rFonts w:eastAsia="arial" w:cs="arial" w:ascii="arial" w:hAnsi="arial"/>
          <w:b/>
          <w:i w:val="false"/>
          <w:color w:val="000000"/>
          <w:sz w:val="20"/>
          <w:u w:val="none"/>
        </w:rPr>
        <w:t>Ville de Marseille</w:t>
      </w:r>
      <w:r>
        <w:rPr>
          <w:rFonts w:eastAsia="arial" w:cs="arial" w:ascii="arial" w:hAnsi="arial"/>
          <w:b w:val="false"/>
          <w:i w:val="false"/>
          <w:color w:val="000000"/>
          <w:sz w:val="20"/>
          <w:u w:val="none"/>
        </w:rPr>
        <w:t xml:space="preserve"> et à fournir toutes les informations et prestations utiles à sa mise en oeuvre.</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La fourniture de toutes les</w:t>
      </w:r>
      <w:r>
        <w:rPr>
          <w:rFonts w:eastAsia="arial" w:cs="arial" w:ascii="arial" w:hAnsi="arial"/>
          <w:b/>
          <w:i w:val="false"/>
          <w:color w:val="000000"/>
          <w:sz w:val="20"/>
          <w:u w:val="none"/>
        </w:rPr>
        <w:t xml:space="preserve"> informations relatives à l'exécution du marché</w:t>
      </w:r>
      <w:r>
        <w:rPr>
          <w:rFonts w:eastAsia="arial" w:cs="arial" w:ascii="arial" w:hAnsi="arial"/>
          <w:b w:val="false"/>
          <w:i w:val="false"/>
          <w:color w:val="000000"/>
          <w:sz w:val="20"/>
          <w:u w:val="none"/>
        </w:rPr>
        <w:t xml:space="preserve">, la </w:t>
      </w:r>
      <w:r>
        <w:rPr>
          <w:rFonts w:eastAsia="arial" w:cs="arial" w:ascii="arial" w:hAnsi="arial"/>
          <w:b/>
          <w:i w:val="false"/>
          <w:color w:val="000000"/>
          <w:sz w:val="20"/>
          <w:u w:val="none"/>
        </w:rPr>
        <w:t>documentation</w:t>
      </w:r>
      <w:r>
        <w:rPr>
          <w:rFonts w:eastAsia="arial" w:cs="arial" w:ascii="arial" w:hAnsi="arial"/>
          <w:b w:val="false"/>
          <w:i w:val="false"/>
          <w:color w:val="000000"/>
          <w:sz w:val="20"/>
          <w:u w:val="none"/>
        </w:rPr>
        <w:t xml:space="preserve"> constituée durant la prestation, sous forme électronique mise à jour, ainsi que le</w:t>
      </w:r>
      <w:r>
        <w:rPr>
          <w:rFonts w:eastAsia="arial" w:cs="arial" w:ascii="arial" w:hAnsi="arial"/>
          <w:b/>
          <w:i w:val="false"/>
          <w:color w:val="000000"/>
          <w:sz w:val="20"/>
          <w:u w:val="none"/>
        </w:rPr>
        <w:t xml:space="preserve"> transfert de connaissance</w:t>
      </w:r>
      <w:r>
        <w:rPr>
          <w:rFonts w:eastAsia="arial" w:cs="arial" w:ascii="arial" w:hAnsi="arial"/>
          <w:b w:val="false"/>
          <w:i w:val="false"/>
          <w:color w:val="000000"/>
          <w:sz w:val="20"/>
          <w:u w:val="none"/>
        </w:rPr>
        <w:t xml:space="preserve"> sont inclus dans le présent marché.</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 transfert se fera directement aux équipes de la Ville de Marseille.</w:t>
      </w:r>
    </w:p>
    <w:p>
      <w:pPr>
        <w:pStyle w:val="Titre1"/>
        <w:numPr>
          <w:ilvl w:val="0"/>
          <w:numId w:val="2"/>
        </w:numPr>
        <w:rPr/>
      </w:pPr>
      <w:bookmarkStart w:id="58" w:name="_Toc3899"/>
      <w:r>
        <w:rPr/>
        <w:t>LOGICIEL E-ATTESTATIONS</w:t>
      </w:r>
      <w:bookmarkEnd w:id="58"/>
    </w:p>
    <w:p>
      <w:pPr>
        <w:pStyle w:val="Normal"/>
        <w:rPr/>
      </w:pPr>
      <w:r>
        <w:rPr>
          <w:rFonts w:eastAsia="arial" w:cs="arial" w:ascii="arial" w:hAnsi="arial"/>
          <w:b w:val="false"/>
          <w:i w:val="false"/>
          <w:color w:val="000000"/>
          <w:sz w:val="20"/>
          <w:u w:val="none"/>
        </w:rPr>
        <w:t>La Ville de Marseille ayant souscrit un abonnement au logiciel de conformité fournisseurs "e-attestations", nous demandons aux titulaires de bien vouloir y déposer les documents exigibles au titre des articles R2143-7 à 10 du Code de la commande publique, et notamment :</w:t>
      </w:r>
    </w:p>
    <w:p>
      <w:pPr>
        <w:pStyle w:val="Normal"/>
        <w:spacing w:before="120" w:after="0"/>
        <w:rPr/>
      </w:pPr>
      <w:r>
        <w:rPr>
          <w:rFonts w:eastAsia="arial" w:cs="arial" w:ascii="arial" w:hAnsi="arial"/>
          <w:b w:val="false"/>
          <w:i w:val="false"/>
          <w:color w:val="000000"/>
          <w:sz w:val="20"/>
          <w:u w:val="none"/>
        </w:rPr>
        <w:t>- les attestations fiscales et sociales,</w:t>
      </w:r>
    </w:p>
    <w:p>
      <w:pPr>
        <w:pStyle w:val="Normal"/>
        <w:spacing w:before="120" w:after="0"/>
        <w:rPr/>
      </w:pPr>
      <w:r>
        <w:rPr>
          <w:rFonts w:eastAsia="arial" w:cs="arial" w:ascii="arial" w:hAnsi="arial"/>
          <w:b w:val="false"/>
          <w:i w:val="false"/>
          <w:color w:val="000000"/>
          <w:sz w:val="20"/>
          <w:u w:val="none"/>
        </w:rPr>
        <w:t>- l'inscription au RCS (K ou K Bis),</w:t>
      </w:r>
    </w:p>
    <w:p>
      <w:pPr>
        <w:pStyle w:val="Normal"/>
        <w:spacing w:before="120" w:after="0"/>
        <w:rPr/>
      </w:pPr>
      <w:r>
        <w:rPr>
          <w:rFonts w:eastAsia="arial" w:cs="arial" w:ascii="arial" w:hAnsi="arial"/>
          <w:b w:val="false"/>
          <w:i w:val="false"/>
          <w:color w:val="000000"/>
          <w:sz w:val="20"/>
          <w:u w:val="none"/>
        </w:rPr>
        <w:t>- la garantie décennale pour les marchés de travaux,</w:t>
      </w:r>
    </w:p>
    <w:p>
      <w:pPr>
        <w:pStyle w:val="Normal"/>
        <w:spacing w:before="120" w:after="0"/>
        <w:rPr/>
      </w:pPr>
      <w:r>
        <w:rPr>
          <w:rFonts w:eastAsia="arial" w:cs="arial" w:ascii="arial" w:hAnsi="arial"/>
          <w:b w:val="false"/>
          <w:i w:val="false"/>
          <w:color w:val="000000"/>
          <w:sz w:val="20"/>
          <w:u w:val="none"/>
        </w:rPr>
        <w:t>- la liste nominative des travailleurs étrangers</w:t>
      </w:r>
    </w:p>
    <w:p>
      <w:pPr>
        <w:pStyle w:val="Normal"/>
        <w:spacing w:before="120" w:after="0"/>
        <w:rPr/>
      </w:pPr>
      <w:r>
        <w:rPr>
          <w:rFonts w:eastAsia="arial" w:cs="arial" w:ascii="arial" w:hAnsi="arial"/>
          <w:b w:val="false"/>
          <w:i w:val="false"/>
          <w:color w:val="000000"/>
          <w:sz w:val="20"/>
          <w:u w:val="none"/>
        </w:rPr>
        <w:t>- l'attestation sur l'honneur relative à l'égalité réelle entre les femmes et les hommes</w:t>
      </w:r>
    </w:p>
    <w:p>
      <w:pPr>
        <w:pStyle w:val="Normal"/>
        <w:spacing w:before="120" w:after="0"/>
        <w:rPr/>
      </w:pPr>
      <w:r>
        <w:rPr/>
      </w:r>
    </w:p>
    <w:p>
      <w:pPr>
        <w:pStyle w:val="Normal"/>
        <w:spacing w:before="120" w:after="0"/>
        <w:rPr/>
      </w:pPr>
      <w:r>
        <w:rPr>
          <w:rFonts w:eastAsia="arial" w:cs="arial" w:ascii="arial" w:hAnsi="arial"/>
          <w:b w:val="false"/>
          <w:i w:val="false"/>
          <w:color w:val="000000"/>
          <w:sz w:val="20"/>
          <w:u w:val="none"/>
        </w:rPr>
        <w:t>Cette démarche présente l'avantage de limiter les échanges administratifs lors de la notification et de l'exécution des marchés. Par ailleurs, le logiciel garantit la confidentialité des documents déposés.</w:t>
      </w:r>
    </w:p>
    <w:p>
      <w:pPr>
        <w:pStyle w:val="Normal"/>
        <w:spacing w:before="120" w:after="0"/>
        <w:rPr/>
      </w:pPr>
      <w:r>
        <w:rPr>
          <w:rFonts w:eastAsia="arial" w:cs="arial" w:ascii="arial" w:hAnsi="arial"/>
          <w:b w:val="false"/>
          <w:i w:val="false"/>
          <w:color w:val="000000"/>
          <w:sz w:val="20"/>
          <w:u w:val="none"/>
        </w:rPr>
        <w:t xml:space="preserve">L'interface e-attestations est une solution </w:t>
      </w:r>
      <w:r>
        <w:rPr>
          <w:rFonts w:eastAsia="arial" w:cs="arial" w:ascii="arial" w:hAnsi="arial"/>
          <w:b/>
          <w:i w:val="false"/>
          <w:color w:val="000000"/>
          <w:sz w:val="20"/>
          <w:u w:val="none"/>
        </w:rPr>
        <w:t>gratuite</w:t>
      </w:r>
      <w:r>
        <w:rPr>
          <w:rFonts w:eastAsia="arial" w:cs="arial" w:ascii="arial" w:hAnsi="arial"/>
          <w:b w:val="false"/>
          <w:i w:val="false"/>
          <w:color w:val="000000"/>
          <w:sz w:val="20"/>
          <w:u w:val="none"/>
        </w:rPr>
        <w:t xml:space="preserve"> de dépôt et de mise à jour, l'adresse du site est la suivante : http://www.e-attestations.com/</w:t>
      </w:r>
    </w:p>
    <w:p>
      <w:pPr>
        <w:pStyle w:val="Titre1"/>
        <w:numPr>
          <w:ilvl w:val="0"/>
          <w:numId w:val="2"/>
        </w:numPr>
        <w:rPr/>
      </w:pPr>
      <w:bookmarkStart w:id="59" w:name="_Toc3900"/>
      <w:r>
        <w:rPr/>
        <w:t>LOI APPLICABLE</w:t>
      </w:r>
      <w:bookmarkEnd w:id="59"/>
    </w:p>
    <w:p>
      <w:pPr>
        <w:pStyle w:val="Normal"/>
        <w:rPr/>
      </w:pPr>
      <w:r>
        <w:rPr>
          <w:rFonts w:eastAsia="arial" w:cs="arial" w:ascii="arial" w:hAnsi="arial"/>
          <w:b w:val="false"/>
          <w:i w:val="false"/>
          <w:color w:val="000000"/>
          <w:sz w:val="20"/>
          <w:u w:val="none"/>
        </w:rPr>
        <w:t>En cas de litige, la loi française est la seule applicable. Les tribunaux administratifs français sont seuls compétents. Les correspondances relatives au marché sont rédigées en français. Conformément aux articles R2197-1 à 24 du Code de la commande publique, il pourra être fait appel au médiateur des entreprises ou au comité consultatif de règlement amiable des différends ou litiges relatifs aux marchés publics</w:t>
      </w:r>
    </w:p>
    <w:p>
      <w:pPr>
        <w:pStyle w:val="Titre1"/>
        <w:numPr>
          <w:ilvl w:val="0"/>
          <w:numId w:val="2"/>
        </w:numPr>
        <w:rPr/>
      </w:pPr>
      <w:bookmarkStart w:id="60" w:name="_Toc3901"/>
      <w:r>
        <w:rPr/>
        <w:t>CONFORMITE AUX NORMES</w:t>
      </w:r>
      <w:bookmarkEnd w:id="60"/>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Les fournitures seront conformes aux normes en vigueur, normes homologuées ou autres normes reconnues équivalentes, en vertu de l'article R2111-11 du Code de la commande publique.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Toute norme décrite dans le présent marché, dont l'usage n'est pas rendu obligatoire par une réglementation, est entendue comme comprenant la mention "ou équivalent" même si elle n'est pas expressément suivie de cette mention.</w:t>
      </w:r>
    </w:p>
    <w:p>
      <w:pPr>
        <w:pStyle w:val="Normal"/>
        <w:rPr>
          <w:highlight w:val="none"/>
          <w:shd w:fill="auto" w:val="clear"/>
        </w:rPr>
      </w:pPr>
      <w:r>
        <w:rPr>
          <w:rFonts w:eastAsia="arial" w:cs="arial" w:ascii="arial" w:hAnsi="arial"/>
          <w:b w:val="false"/>
          <w:i w:val="false"/>
          <w:color w:val="000000"/>
          <w:sz w:val="20"/>
          <w:u w:val="none"/>
          <w:shd w:fill="auto" w:val="clear"/>
        </w:rPr>
        <w:t xml:space="preserve"> </w:t>
      </w:r>
      <w:r>
        <w:rPr>
          <w:rFonts w:eastAsia="arial" w:cs="arial" w:ascii="arial" w:hAnsi="arial"/>
          <w:b w:val="false"/>
          <w:i w:val="false"/>
          <w:color w:val="000000"/>
          <w:sz w:val="20"/>
          <w:u w:val="none"/>
          <w:shd w:fill="auto" w:val="clear"/>
        </w:rPr>
        <w:t>Il n'est pas prévu de dispositions particulières relatives aux normes.</w:t>
      </w:r>
    </w:p>
    <w:p>
      <w:pPr>
        <w:pStyle w:val="Titre1"/>
        <w:numPr>
          <w:ilvl w:val="0"/>
          <w:numId w:val="2"/>
        </w:numPr>
        <w:rPr>
          <w:highlight w:val="none"/>
          <w:shd w:fill="auto" w:val="clear"/>
        </w:rPr>
      </w:pPr>
      <w:bookmarkStart w:id="61" w:name="_Toc3902"/>
      <w:r>
        <w:rPr>
          <w:shd w:fill="auto" w:val="clear"/>
        </w:rPr>
        <w:t>ASSURANCES</w:t>
      </w:r>
      <w:bookmarkEnd w:id="61"/>
    </w:p>
    <w:p>
      <w:pPr>
        <w:pStyle w:val="Normal"/>
        <w:rPr>
          <w:highlight w:val="none"/>
          <w:shd w:fill="auto" w:val="clear"/>
        </w:rPr>
      </w:pPr>
      <w:r>
        <w:rPr>
          <w:rFonts w:eastAsia="arial" w:cs="arial" w:ascii="arial" w:hAnsi="arial"/>
          <w:b w:val="false"/>
          <w:i w:val="false"/>
          <w:color w:val="000000"/>
          <w:sz w:val="20"/>
          <w:u w:val="none"/>
          <w:shd w:fill="auto" w:val="clear"/>
        </w:rPr>
        <w:t>Conformément à l'article 9 du CCAG FCS, le titulaire doit contracter les assurances permettant de garantir sa responsabilité à l'égard du pouvoir adjudicateur et des tiers, victimes d'accidents ou de dommages causés par l'exécution des prestations.</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Le titulaire doit justifier, dans un délai de quinze jours à compter de la notification du marché et avant tout début d'exécution de celui-ci, qu'il est titulaire de ces contrats d'assurances, au moyen d'une attestation établissant l'étendue de la responsabilité garantie.</w:t>
      </w:r>
    </w:p>
    <w:p>
      <w:pPr>
        <w:pStyle w:val="Normal"/>
        <w:spacing w:before="120" w:after="0"/>
        <w:rPr>
          <w:highlight w:val="none"/>
          <w:shd w:fill="auto" w:val="clear"/>
        </w:rPr>
      </w:pPr>
      <w:r>
        <w:rPr>
          <w:shd w:fill="auto" w:val="clear"/>
        </w:rPr>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A tout moment durant l'exécution du marché, le titulaire doit être en mesure de produire cette attestation, sur demande du pouvoir adjudicateur et dans un délai de quinze jours à compter de la réception de la demande.</w:t>
      </w:r>
    </w:p>
    <w:p>
      <w:pPr>
        <w:pStyle w:val="Titre1"/>
        <w:numPr>
          <w:ilvl w:val="0"/>
          <w:numId w:val="2"/>
        </w:numPr>
        <w:rPr>
          <w:highlight w:val="none"/>
          <w:shd w:fill="auto" w:val="clear"/>
        </w:rPr>
      </w:pPr>
      <w:bookmarkStart w:id="62" w:name="_Toc3903"/>
      <w:r>
        <w:rPr>
          <w:shd w:fill="auto" w:val="clear"/>
        </w:rPr>
        <w:t>DEROGATIONS AUX DOCUMENTS GENERAUX</w:t>
      </w:r>
      <w:bookmarkEnd w:id="62"/>
    </w:p>
    <w:p>
      <w:pPr>
        <w:pStyle w:val="Normal"/>
        <w:rPr>
          <w:highlight w:val="none"/>
          <w:shd w:fill="auto" w:val="clear"/>
        </w:rPr>
      </w:pPr>
      <w:r>
        <w:rPr>
          <w:rFonts w:eastAsia="arial" w:cs="arial" w:ascii="arial" w:hAnsi="arial"/>
          <w:b w:val="false"/>
          <w:i w:val="false"/>
          <w:color w:val="000000"/>
          <w:sz w:val="20"/>
          <w:u w:val="none"/>
          <w:shd w:fill="auto" w:val="clear"/>
        </w:rPr>
        <w:t>Les dérogations explicitées dans les articles désignés ci-après du C.C.A.P. sont apportées aux articles suivants des documents et des normes françaises homologuées ci-après :</w:t>
      </w:r>
    </w:p>
    <w:p>
      <w:pPr>
        <w:pStyle w:val="Normal"/>
        <w:spacing w:before="120" w:after="0"/>
        <w:rPr>
          <w:highlight w:val="none"/>
          <w:shd w:fill="auto" w:val="clear"/>
        </w:rPr>
      </w:pPr>
      <w:r>
        <w:rPr>
          <w:rFonts w:eastAsia="arial" w:cs="arial" w:ascii="arial" w:hAnsi="arial"/>
          <w:b w:val="false"/>
          <w:i w:val="false"/>
          <w:color w:val="000000"/>
          <w:sz w:val="20"/>
          <w:u w:val="none"/>
          <w:shd w:fill="auto" w:val="clear"/>
        </w:rPr>
        <w:t>Dérogations au CCAG-FCS:</w:t>
      </w:r>
      <w:r>
        <w:rPr>
          <w:rFonts w:eastAsia="Arial" w:cs="Arial"/>
          <w:color w:val="000000"/>
          <w:sz w:val="20"/>
          <w:shd w:fill="auto" w:val="clear"/>
        </w:rPr>
        <w:t xml:space="preserve"> </w:t>
      </w:r>
    </w:p>
    <w:p>
      <w:pPr>
        <w:pStyle w:val="ListParagraph"/>
        <w:numPr>
          <w:ilvl w:val="0"/>
          <w:numId w:val="7"/>
        </w:numPr>
        <w:spacing w:before="0" w:after="0"/>
        <w:ind w:left="709" w:right="0" w:hanging="360"/>
        <w:contextualSpacing/>
        <w:rPr>
          <w:highlight w:val="none"/>
          <w:shd w:fill="auto" w:val="clear"/>
        </w:rPr>
      </w:pPr>
      <w:r>
        <w:rPr>
          <w:rFonts w:eastAsia="Arial" w:cs="Arial"/>
          <w:color w:val="000000"/>
          <w:sz w:val="20"/>
          <w:shd w:fill="auto" w:val="clear"/>
        </w:rPr>
        <w:t>L’article 7 déroge à l’article 27.3 du CCAG</w:t>
      </w:r>
    </w:p>
    <w:p>
      <w:pPr>
        <w:pStyle w:val="ListParagraph"/>
        <w:numPr>
          <w:ilvl w:val="0"/>
          <w:numId w:val="7"/>
        </w:numPr>
        <w:spacing w:before="0" w:after="0"/>
        <w:ind w:left="709" w:right="0" w:hanging="360"/>
        <w:contextualSpacing/>
        <w:rPr>
          <w:highlight w:val="none"/>
          <w:shd w:fill="auto" w:val="clear"/>
        </w:rPr>
      </w:pPr>
      <w:r>
        <w:rPr>
          <w:rFonts w:eastAsia="Arial" w:cs="Arial"/>
          <w:color w:val="000000"/>
          <w:sz w:val="20"/>
          <w:shd w:fill="auto" w:val="clear"/>
        </w:rPr>
        <w:t>L’article 11.2 déroge à l’article 10.2.4 du CCAG</w:t>
      </w:r>
    </w:p>
    <w:p>
      <w:pPr>
        <w:pStyle w:val="ListParagraph"/>
        <w:numPr>
          <w:ilvl w:val="0"/>
          <w:numId w:val="7"/>
        </w:numPr>
        <w:spacing w:before="0" w:after="0"/>
        <w:ind w:left="709" w:right="0" w:hanging="360"/>
        <w:contextualSpacing/>
        <w:rPr>
          <w:highlight w:val="none"/>
          <w:shd w:fill="auto" w:val="clear"/>
        </w:rPr>
      </w:pPr>
      <w:r>
        <w:rPr>
          <w:rFonts w:eastAsia="arial" w:cs="arial" w:ascii="arial" w:hAnsi="arial"/>
          <w:b w:val="false"/>
          <w:i w:val="false"/>
          <w:color w:val="000000"/>
          <w:sz w:val="20"/>
          <w:u w:val="none"/>
          <w:shd w:fill="auto" w:val="clear"/>
        </w:rPr>
        <w:t>L’article 15.1 déroge à l’article 14.1.1 du CCAG</w:t>
      </w:r>
    </w:p>
    <w:p>
      <w:pPr>
        <w:pStyle w:val="ListParagraph"/>
        <w:numPr>
          <w:ilvl w:val="0"/>
          <w:numId w:val="7"/>
        </w:numPr>
        <w:spacing w:before="0" w:after="0"/>
        <w:ind w:left="709" w:right="0" w:hanging="360"/>
        <w:contextualSpacing/>
        <w:rPr>
          <w:highlight w:val="none"/>
          <w:shd w:fill="auto" w:val="clear"/>
        </w:rPr>
      </w:pPr>
      <w:r>
        <w:rPr>
          <w:rFonts w:eastAsia="arial" w:cs="arial" w:ascii="arial" w:hAnsi="arial"/>
          <w:b w:val="false"/>
          <w:i w:val="false"/>
          <w:color w:val="000000"/>
          <w:sz w:val="20"/>
          <w:u w:val="none"/>
          <w:shd w:fill="auto" w:val="clear"/>
        </w:rPr>
        <w:t>L’article 15.2 déroge à l’article 16.2 du C.C.A.G</w:t>
      </w:r>
    </w:p>
    <w:p>
      <w:pPr>
        <w:pStyle w:val="Normal"/>
        <w:spacing w:before="0" w:after="0"/>
        <w:ind w:left="0" w:right="0" w:hanging="0"/>
        <w:rPr>
          <w:rFonts w:ascii="Arial" w:hAnsi="Arial" w:eastAsia="Arial" w:cs="Arial"/>
          <w:highlight w:val="yellow"/>
        </w:rPr>
      </w:pPr>
      <w:r>
        <w:rPr/>
      </w:r>
    </w:p>
    <w:sectPr>
      <w:headerReference w:type="default" r:id="rId2"/>
      <w:headerReference w:type="first" r:id="rId3"/>
      <w:footerReference w:type="default" r:id="rId4"/>
      <w:footerReference w:type="first" r:id="rId5"/>
      <w:type w:val="nextPage"/>
      <w:pgSz w:w="12240" w:h="15840"/>
      <w:pgMar w:left="1803" w:right="1803" w:gutter="0" w:header="318" w:top="1440" w:footer="482"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Symbol">
    <w:charset w:val="00"/>
    <w:family w:val="roman"/>
    <w:pitch w:val="variable"/>
  </w:font>
  <w:font w:name="Wingdings">
    <w:charset w:val="00"/>
    <w:family w:val="roman"/>
    <w:pitch w:val="variable"/>
  </w:font>
  <w:font w:name="Arial Gras">
    <w:charset w:val="00"/>
    <w:family w:val="roman"/>
    <w:pitch w:val="variable"/>
  </w:font>
  <w:font w:name="Calibri Light">
    <w:charset w:val="00"/>
    <w:family w:val="roman"/>
    <w:pitch w:val="variable"/>
  </w:font>
  <w:font w:name="Calibri">
    <w:charset w:val="00"/>
    <w:family w:val="roman"/>
    <w:pitch w:val="variable"/>
  </w:font>
  <w:font w:name="Garamond">
    <w:charset w:val="00"/>
    <w:family w:val="roman"/>
    <w:pitch w:val="variable"/>
  </w:font>
  <w:font w:name="Trebuchet MS">
    <w:charset w:val="00"/>
    <w:family w:val="roman"/>
    <w:pitch w:val="variable"/>
  </w:font>
  <w:font w:name="arial">
    <w:charset w:val="00"/>
    <w:family w:val="roman"/>
    <w:pitch w:val="variable"/>
  </w:font>
  <w:font w:name="Verdana">
    <w:altName w:val="Geneva"/>
    <w:charset w:val="00"/>
    <w:family w:val="roman"/>
    <w:pitch w:val="variable"/>
  </w:font>
  <w:font w:name="arial">
    <w:altName w:val="serif"/>
    <w:charset w:val="00"/>
    <w:family w:val="auto"/>
    <w:pitch w:val="default"/>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2" w:space="0" w:color="000001"/>
        <w:left w:val="single" w:sz="2" w:space="0" w:color="000001"/>
        <w:bottom w:val="single" w:sz="2" w:space="0" w:color="000001"/>
        <w:right w:val="single" w:sz="2" w:space="0" w:color="000001"/>
      </w:pBdr>
      <w:spacing w:before="120" w:after="0"/>
      <w:rPr>
        <w:color w:val="4F81BD"/>
      </w:rPr>
    </w:pPr>
    <w:r>
      <w:rPr>
        <w:color w:val="4472C4" w:themeColor="accent1"/>
      </w:rPr>
      <w:t>CCAP_Emission de cartes d'achat</w:t>
    </w:r>
    <w:r>
      <w:rPr/>
      <w:tab/>
      <w:tab/>
    </w:r>
    <w:r>
      <w:rPr/>
      <w:fldChar w:fldCharType="begin"/>
    </w:r>
    <w:r>
      <w:rPr/>
      <w:instrText> PAGE </w:instrText>
    </w:r>
    <w:r>
      <w:rPr/>
      <w:fldChar w:fldCharType="separate"/>
    </w:r>
    <w:r>
      <w:rPr/>
      <w:t>18</w:t>
    </w:r>
    <w:r>
      <w:rPr/>
      <w:fldChar w:fldCharType="end"/>
    </w:r>
    <w:r>
      <w:rPr/>
      <w:t>/</w:t>
    </w:r>
    <w:r>
      <w:rPr/>
      <w:fldChar w:fldCharType="begin"/>
    </w:r>
    <w:r>
      <w:rPr/>
      <w:instrText> NUMPAGES </w:instrText>
    </w:r>
    <w:r>
      <w:rPr/>
      <w:fldChar w:fldCharType="separate"/>
    </w:r>
    <w:r>
      <w:rPr/>
      <w:t>18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rPr/>
    </w:pPr>
    <w:r>
      <w:rPr>
        <w:rStyle w:val="Policepardfaut"/>
        <w:rFonts w:cs="Arial"/>
        <w:b w:val="false"/>
        <w:bCs w:val="false"/>
        <w:i/>
        <w:color w:val="4472C4" w:themeColor="accent1"/>
        <w:sz w:val="18"/>
        <w:szCs w:val="18"/>
        <w:highlight w:val="white"/>
        <w:lang w:val="fr-FR"/>
      </w:rPr>
      <w:t>Cahier des clauses administratives particulières</w:t>
    </w:r>
    <w:r>
      <w:rPr>
        <w:rStyle w:val="Policepardfaut"/>
        <w:rFonts w:cs="Arial"/>
        <w:b w:val="false"/>
        <w:bCs w:val="false"/>
        <w:i/>
        <w:color w:val="000000"/>
        <w:sz w:val="18"/>
        <w:szCs w:val="18"/>
        <w:highlight w:val="white"/>
        <w:lang w:val="fr-FR"/>
      </w:rPr>
      <w:t xml:space="preserve">    consultation : </w:t>
    </w:r>
    <w:r>
      <w:rPr>
        <w:rStyle w:val="Policepardfaut"/>
        <w:rFonts w:cs="Arial"/>
        <w:b w:val="false"/>
        <w:bCs w:val="false"/>
        <w:i w:val="false"/>
        <w:iCs w:val="false"/>
        <w:strike w:val="false"/>
        <w:dstrike w:val="false"/>
        <w:color w:val="auto"/>
        <w:sz w:val="18"/>
        <w:szCs w:val="24"/>
        <w:highlight w:val="white"/>
        <w:lang w:val="fr-FR"/>
      </w:rPr>
      <w:t>2</w:t>
    </w:r>
    <w:r>
      <w:rPr>
        <w:rFonts w:cs="Arial"/>
        <w:i w:val="false"/>
        <w:iCs w:val="false"/>
        <w:strike w:val="false"/>
        <w:dstrike w:val="false"/>
        <w:color w:val="auto"/>
        <w:szCs w:val="24"/>
      </w:rPr>
      <w:t>3_0554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0"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Article %1 - "/>
      <w:lvlJc w:val="left"/>
      <w:pPr>
        <w:tabs>
          <w:tab w:val="num" w:pos="0"/>
        </w:tabs>
        <w:ind w:left="0" w:firstLine="283"/>
      </w:pPr>
    </w:lvl>
    <w:lvl w:ilvl="1">
      <w:start w:val="1"/>
      <w:pStyle w:val="Titre2"/>
      <w:numFmt w:val="decimal"/>
      <w:lvlText w:val="%1.%2 "/>
      <w:lvlJc w:val="left"/>
      <w:pPr>
        <w:tabs>
          <w:tab w:val="num" w:pos="0"/>
        </w:tabs>
        <w:ind w:left="0" w:firstLine="283"/>
      </w:pPr>
    </w:lvl>
    <w:lvl w:ilvl="2">
      <w:start w:val="1"/>
      <w:pStyle w:val="Titre3"/>
      <w:numFmt w:val="decimal"/>
      <w:lvlText w:val="%1.%2.%3 "/>
      <w:lvlJc w:val="left"/>
      <w:pPr>
        <w:tabs>
          <w:tab w:val="num" w:pos="0"/>
        </w:tabs>
        <w:ind w:left="0" w:firstLine="283"/>
      </w:pPr>
    </w:lvl>
    <w:lvl w:ilvl="3">
      <w:start w:val="1"/>
      <w:pStyle w:val="Titre4"/>
      <w:numFmt w:val="decimal"/>
      <w:lvlText w:val="%1.%2.%3.%4 "/>
      <w:lvlJc w:val="left"/>
      <w:pPr>
        <w:tabs>
          <w:tab w:val="num" w:pos="0"/>
        </w:tabs>
        <w:ind w:left="0" w:firstLine="283"/>
      </w:pPr>
    </w:lvl>
    <w:lvl w:ilvl="4">
      <w:start w:val="1"/>
      <w:pStyle w:val="Titre5"/>
      <w:numFmt w:val="decimal"/>
      <w:lvlText w:val="%1.%2.%3.%4.%5 "/>
      <w:lvlJc w:val="left"/>
      <w:pPr>
        <w:tabs>
          <w:tab w:val="num" w:pos="0"/>
        </w:tabs>
        <w:ind w:left="0" w:firstLine="283"/>
      </w:pPr>
    </w:lvl>
    <w:lvl w:ilvl="5">
      <w:start w:val="1"/>
      <w:pStyle w:val="Titre6"/>
      <w:numFmt w:val="decimal"/>
      <w:lvlText w:val="%1.%2.%3.%4.%5.%6 "/>
      <w:lvlJc w:val="left"/>
      <w:pPr>
        <w:tabs>
          <w:tab w:val="num" w:pos="0"/>
        </w:tabs>
        <w:ind w:left="1152" w:hanging="1152"/>
      </w:pPr>
    </w:lvl>
    <w:lvl w:ilvl="6">
      <w:start w:val="1"/>
      <w:pStyle w:val="Titre7"/>
      <w:numFmt w:val="decimal"/>
      <w:lvlText w:val="%1.%2.%3.%4.%5.%6.%7"/>
      <w:lvlJc w:val="left"/>
      <w:pPr>
        <w:tabs>
          <w:tab w:val="num" w:pos="0"/>
        </w:tabs>
        <w:ind w:left="1296" w:hanging="1296"/>
      </w:pPr>
    </w:lvl>
    <w:lvl w:ilvl="7">
      <w:start w:val="1"/>
      <w:pStyle w:val="Titre8"/>
      <w:numFmt w:val="decimal"/>
      <w:lvlText w:val="%1.%2.%3.%4.%5.%6.%7.%8"/>
      <w:lvlJc w:val="left"/>
      <w:pPr>
        <w:tabs>
          <w:tab w:val="num" w:pos="0"/>
        </w:tabs>
        <w:ind w:left="1440" w:hanging="1440"/>
      </w:pPr>
    </w:lvl>
    <w:lvl w:ilvl="8">
      <w:start w:val="1"/>
      <w:pStyle w:val="Titre9"/>
      <w:numFmt w:val="decimal"/>
      <w:lvlText w:val="%1.%2.%3.%4.%5.%6.%7.%8.%9"/>
      <w:lvlJc w:val="left"/>
      <w:pPr>
        <w:tabs>
          <w:tab w:val="num" w:pos="0"/>
        </w:tabs>
        <w:ind w:left="1584" w:hanging="1584"/>
      </w:pPr>
    </w:lvl>
  </w:abstractNum>
  <w:abstractNum w:abstractNumId="2">
    <w:lvl w:ilvl="0">
      <w:start w:val="1"/>
      <w:numFmt w:val="decimal"/>
      <w:lvlText w:val="Article %1 - "/>
      <w:lvlJc w:val="left"/>
      <w:pPr>
        <w:tabs>
          <w:tab w:val="num" w:pos="0"/>
        </w:tabs>
        <w:ind w:left="0" w:firstLine="283"/>
      </w:pPr>
    </w:lvl>
    <w:lvl w:ilvl="1">
      <w:start w:val="1"/>
      <w:numFmt w:val="decimal"/>
      <w:lvlText w:val="%1.%2 "/>
      <w:lvlJc w:val="left"/>
      <w:pPr>
        <w:tabs>
          <w:tab w:val="num" w:pos="0"/>
        </w:tabs>
        <w:ind w:left="0" w:firstLine="283"/>
      </w:pPr>
    </w:lvl>
    <w:lvl w:ilvl="2">
      <w:start w:val="1"/>
      <w:numFmt w:val="decimal"/>
      <w:lvlText w:val="%1.%2.%3 "/>
      <w:lvlJc w:val="left"/>
      <w:pPr>
        <w:tabs>
          <w:tab w:val="num" w:pos="0"/>
        </w:tabs>
        <w:ind w:left="0" w:firstLine="283"/>
      </w:pPr>
    </w:lvl>
    <w:lvl w:ilvl="3">
      <w:start w:val="1"/>
      <w:numFmt w:val="decimal"/>
      <w:lvlText w:val="%1.%2.%3.%4 "/>
      <w:lvlJc w:val="left"/>
      <w:pPr>
        <w:tabs>
          <w:tab w:val="num" w:pos="0"/>
        </w:tabs>
        <w:ind w:left="0" w:firstLine="283"/>
      </w:pPr>
    </w:lvl>
    <w:lvl w:ilvl="4">
      <w:start w:val="1"/>
      <w:numFmt w:val="decimal"/>
      <w:lvlText w:val="%1.%2.%3.%4.%5 "/>
      <w:lvlJc w:val="left"/>
      <w:pPr>
        <w:tabs>
          <w:tab w:val="num" w:pos="0"/>
        </w:tabs>
        <w:ind w:left="0" w:firstLine="283"/>
      </w:pPr>
    </w:lvl>
    <w:lvl w:ilvl="5">
      <w:start w:val="1"/>
      <w:numFmt w:val="decimal"/>
      <w:lvlText w:val="%1.%2.%3.%4.%5.%6 "/>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09" w:hanging="360"/>
      </w:pPr>
      <w:rPr>
        <w:rFonts w:ascii="Arial" w:hAnsi="Arial" w:cs="Aria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09" w:hanging="360"/>
      </w:pPr>
      <w:rPr>
        <w:rFonts w:ascii="Symbol" w:hAnsi="Symbol" w:cs="Symbol" w:hint="default"/>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abstractNum w:abstractNumId="7">
    <w:lvl w:ilvl="0">
      <w:start w:val="1"/>
      <w:numFmt w:val="bullet"/>
      <w:lvlText w:val="–"/>
      <w:lvlJc w:val="left"/>
      <w:pPr>
        <w:tabs>
          <w:tab w:val="num" w:pos="0"/>
        </w:tabs>
        <w:ind w:left="709" w:hanging="360"/>
      </w:pPr>
      <w:rPr>
        <w:rFonts w:ascii="Arial" w:hAnsi="Arial" w:cs="Arial" w:hint="default"/>
        <w:highlight w:val="white"/>
      </w:rPr>
    </w:lvl>
    <w:lvl w:ilvl="1">
      <w:start w:val="1"/>
      <w:numFmt w:val="bullet"/>
      <w:lvlText w:val="o"/>
      <w:lvlJc w:val="left"/>
      <w:pPr>
        <w:tabs>
          <w:tab w:val="num" w:pos="0"/>
        </w:tabs>
        <w:ind w:left="1429" w:hanging="360"/>
      </w:pPr>
      <w:rPr>
        <w:rFonts w:ascii="Courier New" w:hAnsi="Courier New" w:cs="Courier New" w:hint="default"/>
      </w:rPr>
    </w:lvl>
    <w:lvl w:ilvl="2">
      <w:start w:val="1"/>
      <w:numFmt w:val="bullet"/>
      <w:lvlText w:val="§"/>
      <w:lvlJc w:val="left"/>
      <w:pPr>
        <w:tabs>
          <w:tab w:val="num" w:pos="0"/>
        </w:tabs>
        <w:ind w:left="2149" w:hanging="360"/>
      </w:pPr>
      <w:rPr>
        <w:rFonts w:ascii="Wingdings" w:hAnsi="Wingdings" w:cs="Wingdings" w:hint="default"/>
      </w:rPr>
    </w:lvl>
    <w:lvl w:ilvl="3">
      <w:start w:val="1"/>
      <w:numFmt w:val="bullet"/>
      <w:lvlText w:val="·"/>
      <w:lvlJc w:val="left"/>
      <w:pPr>
        <w:tabs>
          <w:tab w:val="num" w:pos="0"/>
        </w:tabs>
        <w:ind w:left="2869" w:hanging="360"/>
      </w:pPr>
      <w:rPr>
        <w:rFonts w:ascii="Symbol" w:hAnsi="Symbol" w:cs="Symbol" w:hint="default"/>
      </w:rPr>
    </w:lvl>
    <w:lvl w:ilvl="4">
      <w:start w:val="1"/>
      <w:numFmt w:val="bullet"/>
      <w:lvlText w:val="o"/>
      <w:lvlJc w:val="left"/>
      <w:pPr>
        <w:tabs>
          <w:tab w:val="num" w:pos="0"/>
        </w:tabs>
        <w:ind w:left="3589" w:hanging="360"/>
      </w:pPr>
      <w:rPr>
        <w:rFonts w:ascii="Courier New" w:hAnsi="Courier New" w:cs="Courier New" w:hint="default"/>
      </w:rPr>
    </w:lvl>
    <w:lvl w:ilvl="5">
      <w:start w:val="1"/>
      <w:numFmt w:val="bullet"/>
      <w:lvlText w:val="§"/>
      <w:lvlJc w:val="left"/>
      <w:pPr>
        <w:tabs>
          <w:tab w:val="num" w:pos="0"/>
        </w:tabs>
        <w:ind w:left="4309" w:hanging="360"/>
      </w:pPr>
      <w:rPr>
        <w:rFonts w:ascii="Wingdings" w:hAnsi="Wingdings" w:cs="Wingdings" w:hint="default"/>
      </w:rPr>
    </w:lvl>
    <w:lvl w:ilvl="6">
      <w:start w:val="1"/>
      <w:numFmt w:val="bullet"/>
      <w:lvlText w:val="·"/>
      <w:lvlJc w:val="left"/>
      <w:pPr>
        <w:tabs>
          <w:tab w:val="num" w:pos="0"/>
        </w:tabs>
        <w:ind w:left="5029" w:hanging="360"/>
      </w:pPr>
      <w:rPr>
        <w:rFonts w:ascii="Symbol" w:hAnsi="Symbol" w:cs="Symbol" w:hint="default"/>
      </w:rPr>
    </w:lvl>
    <w:lvl w:ilvl="7">
      <w:start w:val="1"/>
      <w:numFmt w:val="bullet"/>
      <w:lvlText w:val="o"/>
      <w:lvlJc w:val="left"/>
      <w:pPr>
        <w:tabs>
          <w:tab w:val="num" w:pos="0"/>
        </w:tabs>
        <w:ind w:left="5749" w:hanging="360"/>
      </w:pPr>
      <w:rPr>
        <w:rFonts w:ascii="Courier New" w:hAnsi="Courier New" w:cs="Courier New" w:hint="default"/>
      </w:rPr>
    </w:lvl>
    <w:lvl w:ilvl="8">
      <w:start w:val="1"/>
      <w:numFmt w:val="bullet"/>
      <w:lvlText w:val="§"/>
      <w:lvlJc w:val="left"/>
      <w:pPr>
        <w:tabs>
          <w:tab w:val="num" w:pos="0"/>
        </w:tabs>
        <w:ind w:left="6469"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itre1">
    <w:name w:val="Heading 1"/>
    <w:basedOn w:val="Normal"/>
    <w:link w:val="984"/>
    <w:uiPriority w:val="9"/>
    <w:qFormat/>
    <w:pPr>
      <w:keepNext w:val="true"/>
      <w:widowControl w:val="false"/>
      <w:numPr>
        <w:ilvl w:val="0"/>
        <w:numId w:val="1"/>
      </w:numPr>
      <w:spacing w:before="360" w:after="0"/>
      <w:ind w:left="1701" w:hanging="1701"/>
      <w:jc w:val="left"/>
      <w:outlineLvl w:val="0"/>
    </w:pPr>
    <w:rPr>
      <w:rFonts w:ascii="Times New Roman" w:hAnsi="Times New Roman" w:eastAsia="Andale Sans UI" w:cs="Tahoma"/>
      <w:b/>
      <w:color w:val="666699"/>
      <w:sz w:val="28"/>
      <w:szCs w:val="36"/>
      <w:lang w:val="fr-FR" w:eastAsia="ja-JP" w:bidi="fa-IR"/>
    </w:rPr>
  </w:style>
  <w:style w:type="paragraph" w:styleId="Titre2">
    <w:name w:val="Heading 2"/>
    <w:basedOn w:val="Normal"/>
    <w:link w:val="985"/>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eastAsia="Andale Sans UI" w:cs="Tahoma"/>
      <w:b/>
      <w:bCs/>
      <w:iCs/>
      <w:color w:val="666699"/>
      <w:sz w:val="22"/>
      <w:szCs w:val="28"/>
      <w:u w:val="single"/>
      <w:lang w:val="fr-FR" w:eastAsia="ja-JP" w:bidi="fa-IR"/>
    </w:rPr>
  </w:style>
  <w:style w:type="paragraph" w:styleId="Titre3">
    <w:name w:val="Heading 3"/>
    <w:basedOn w:val="Normal"/>
    <w:link w:val="986"/>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eastAsia="Andale Sans UI" w:cs="Tahoma"/>
      <w:bCs/>
      <w:color w:val="666699"/>
      <w:sz w:val="26"/>
      <w:szCs w:val="26"/>
      <w:u w:val="single"/>
      <w:lang w:val="fr-FR" w:eastAsia="ja-JP" w:bidi="fa-IR"/>
    </w:rPr>
  </w:style>
  <w:style w:type="paragraph" w:styleId="Titre4">
    <w:name w:val="Heading 4"/>
    <w:basedOn w:val="Normal"/>
    <w:link w:val="987"/>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eastAsia="Andale Sans UI" w:cs="Tahoma"/>
      <w:bCs/>
      <w:iCs/>
      <w:color w:val="666699"/>
      <w:sz w:val="20"/>
      <w:szCs w:val="24"/>
      <w:lang w:val="fr-FR" w:eastAsia="ja-JP" w:bidi="fa-IR"/>
    </w:rPr>
  </w:style>
  <w:style w:type="paragraph" w:styleId="Titre5">
    <w:name w:val="Heading 5"/>
    <w:basedOn w:val="Normal"/>
    <w:link w:val="988"/>
    <w:uiPriority w:val="9"/>
    <w:semiHidden/>
    <w:unhideWhenUsed/>
    <w:qFormat/>
    <w:pPr>
      <w:keepNext w:val="true"/>
      <w:keepLines/>
      <w:widowControl w:val="false"/>
      <w:numPr>
        <w:ilvl w:val="4"/>
        <w:numId w:val="1"/>
      </w:numPr>
      <w:spacing w:before="283" w:after="57"/>
      <w:jc w:val="left"/>
      <w:outlineLvl w:val="4"/>
    </w:pPr>
    <w:rPr>
      <w:rFonts w:ascii="Times New Roman" w:hAnsi="Times New Roman" w:eastAsia="Andale Sans UI" w:cs="Tahoma"/>
      <w:b/>
      <w:bCs/>
      <w:color w:val="00000A"/>
      <w:sz w:val="22"/>
      <w:szCs w:val="24"/>
      <w:lang w:val="fr-FR" w:eastAsia="ja-JP" w:bidi="fa-IR"/>
    </w:rPr>
  </w:style>
  <w:style w:type="paragraph" w:styleId="Titre6">
    <w:name w:val="Heading 6"/>
    <w:basedOn w:val="Titre"/>
    <w:link w:val="989"/>
    <w:uiPriority w:val="9"/>
    <w:semiHidden/>
    <w:unhideWhenUsed/>
    <w:qFormat/>
    <w:pPr>
      <w:numPr>
        <w:ilvl w:val="5"/>
        <w:numId w:val="1"/>
      </w:numPr>
      <w:spacing w:before="283" w:after="283"/>
      <w:jc w:val="both"/>
      <w:outlineLvl w:val="5"/>
    </w:pPr>
    <w:rPr>
      <w:bCs/>
      <w:sz w:val="22"/>
    </w:rPr>
  </w:style>
  <w:style w:type="paragraph" w:styleId="Titre7">
    <w:name w:val="Heading 7"/>
    <w:basedOn w:val="Titre"/>
    <w:link w:val="990"/>
    <w:qFormat/>
    <w:pPr>
      <w:numPr>
        <w:ilvl w:val="6"/>
        <w:numId w:val="1"/>
      </w:numPr>
      <w:spacing w:before="283" w:after="57"/>
      <w:jc w:val="both"/>
      <w:outlineLvl w:val="6"/>
    </w:pPr>
    <w:rPr>
      <w:bCs/>
      <w:sz w:val="22"/>
    </w:rPr>
  </w:style>
  <w:style w:type="paragraph" w:styleId="Titre8">
    <w:name w:val="Heading 8"/>
    <w:basedOn w:val="Titre"/>
    <w:link w:val="991"/>
    <w:qFormat/>
    <w:pPr>
      <w:numPr>
        <w:ilvl w:val="7"/>
        <w:numId w:val="1"/>
      </w:numPr>
      <w:spacing w:before="283" w:after="57"/>
      <w:jc w:val="both"/>
      <w:outlineLvl w:val="7"/>
    </w:pPr>
    <w:rPr>
      <w:bCs/>
      <w:sz w:val="21"/>
    </w:rPr>
  </w:style>
  <w:style w:type="paragraph" w:styleId="Titre9">
    <w:name w:val="Heading 9"/>
    <w:basedOn w:val="Titre"/>
    <w:link w:val="992"/>
    <w:qFormat/>
    <w:pPr>
      <w:numPr>
        <w:ilvl w:val="8"/>
        <w:numId w:val="1"/>
      </w:numPr>
      <w:spacing w:before="283" w:after="57"/>
      <w:jc w:val="both"/>
      <w:outlineLvl w:val="8"/>
    </w:pPr>
    <w:rPr>
      <w:bCs/>
      <w:sz w:val="21"/>
    </w:rPr>
  </w:style>
  <w:style w:type="character" w:styleId="Heading1Char">
    <w:name w:val="Heading 1 Char"/>
    <w:basedOn w:val="DefaultParagraphFont"/>
    <w:link w:val="974"/>
    <w:uiPriority w:val="9"/>
    <w:qFormat/>
    <w:rPr>
      <w:rFonts w:ascii="Arial" w:hAnsi="Arial" w:eastAsia="Arial" w:cs="Arial"/>
      <w:sz w:val="40"/>
      <w:szCs w:val="40"/>
    </w:rPr>
  </w:style>
  <w:style w:type="character" w:styleId="Heading2Char">
    <w:name w:val="Heading 2 Char"/>
    <w:basedOn w:val="DefaultParagraphFont"/>
    <w:link w:val="975"/>
    <w:uiPriority w:val="9"/>
    <w:qFormat/>
    <w:rPr>
      <w:rFonts w:ascii="Arial" w:hAnsi="Arial" w:eastAsia="Arial" w:cs="Arial"/>
      <w:sz w:val="34"/>
    </w:rPr>
  </w:style>
  <w:style w:type="character" w:styleId="Heading3Char">
    <w:name w:val="Heading 3 Char"/>
    <w:basedOn w:val="DefaultParagraphFont"/>
    <w:link w:val="976"/>
    <w:uiPriority w:val="9"/>
    <w:qFormat/>
    <w:rPr>
      <w:rFonts w:ascii="Arial" w:hAnsi="Arial" w:eastAsia="Arial" w:cs="Arial"/>
      <w:sz w:val="30"/>
      <w:szCs w:val="30"/>
    </w:rPr>
  </w:style>
  <w:style w:type="character" w:styleId="Heading4Char">
    <w:name w:val="Heading 4 Char"/>
    <w:basedOn w:val="DefaultParagraphFont"/>
    <w:link w:val="977"/>
    <w:uiPriority w:val="9"/>
    <w:qFormat/>
    <w:rPr>
      <w:rFonts w:ascii="Arial" w:hAnsi="Arial" w:eastAsia="Arial" w:cs="Arial"/>
      <w:b/>
      <w:bCs/>
      <w:sz w:val="26"/>
      <w:szCs w:val="26"/>
    </w:rPr>
  </w:style>
  <w:style w:type="character" w:styleId="Heading5Char">
    <w:name w:val="Heading 5 Char"/>
    <w:basedOn w:val="DefaultParagraphFont"/>
    <w:link w:val="978"/>
    <w:uiPriority w:val="9"/>
    <w:qFormat/>
    <w:rPr>
      <w:rFonts w:ascii="Arial" w:hAnsi="Arial" w:eastAsia="Arial" w:cs="Arial"/>
      <w:b/>
      <w:bCs/>
      <w:sz w:val="24"/>
      <w:szCs w:val="24"/>
    </w:rPr>
  </w:style>
  <w:style w:type="character" w:styleId="Heading6Char">
    <w:name w:val="Heading 6 Char"/>
    <w:basedOn w:val="DefaultParagraphFont"/>
    <w:link w:val="979"/>
    <w:uiPriority w:val="9"/>
    <w:qFormat/>
    <w:rPr>
      <w:rFonts w:ascii="Arial" w:hAnsi="Arial" w:eastAsia="Arial" w:cs="Arial"/>
      <w:b/>
      <w:bCs/>
      <w:sz w:val="22"/>
      <w:szCs w:val="22"/>
    </w:rPr>
  </w:style>
  <w:style w:type="character" w:styleId="Heading7Char">
    <w:name w:val="Heading 7 Char"/>
    <w:basedOn w:val="DefaultParagraphFont"/>
    <w:link w:val="980"/>
    <w:uiPriority w:val="9"/>
    <w:qFormat/>
    <w:rPr>
      <w:rFonts w:ascii="Arial" w:hAnsi="Arial" w:eastAsia="Arial" w:cs="Arial"/>
      <w:b/>
      <w:bCs/>
      <w:i/>
      <w:iCs/>
      <w:sz w:val="22"/>
      <w:szCs w:val="22"/>
    </w:rPr>
  </w:style>
  <w:style w:type="character" w:styleId="Heading8Char">
    <w:name w:val="Heading 8 Char"/>
    <w:basedOn w:val="DefaultParagraphFont"/>
    <w:link w:val="981"/>
    <w:uiPriority w:val="9"/>
    <w:qFormat/>
    <w:rPr>
      <w:rFonts w:ascii="Arial" w:hAnsi="Arial" w:eastAsia="Arial" w:cs="Arial"/>
      <w:i/>
      <w:iCs/>
      <w:sz w:val="22"/>
      <w:szCs w:val="22"/>
    </w:rPr>
  </w:style>
  <w:style w:type="character" w:styleId="Heading9Char">
    <w:name w:val="Heading 9 Char"/>
    <w:basedOn w:val="DefaultParagraphFont"/>
    <w:link w:val="982"/>
    <w:uiPriority w:val="9"/>
    <w:qFormat/>
    <w:rPr>
      <w:rFonts w:ascii="Arial" w:hAnsi="Arial" w:eastAsia="Arial" w:cs="Arial"/>
      <w:i/>
      <w:iCs/>
      <w:sz w:val="21"/>
      <w:szCs w:val="21"/>
    </w:rPr>
  </w:style>
  <w:style w:type="character" w:styleId="TitleChar">
    <w:name w:val="Title Char"/>
    <w:basedOn w:val="DefaultParagraphFont"/>
    <w:link w:val="1017"/>
    <w:uiPriority w:val="10"/>
    <w:qFormat/>
    <w:rPr>
      <w:sz w:val="48"/>
      <w:szCs w:val="48"/>
    </w:rPr>
  </w:style>
  <w:style w:type="character" w:styleId="SubtitleChar">
    <w:name w:val="Subtitle Char"/>
    <w:basedOn w:val="DefaultParagraphFont"/>
    <w:link w:val="1018"/>
    <w:uiPriority w:val="11"/>
    <w:qFormat/>
    <w:rPr>
      <w:sz w:val="24"/>
      <w:szCs w:val="24"/>
    </w:rPr>
  </w:style>
  <w:style w:type="character" w:styleId="QuoteChar">
    <w:name w:val="Quote Char"/>
    <w:link w:val="1019"/>
    <w:uiPriority w:val="29"/>
    <w:qFormat/>
    <w:rPr>
      <w:i/>
    </w:rPr>
  </w:style>
  <w:style w:type="character" w:styleId="IntenseQuoteChar">
    <w:name w:val="Intense Quote Char"/>
    <w:link w:val="1020"/>
    <w:uiPriority w:val="30"/>
    <w:qFormat/>
    <w:rPr>
      <w:i/>
    </w:rPr>
  </w:style>
  <w:style w:type="character" w:styleId="HeaderChar">
    <w:name w:val="Header Char"/>
    <w:basedOn w:val="DefaultParagraphFont"/>
    <w:link w:val="1035"/>
    <w:uiPriority w:val="99"/>
    <w:qFormat/>
    <w:rPr/>
  </w:style>
  <w:style w:type="character" w:styleId="CaptionChar">
    <w:name w:val="Caption Char"/>
    <w:link w:val="1043"/>
    <w:uiPriority w:val="99"/>
    <w:qFormat/>
    <w:rPr/>
  </w:style>
  <w:style w:type="character" w:styleId="LienInternet">
    <w:name w:val="Lien Internet"/>
    <w:basedOn w:val="DefaultParagraphFont"/>
    <w:uiPriority w:val="99"/>
    <w:unhideWhenUsed/>
    <w:rPr>
      <w:color w:val="0563C1" w:themeColor="hyperlink"/>
      <w:u w:val="single"/>
    </w:rPr>
  </w:style>
  <w:style w:type="character" w:styleId="FootnoteTextChar">
    <w:name w:val="Footnote Text Char"/>
    <w:link w:val="1021"/>
    <w:uiPriority w:val="99"/>
    <w:qFormat/>
    <w:rPr>
      <w:sz w:val="18"/>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unhideWhenUsed/>
    <w:qFormat/>
    <w:rPr>
      <w:vertAlign w:val="superscript"/>
    </w:rPr>
  </w:style>
  <w:style w:type="character" w:styleId="EndnoteTextChar">
    <w:name w:val="Endnote Text Char"/>
    <w:link w:val="1022"/>
    <w:uiPriority w:val="99"/>
    <w:qFormat/>
    <w:rPr>
      <w:sz w:val="20"/>
    </w:rPr>
  </w:style>
  <w:style w:type="character" w:styleId="Ancredenotedefin">
    <w:name w:val="Ancre de note de fin"/>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974"/>
    <w:uiPriority w:val="9"/>
    <w:qFormat/>
    <w:rPr>
      <w:rFonts w:ascii="Arial" w:hAnsi="Arial" w:eastAsia="Arial" w:cs="Arial"/>
      <w:sz w:val="40"/>
      <w:szCs w:val="40"/>
    </w:rPr>
  </w:style>
  <w:style w:type="character" w:styleId="Titre2Car" w:customStyle="1">
    <w:name w:val="Titre 2 Car"/>
    <w:basedOn w:val="DefaultParagraphFont"/>
    <w:link w:val="975"/>
    <w:uiPriority w:val="9"/>
    <w:qFormat/>
    <w:rPr>
      <w:rFonts w:ascii="Arial" w:hAnsi="Arial"/>
      <w:b/>
      <w:bCs/>
      <w:iCs/>
      <w:color w:val="666699"/>
      <w:sz w:val="22"/>
      <w:szCs w:val="28"/>
      <w:u w:val="single"/>
    </w:rPr>
  </w:style>
  <w:style w:type="character" w:styleId="Titre3Car" w:customStyle="1">
    <w:name w:val="Titre 3 Car"/>
    <w:basedOn w:val="DefaultParagraphFont"/>
    <w:link w:val="976"/>
    <w:uiPriority w:val="9"/>
    <w:qFormat/>
    <w:rPr>
      <w:rFonts w:ascii="Arial" w:hAnsi="Arial" w:eastAsia="Arial" w:cs="Arial"/>
      <w:sz w:val="30"/>
      <w:szCs w:val="30"/>
    </w:rPr>
  </w:style>
  <w:style w:type="character" w:styleId="Titre4Car" w:customStyle="1">
    <w:name w:val="Titre 4 Car"/>
    <w:basedOn w:val="DefaultParagraphFont"/>
    <w:link w:val="977"/>
    <w:uiPriority w:val="9"/>
    <w:qFormat/>
    <w:rPr>
      <w:rFonts w:ascii="Arial" w:hAnsi="Arial" w:eastAsia="Arial" w:cs="Arial"/>
      <w:b/>
      <w:bCs/>
      <w:sz w:val="26"/>
      <w:szCs w:val="26"/>
    </w:rPr>
  </w:style>
  <w:style w:type="character" w:styleId="Titre5Car" w:customStyle="1">
    <w:name w:val="Titre 5 Car"/>
    <w:basedOn w:val="DefaultParagraphFont"/>
    <w:link w:val="978"/>
    <w:uiPriority w:val="9"/>
    <w:qFormat/>
    <w:rPr>
      <w:rFonts w:ascii="Arial" w:hAnsi="Arial" w:eastAsia="Arial" w:cs="Arial"/>
      <w:b/>
      <w:bCs/>
      <w:sz w:val="24"/>
      <w:szCs w:val="24"/>
    </w:rPr>
  </w:style>
  <w:style w:type="character" w:styleId="Titre6Car" w:customStyle="1">
    <w:name w:val="Titre 6 Car"/>
    <w:basedOn w:val="DefaultParagraphFont"/>
    <w:link w:val="979"/>
    <w:uiPriority w:val="9"/>
    <w:qFormat/>
    <w:rPr>
      <w:rFonts w:ascii="Arial" w:hAnsi="Arial" w:eastAsia="Arial" w:cs="Arial"/>
      <w:b/>
      <w:bCs/>
      <w:sz w:val="22"/>
      <w:szCs w:val="22"/>
    </w:rPr>
  </w:style>
  <w:style w:type="character" w:styleId="Titre7Car" w:customStyle="1">
    <w:name w:val="Titre 7 Car"/>
    <w:basedOn w:val="DefaultParagraphFont"/>
    <w:link w:val="980"/>
    <w:uiPriority w:val="9"/>
    <w:qFormat/>
    <w:rPr>
      <w:rFonts w:ascii="Arial" w:hAnsi="Arial" w:eastAsia="Arial" w:cs="Arial"/>
      <w:b/>
      <w:bCs/>
      <w:i/>
      <w:iCs/>
      <w:sz w:val="22"/>
      <w:szCs w:val="22"/>
    </w:rPr>
  </w:style>
  <w:style w:type="character" w:styleId="Titre8Car" w:customStyle="1">
    <w:name w:val="Titre 8 Car"/>
    <w:basedOn w:val="DefaultParagraphFont"/>
    <w:link w:val="981"/>
    <w:uiPriority w:val="9"/>
    <w:qFormat/>
    <w:rPr>
      <w:rFonts w:ascii="Arial" w:hAnsi="Arial" w:eastAsia="Arial" w:cs="Arial"/>
      <w:i/>
      <w:iCs/>
      <w:sz w:val="22"/>
      <w:szCs w:val="22"/>
    </w:rPr>
  </w:style>
  <w:style w:type="character" w:styleId="Titre9Car" w:customStyle="1">
    <w:name w:val="Titre 9 Car"/>
    <w:basedOn w:val="DefaultParagraphFont"/>
    <w:link w:val="982"/>
    <w:uiPriority w:val="9"/>
    <w:qFormat/>
    <w:rPr>
      <w:rFonts w:ascii="Arial" w:hAnsi="Arial" w:eastAsia="Arial" w:cs="Arial"/>
      <w:i/>
      <w:iCs/>
      <w:sz w:val="21"/>
      <w:szCs w:val="21"/>
    </w:rPr>
  </w:style>
  <w:style w:type="character" w:styleId="TitreCar" w:customStyle="1">
    <w:name w:val="Titre Car"/>
    <w:basedOn w:val="DefaultParagraphFont"/>
    <w:link w:val="1010"/>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link w:val="1043"/>
    <w:uiPriority w:val="99"/>
    <w:qFormat/>
    <w:rPr/>
  </w:style>
  <w:style w:type="character" w:styleId="NotedebasdepageCar" w:customStyle="1">
    <w:name w:val="Note de bas de page Car"/>
    <w:link w:val="1021"/>
    <w:uiPriority w:val="99"/>
    <w:qFormat/>
    <w:rPr>
      <w:sz w:val="18"/>
    </w:rPr>
  </w:style>
  <w:style w:type="character" w:styleId="NotedefinCar" w:customStyle="1">
    <w:name w:val="Note de fin Car"/>
    <w:link w:val="1022"/>
    <w:uiPriority w:val="99"/>
    <w:qFormat/>
    <w:rPr>
      <w:sz w:val="20"/>
    </w:rPr>
  </w:style>
  <w:style w:type="character" w:styleId="Caractresdenumrotation">
    <w:name w:val="Caractères de numérotation"/>
    <w:qFormat/>
    <w:rPr/>
  </w:style>
  <w:style w:type="character" w:styleId="StandardCar" w:customStyle="1">
    <w:name w:val="Standard Car"/>
    <w:basedOn w:val="DefaultParagraphFont"/>
    <w:link w:val="1029"/>
    <w:qFormat/>
    <w:rPr>
      <w:rFonts w:ascii="Arial" w:hAnsi="Arial"/>
      <w:sz w:val="20"/>
    </w:rPr>
  </w:style>
  <w:style w:type="character" w:styleId="Policepardfaut">
    <w:name w:val="Police par défaut"/>
    <w:qFormat/>
    <w:rPr/>
  </w:style>
  <w:style w:type="character" w:styleId="WW8Num2z4">
    <w:name w:val="WW8Num2z4"/>
    <w:qFormat/>
    <w:rPr>
      <w:rFonts w:ascii="Courier New" w:hAnsi="Courier New" w:cs="Courier New"/>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color w:val="000000"/>
    </w:rPr>
  </w:style>
  <w:style w:type="character" w:styleId="WW8Num2z0">
    <w:name w:val="WW8Num2z0"/>
    <w:qFormat/>
    <w:rPr>
      <w:rFonts w:ascii="Symbol" w:hAnsi="Symbol" w:cs="Symbol"/>
      <w:color w:val="000000"/>
    </w:rPr>
  </w:style>
  <w:style w:type="character" w:styleId="WWCharLFO1LVL9">
    <w:name w:val="WW_CharLFO1LVL9"/>
    <w:qFormat/>
    <w:rPr>
      <w:rFonts w:ascii="Wingdings" w:hAnsi="Wingdings"/>
    </w:rPr>
  </w:style>
  <w:style w:type="character" w:styleId="WWCharLFO1LVL8">
    <w:name w:val="WW_CharLFO1LVL8"/>
    <w:qFormat/>
    <w:rPr>
      <w:rFonts w:ascii="Courier New" w:hAnsi="Courier New" w:cs="Courier New"/>
    </w:rPr>
  </w:style>
  <w:style w:type="character" w:styleId="WWCharLFO1LVL7">
    <w:name w:val="WW_CharLFO1LVL7"/>
    <w:qFormat/>
    <w:rPr>
      <w:rFonts w:ascii="Symbol" w:hAnsi="Symbol"/>
    </w:rPr>
  </w:style>
  <w:style w:type="character" w:styleId="WWCharLFO1LVL6">
    <w:name w:val="WW_CharLFO1LVL6"/>
    <w:qFormat/>
    <w:rPr>
      <w:rFonts w:ascii="Wingdings" w:hAnsi="Wingdings"/>
    </w:rPr>
  </w:style>
  <w:style w:type="character" w:styleId="WWCharLFO1LVL5">
    <w:name w:val="WW_CharLFO1LVL5"/>
    <w:qFormat/>
    <w:rPr>
      <w:rFonts w:ascii="Courier New" w:hAnsi="Courier New" w:cs="Courier New"/>
    </w:rPr>
  </w:style>
  <w:style w:type="character" w:styleId="WWCharLFO1LVL4">
    <w:name w:val="WW_CharLFO1LVL4"/>
    <w:qFormat/>
    <w:rPr>
      <w:rFonts w:ascii="Symbol" w:hAnsi="Symbol"/>
    </w:rPr>
  </w:style>
  <w:style w:type="character" w:styleId="WWCharLFO1LVL3">
    <w:name w:val="WW_CharLFO1LVL3"/>
    <w:qFormat/>
    <w:rPr>
      <w:rFonts w:ascii="Wingdings" w:hAnsi="Wingdings"/>
    </w:rPr>
  </w:style>
  <w:style w:type="character" w:styleId="WWCharLFO1LVL2">
    <w:name w:val="WW_CharLFO1LVL2"/>
    <w:qFormat/>
    <w:rPr>
      <w:rFonts w:ascii="Courier New" w:hAnsi="Courier New" w:cs="Courier New"/>
    </w:rPr>
  </w:style>
  <w:style w:type="character" w:styleId="WWCharLFO1LVL1">
    <w:name w:val="WW_CharLFO1LVL1"/>
    <w:qFormat/>
    <w:rPr>
      <w:rFonts w:ascii="Wingdings" w:hAnsi="Wingdings"/>
    </w:rPr>
  </w:style>
  <w:style w:type="character" w:styleId="CorpsdetexteCar">
    <w:name w:val="Corps de texte Car"/>
    <w:qFormat/>
    <w:rPr>
      <w:rFonts w:ascii="Arial" w:hAnsi="Arial" w:eastAsia="Arial"/>
    </w:rPr>
  </w:style>
  <w:style w:type="character" w:styleId="RTFNum49">
    <w:name w:val="RTF_Num 4 9"/>
    <w:qFormat/>
    <w:rPr>
      <w:rFonts w:ascii="Wingdings" w:hAnsi="Wingdings" w:eastAsia="Wingdings" w:cs="Wingdings"/>
    </w:rPr>
  </w:style>
  <w:style w:type="character" w:styleId="RTFNum48">
    <w:name w:val="RTF_Num 4 8"/>
    <w:qFormat/>
    <w:rPr>
      <w:rFonts w:ascii="Courier New" w:hAnsi="Courier New" w:eastAsia="Courier New" w:cs="Courier New"/>
    </w:rPr>
  </w:style>
  <w:style w:type="character" w:styleId="RTFNum47">
    <w:name w:val="RTF_Num 4 7"/>
    <w:qFormat/>
    <w:rPr>
      <w:rFonts w:ascii="Symbol" w:hAnsi="Symbol" w:eastAsia="Symbol" w:cs="Symbol"/>
    </w:rPr>
  </w:style>
  <w:style w:type="character" w:styleId="RTFNum46">
    <w:name w:val="RTF_Num 4 6"/>
    <w:qFormat/>
    <w:rPr>
      <w:rFonts w:ascii="Wingdings" w:hAnsi="Wingdings" w:eastAsia="Wingdings" w:cs="Wingdings"/>
    </w:rPr>
  </w:style>
  <w:style w:type="character" w:styleId="RTFNum45">
    <w:name w:val="RTF_Num 4 5"/>
    <w:qFormat/>
    <w:rPr>
      <w:rFonts w:ascii="Courier New" w:hAnsi="Courier New" w:eastAsia="Courier New" w:cs="Courier New"/>
    </w:rPr>
  </w:style>
  <w:style w:type="character" w:styleId="RTFNum44">
    <w:name w:val="RTF_Num 4 4"/>
    <w:qFormat/>
    <w:rPr>
      <w:rFonts w:ascii="Symbol" w:hAnsi="Symbol" w:eastAsia="Symbol" w:cs="Symbol"/>
    </w:rPr>
  </w:style>
  <w:style w:type="character" w:styleId="RTFNum43">
    <w:name w:val="RTF_Num 4 3"/>
    <w:qFormat/>
    <w:rPr>
      <w:rFonts w:ascii="Wingdings" w:hAnsi="Wingdings" w:eastAsia="Wingdings" w:cs="Wingdings"/>
    </w:rPr>
  </w:style>
  <w:style w:type="character" w:styleId="RTFNum42">
    <w:name w:val="RTF_Num 4 2"/>
    <w:qFormat/>
    <w:rPr>
      <w:rFonts w:ascii="Courier New" w:hAnsi="Courier New" w:eastAsia="Courier New" w:cs="Courier New"/>
    </w:rPr>
  </w:style>
  <w:style w:type="character" w:styleId="RTFNum41">
    <w:name w:val="RTF_Num 4 1"/>
    <w:qFormat/>
    <w:rPr>
      <w:rFonts w:ascii="Wingdings" w:hAnsi="Wingdings" w:eastAsia="Wingdings" w:cs="Wingdings"/>
      <w:sz w:val="20"/>
      <w:szCs w:val="20"/>
    </w:rPr>
  </w:style>
  <w:style w:type="character" w:styleId="RTFNum39">
    <w:name w:val="RTF_Num 3 9"/>
    <w:qFormat/>
    <w:rPr>
      <w:rFonts w:cs="Times New Roman"/>
    </w:rPr>
  </w:style>
  <w:style w:type="character" w:styleId="RTFNum38">
    <w:name w:val="RTF_Num 3 8"/>
    <w:qFormat/>
    <w:rPr>
      <w:rFonts w:cs="Times New Roman"/>
    </w:rPr>
  </w:style>
  <w:style w:type="character" w:styleId="RTFNum37">
    <w:name w:val="RTF_Num 3 7"/>
    <w:qFormat/>
    <w:rPr>
      <w:rFonts w:cs="Times New Roman"/>
    </w:rPr>
  </w:style>
  <w:style w:type="character" w:styleId="RTFNum36">
    <w:name w:val="RTF_Num 3 6"/>
    <w:qFormat/>
    <w:rPr>
      <w:rFonts w:cs="Times New Roman"/>
    </w:rPr>
  </w:style>
  <w:style w:type="character" w:styleId="RTFNum35">
    <w:name w:val="RTF_Num 3 5"/>
    <w:qFormat/>
    <w:rPr>
      <w:rFonts w:cs="Times New Roman"/>
    </w:rPr>
  </w:style>
  <w:style w:type="character" w:styleId="RTFNum34">
    <w:name w:val="RTF_Num 3 4"/>
    <w:qFormat/>
    <w:rPr>
      <w:rFonts w:cs="Times New Roman"/>
    </w:rPr>
  </w:style>
  <w:style w:type="character" w:styleId="RTFNum33">
    <w:name w:val="RTF_Num 3 3"/>
    <w:qFormat/>
    <w:rPr>
      <w:rFonts w:cs="Times New Roman"/>
    </w:rPr>
  </w:style>
  <w:style w:type="character" w:styleId="RTFNum32">
    <w:name w:val="RTF_Num 3 2"/>
    <w:qFormat/>
    <w:rPr>
      <w:rFonts w:cs="Times New Roman"/>
    </w:rPr>
  </w:style>
  <w:style w:type="character" w:styleId="RTFNum31">
    <w:name w:val="RTF_Num 3 1"/>
    <w:qFormat/>
    <w:rPr>
      <w:rFonts w:cs="Times New Roman"/>
    </w:rPr>
  </w:style>
  <w:style w:type="character" w:styleId="RTFNum21">
    <w:name w:val="RTF_Num 2 1"/>
    <w:qFormat/>
    <w:rPr>
      <w:rFonts w:ascii="Wingdings" w:hAnsi="Wingdings" w:eastAsia="Wingdings" w:cs="Wingdings"/>
    </w:rPr>
  </w:style>
  <w:style w:type="paragraph" w:styleId="Titre" w:customStyle="1">
    <w:name w:val="Titre"/>
    <w:basedOn w:val="Normal"/>
    <w:next w:val="Corpsdetexte"/>
    <w:qFormat/>
    <w:pPr>
      <w:keepNext w:val="true"/>
      <w:widowControl w:val="false"/>
      <w:pBdr>
        <w:top w:val="single" w:sz="18" w:space="1" w:color="666666"/>
        <w:left w:val="single" w:sz="18" w:space="1" w:color="666666"/>
        <w:bottom w:val="single" w:sz="18" w:space="1" w:color="666666"/>
        <w:right w:val="single" w:sz="18" w:space="1" w:color="666666"/>
      </w:pBdr>
      <w:spacing w:before="567" w:after="567"/>
      <w:jc w:val="center"/>
    </w:pPr>
    <w:rPr>
      <w:rFonts w:ascii="Times New Roman" w:hAnsi="Times New Roman" w:eastAsia="Andale Sans UI" w:cs="Tahoma"/>
      <w:b/>
      <w:color w:val="00000A"/>
      <w:sz w:val="32"/>
      <w:szCs w:val="28"/>
      <w:lang w:val="fr-FR" w:eastAsia="ja-JP" w:bidi="fa-IR"/>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eastAsia="Andale Sans UI" w:cs="Tahoma"/>
      <w:color w:val="00000A"/>
      <w:sz w:val="20"/>
      <w:szCs w:val="24"/>
      <w:lang w:val="fr-FR" w:eastAsia="ja-JP" w:bidi="fa-IR"/>
    </w:rPr>
  </w:style>
  <w:style w:type="paragraph" w:styleId="Lgende">
    <w:name w:val="Caption"/>
    <w:basedOn w:val="Standard"/>
    <w:qFormat/>
    <w:pPr>
      <w:spacing w:before="120" w:after="120"/>
    </w:pPr>
    <w:rPr>
      <w:i/>
      <w:iCs/>
    </w:rPr>
  </w:style>
  <w:style w:type="paragraph" w:styleId="Index" w:customStyle="1">
    <w:name w:val="Index"/>
    <w:basedOn w:val="Normal"/>
    <w:qFormat/>
    <w:pPr>
      <w:widowControl w:val="false"/>
      <w:jc w:val="left"/>
    </w:pPr>
    <w:rPr>
      <w:rFonts w:ascii="Times New Roman" w:hAnsi="Times New Roman" w:eastAsia="Andale Sans UI" w:cs="Tahoma"/>
      <w:color w:val="00000A"/>
      <w:sz w:val="20"/>
      <w:szCs w:val="24"/>
      <w:lang w:val="fr-FR" w:eastAsia="ja-JP" w:bidi="fa-IR"/>
    </w:rPr>
  </w:style>
  <w:style w:type="paragraph" w:styleId="Tableoffigures">
    <w:name w:val="table of figures"/>
    <w:basedOn w:val="Normal"/>
    <w:uiPriority w:val="99"/>
    <w:unhideWhenUsed/>
    <w:qFormat/>
    <w:pPr>
      <w:spacing w:before="0" w:afterAutospacing="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suppressAutoHyphens w:val="true"/>
      <w:bidi w:val="0"/>
      <w:spacing w:before="0" w:after="0"/>
      <w:jc w:val="left"/>
    </w:pPr>
    <w:rPr>
      <w:rFonts w:ascii="Times New Roman" w:hAnsi="Times New Roman" w:eastAsia="Andale Sans UI" w:cs="Tahoma"/>
      <w:color w:val="00000A"/>
      <w:kern w:val="0"/>
      <w:sz w:val="20"/>
      <w:szCs w:val="24"/>
      <w:lang w:val="fr-FR" w:eastAsia="ja-JP" w:bidi="fa-IR"/>
    </w:rPr>
  </w:style>
  <w:style w:type="paragraph" w:styleId="Titreprincipal">
    <w:name w:val="Title"/>
    <w:basedOn w:val="Normal"/>
    <w:link w:val="993"/>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link w:val="995"/>
    <w:uiPriority w:val="29"/>
    <w:qFormat/>
    <w:pPr>
      <w:ind w:left="720" w:right="720" w:hanging="0"/>
    </w:pPr>
    <w:rPr>
      <w:i/>
    </w:rPr>
  </w:style>
  <w:style w:type="paragraph" w:styleId="IntenseQuote">
    <w:name w:val="Intense Quote"/>
    <w:basedOn w:val="Normal"/>
    <w:link w:val="996"/>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Notedebasdepage">
    <w:name w:val="Footnote Text"/>
    <w:basedOn w:val="Normal"/>
    <w:link w:val="1000"/>
    <w:uiPriority w:val="99"/>
    <w:semiHidden/>
    <w:unhideWhenUsed/>
    <w:qFormat/>
    <w:pPr>
      <w:spacing w:before="120" w:after="40"/>
    </w:pPr>
    <w:rPr>
      <w:sz w:val="18"/>
    </w:rPr>
  </w:style>
  <w:style w:type="paragraph" w:styleId="Notedefin">
    <w:name w:val="Endnote Text"/>
    <w:basedOn w:val="Normal"/>
    <w:link w:val="1003"/>
    <w:uiPriority w:val="99"/>
    <w:semiHidden/>
    <w:unhideWhenUsed/>
    <w:qFormat/>
    <w:pPr/>
    <w:rPr/>
  </w:style>
  <w:style w:type="paragraph" w:styleId="Tabledesmatiresniveau4">
    <w:name w:val="TOC 4"/>
    <w:basedOn w:val="Normal"/>
    <w:pPr>
      <w:widowControl/>
      <w:tabs>
        <w:tab w:val="clear" w:pos="706"/>
        <w:tab w:val="right" w:pos="9128" w:leader="dot"/>
      </w:tabs>
      <w:ind w:left="709" w:hanging="0"/>
      <w:jc w:val="left"/>
    </w:pPr>
    <w:rPr>
      <w:sz w:val="16"/>
    </w:rPr>
  </w:style>
  <w:style w:type="paragraph" w:styleId="Tabledesmatiresniveau5">
    <w:name w:val="TOC 5"/>
    <w:basedOn w:val="Normal"/>
    <w:pPr>
      <w:widowControl/>
      <w:tabs>
        <w:tab w:val="clear" w:pos="706"/>
        <w:tab w:val="right" w:pos="9015" w:leader="dot"/>
      </w:tabs>
      <w:ind w:left="851" w:hanging="0"/>
      <w:jc w:val="left"/>
    </w:pPr>
    <w:rPr>
      <w:sz w:val="16"/>
    </w:rPr>
  </w:style>
  <w:style w:type="paragraph" w:styleId="Tabledesmatiresniveau6">
    <w:name w:val="TOC 6"/>
    <w:basedOn w:val="Normal"/>
    <w:pPr>
      <w:widowControl/>
      <w:tabs>
        <w:tab w:val="clear" w:pos="706"/>
        <w:tab w:val="right" w:pos="9015" w:leader="dot"/>
      </w:tabs>
      <w:ind w:left="880" w:hanging="0"/>
      <w:jc w:val="left"/>
    </w:pPr>
    <w:rPr>
      <w:sz w:val="14"/>
    </w:rPr>
  </w:style>
  <w:style w:type="paragraph" w:styleId="Tabledesmatiresniveau7">
    <w:name w:val="TOC 7"/>
    <w:basedOn w:val="Normal"/>
    <w:pPr>
      <w:widowControl/>
      <w:tabs>
        <w:tab w:val="clear" w:pos="706"/>
        <w:tab w:val="right" w:pos="9015" w:leader="dot"/>
      </w:tabs>
      <w:ind w:left="900" w:hanging="0"/>
      <w:jc w:val="left"/>
    </w:pPr>
    <w:rPr>
      <w:sz w:val="14"/>
    </w:rPr>
  </w:style>
  <w:style w:type="paragraph" w:styleId="Tabledesmatiresniveau8">
    <w:name w:val="TOC 8"/>
    <w:basedOn w:val="Normal"/>
    <w:pPr>
      <w:widowControl/>
      <w:tabs>
        <w:tab w:val="clear" w:pos="706"/>
        <w:tab w:val="right" w:pos="9015" w:leader="dot"/>
      </w:tabs>
      <w:ind w:left="910" w:hanging="0"/>
      <w:jc w:val="left"/>
    </w:pPr>
    <w:rPr>
      <w:sz w:val="14"/>
    </w:rPr>
  </w:style>
  <w:style w:type="paragraph" w:styleId="Tabledesmatiresniveau9">
    <w:name w:val="TOC 9"/>
    <w:basedOn w:val="Normal"/>
    <w:pPr>
      <w:widowControl/>
      <w:tabs>
        <w:tab w:val="clear" w:pos="706"/>
        <w:tab w:val="right" w:pos="9015" w:leader="dot"/>
      </w:tabs>
      <w:ind w:left="920" w:hanging="0"/>
      <w:jc w:val="left"/>
    </w:pPr>
    <w:rPr>
      <w:sz w:val="14"/>
    </w:rPr>
  </w:style>
  <w:style w:type="paragraph" w:styleId="Standard" w:customStyle="1">
    <w:name w:val="Standard"/>
    <w:link w:val="1008"/>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paragraph" w:styleId="Tabledesmatiresniveau1" w:customStyle="1">
    <w:name w:val="TOC 1"/>
    <w:basedOn w:val="Index"/>
    <w:pPr>
      <w:tabs>
        <w:tab w:val="clear" w:pos="706"/>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name w:val="En-tête et pied de page"/>
    <w:basedOn w:val="Normal"/>
    <w:qFormat/>
    <w:pPr/>
    <w:rPr/>
  </w:style>
  <w:style w:type="paragraph" w:styleId="Entte">
    <w:name w:val="Header"/>
    <w:basedOn w:val="Standard"/>
    <w:uiPriority w:val="99"/>
    <w:pPr>
      <w:tabs>
        <w:tab w:val="clear" w:pos="706"/>
        <w:tab w:val="center" w:pos="4818" w:leader="none"/>
        <w:tab w:val="right" w:pos="9637" w:leader="none"/>
      </w:tabs>
    </w:pPr>
    <w:rPr/>
  </w:style>
  <w:style w:type="paragraph" w:styleId="Tabledesmatiresniveau2" w:customStyle="1">
    <w:name w:val="TOC 2"/>
    <w:basedOn w:val="Index"/>
    <w:pPr>
      <w:spacing w:before="0" w:after="0"/>
      <w:ind w:left="238" w:hanging="0"/>
    </w:pPr>
    <w:rPr>
      <w:rFonts w:ascii="Arial" w:hAnsi="Arial"/>
      <w:sz w:val="18"/>
    </w:rPr>
  </w:style>
  <w:style w:type="paragraph" w:styleId="ContentsHeading" w:customStyle="1">
    <w:name w:val="Contents Heading"/>
    <w:basedOn w:val="Titre"/>
    <w:qFormat/>
    <w:pPr>
      <w:pageBreakBefore/>
      <w:spacing w:before="0" w:after="283"/>
    </w:pPr>
    <w:rPr>
      <w:bCs/>
      <w:sz w:val="32"/>
      <w:szCs w:val="32"/>
    </w:rPr>
  </w:style>
  <w:style w:type="paragraph" w:styleId="Contents1" w:customStyle="1">
    <w:name w:val="Contents 1"/>
    <w:basedOn w:val="Index"/>
    <w:qFormat/>
    <w:pPr>
      <w:tabs>
        <w:tab w:val="clear" w:pos="706"/>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clear" w:pos="706"/>
        <w:tab w:val="right" w:pos="9241" w:leader="dot"/>
      </w:tabs>
      <w:spacing w:before="0" w:after="0"/>
      <w:ind w:left="482" w:hanging="0"/>
    </w:pPr>
    <w:rPr>
      <w:sz w:val="16"/>
    </w:rPr>
  </w:style>
  <w:style w:type="paragraph" w:styleId="Contents4" w:customStyle="1">
    <w:name w:val="Contents 4"/>
    <w:basedOn w:val="Index"/>
    <w:qFormat/>
    <w:pPr>
      <w:tabs>
        <w:tab w:val="clear" w:pos="706"/>
        <w:tab w:val="right" w:pos="9128" w:leader="dot"/>
      </w:tabs>
      <w:spacing w:before="0" w:after="0"/>
      <w:ind w:left="709" w:hanging="0"/>
    </w:pPr>
    <w:rPr>
      <w:sz w:val="16"/>
    </w:rPr>
  </w:style>
  <w:style w:type="paragraph" w:styleId="Contents5" w:customStyle="1">
    <w:name w:val="Contents 5"/>
    <w:basedOn w:val="Index"/>
    <w:qFormat/>
    <w:pPr>
      <w:tabs>
        <w:tab w:val="clear" w:pos="706"/>
        <w:tab w:val="right" w:pos="9015" w:leader="dot"/>
      </w:tabs>
      <w:spacing w:before="0" w:after="0"/>
      <w:ind w:left="851" w:hanging="0"/>
    </w:pPr>
    <w:rPr>
      <w:sz w:val="16"/>
    </w:rPr>
  </w:style>
  <w:style w:type="paragraph" w:styleId="Pieddepage">
    <w:name w:val="Footer"/>
    <w:basedOn w:val="Standard"/>
    <w:link w:val="999"/>
    <w:pPr>
      <w:pBdr>
        <w:top w:val="single" w:sz="2" w:space="0" w:color="000001"/>
        <w:left w:val="single" w:sz="2" w:space="0" w:color="000001"/>
        <w:bottom w:val="single" w:sz="2" w:space="0" w:color="000001"/>
        <w:right w:val="single" w:sz="2" w:space="0" w:color="000001"/>
      </w:pBdr>
      <w:tabs>
        <w:tab w:val="clear" w:pos="706"/>
        <w:tab w:val="center" w:pos="4818" w:leader="none"/>
        <w:tab w:val="right" w:pos="9637" w:leader="none"/>
      </w:tabs>
    </w:pPr>
    <w:rPr>
      <w:sz w:val="18"/>
    </w:rPr>
  </w:style>
  <w:style w:type="paragraph" w:styleId="Titre10" w:customStyle="1">
    <w:name w:val="Titre 10"/>
    <w:basedOn w:val="Titre"/>
    <w:qFormat/>
    <w:pPr/>
    <w:rPr>
      <w:bCs/>
    </w:rPr>
  </w:style>
  <w:style w:type="paragraph" w:styleId="Tableau" w:customStyle="1">
    <w:name w:val="Tableau"/>
    <w:basedOn w:val="Lgende"/>
    <w:qFormat/>
    <w:pPr/>
    <w:rPr>
      <w:i w:val="false"/>
      <w:sz w:val="17"/>
    </w:rPr>
  </w:style>
  <w:style w:type="paragraph" w:styleId="Indexlexicaltitre">
    <w:name w:val="Index Heading"/>
    <w:basedOn w:val="Titre"/>
    <w:pPr/>
    <w:rPr/>
  </w:style>
  <w:style w:type="paragraph" w:styleId="Titredetabledesmatires">
    <w:name w:val="TOC Heading"/>
    <w:basedOn w:val="Titre1"/>
    <w:uiPriority w:val="39"/>
    <w:unhideWhenUsed/>
    <w:qFormat/>
    <w:pPr>
      <w:keepLines/>
      <w:numPr>
        <w:ilvl w:val="0"/>
        <w:numId w:val="0"/>
      </w:numPr>
      <w:spacing w:lineRule="auto" w:line="259" w:before="240" w:after="0"/>
      <w:ind w:left="1701" w:hanging="1701"/>
      <w:jc w:val="left"/>
      <w:outlineLvl w:val="9"/>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customStyle="1">
    <w:name w:val="TOC 3"/>
    <w:basedOn w:val="Index"/>
    <w:pPr>
      <w:tabs>
        <w:tab w:val="clear" w:pos="706"/>
        <w:tab w:val="right" w:pos="9241" w:leader="dot"/>
      </w:tabs>
      <w:spacing w:before="0" w:after="0"/>
      <w:ind w:left="482" w:hanging="0"/>
    </w:pPr>
    <w:rPr>
      <w:rFonts w:ascii="Arial" w:hAnsi="Arial"/>
      <w:sz w:val="16"/>
    </w:rPr>
  </w:style>
  <w:style w:type="paragraph" w:styleId="Titre11" w:customStyle="1">
    <w:name w:val="Titre1"/>
    <w:qFormat/>
    <w:pPr>
      <w:widowControl/>
      <w:shd w:val="clear" w:color="FFFFFF" w:fill="FFFFFF"/>
      <w:suppressAutoHyphens w:val="true"/>
      <w:bidi w:val="0"/>
      <w:spacing w:before="0" w:after="0"/>
      <w:jc w:val="center"/>
    </w:pPr>
    <w:rPr>
      <w:rFonts w:ascii="Arial" w:hAnsi="Arial" w:eastAsia="simsun, 宋体" w:cs="Times New Roman"/>
      <w:b/>
      <w:color w:val="00000A"/>
      <w:kern w:val="0"/>
      <w:sz w:val="40"/>
      <w:szCs w:val="24"/>
      <w:lang w:val="fr-FR" w:eastAsia="zh-CN" w:bidi="ar-SA"/>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Puceronde">
    <w:name w:val="Puce ronde"/>
    <w:basedOn w:val="Normal"/>
    <w:qFormat/>
    <w:pPr>
      <w:ind w:left="357" w:hanging="357"/>
    </w:pPr>
    <w:rPr>
      <w:rFonts w:ascii="Garamond" w:hAnsi="Garamond" w:cs="Garamond"/>
      <w:sz w:val="22"/>
      <w:szCs w:val="22"/>
    </w:rPr>
  </w:style>
  <w:style w:type="paragraph" w:styleId="Paragraphedeliste">
    <w:name w:val="Paragraphe de liste"/>
    <w:qFormat/>
    <w:pPr>
      <w:widowControl/>
      <w:suppressAutoHyphens w:val="true"/>
      <w:bidi w:val="0"/>
      <w:spacing w:before="0" w:after="0"/>
      <w:ind w:left="720" w:hanging="0"/>
      <w:jc w:val="left"/>
    </w:pPr>
    <w:rPr>
      <w:rFonts w:ascii="Times New Roman" w:hAnsi="Times New Roman" w:eastAsia="Andale Sans UI" w:cs="Tahoma"/>
      <w:color w:val="auto"/>
      <w:kern w:val="0"/>
      <w:sz w:val="24"/>
      <w:szCs w:val="24"/>
      <w:lang w:val="fr-FR" w:eastAsia="ja-JP" w:bidi="fa-IR"/>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Intitule2">
    <w:name w:val="Intitule2"/>
    <w:qFormat/>
    <w:pPr>
      <w:widowControl/>
      <w:pBdr>
        <w:top w:val="single" w:sz="20" w:space="1" w:color="000000"/>
        <w:left w:val="single" w:sz="20" w:space="4" w:color="000000"/>
        <w:bottom w:val="single" w:sz="20" w:space="1" w:color="000000"/>
        <w:right w:val="single" w:sz="20" w:space="16" w:color="000000"/>
      </w:pBdr>
      <w:tabs>
        <w:tab w:val="clear" w:pos="706"/>
        <w:tab w:val="left" w:pos="0" w:leader="none"/>
      </w:tabs>
      <w:suppressAutoHyphens w:val="true"/>
      <w:bidi w:val="0"/>
      <w:spacing w:before="0" w:after="0"/>
      <w:jc w:val="center"/>
    </w:pPr>
    <w:rPr>
      <w:rFonts w:ascii="Arial" w:hAnsi="Arial" w:eastAsia="Andale Sans UI" w:cs="Tahoma"/>
      <w:color w:val="000000"/>
      <w:kern w:val="0"/>
      <w:sz w:val="36"/>
      <w:szCs w:val="24"/>
      <w:lang w:val="fr-FR" w:eastAsia="ja-JP" w:bidi="fa-IR"/>
    </w:rPr>
  </w:style>
  <w:style w:type="paragraph" w:styleId="TypeDocument3">
    <w:name w:val="TypeDocument3"/>
    <w:qFormat/>
    <w:pPr>
      <w:widowControl/>
      <w:suppressAutoHyphens w:val="true"/>
      <w:bidi w:val="0"/>
      <w:spacing w:lineRule="auto" w:line="240" w:before="0" w:after="0"/>
      <w:jc w:val="center"/>
    </w:pPr>
    <w:rPr>
      <w:rFonts w:ascii="Arial" w:hAnsi="Arial" w:eastAsia="Andale Sans UI" w:cs="Tahoma"/>
      <w:bCs w:val="false"/>
      <w:i w:val="false"/>
      <w:iCs w:val="false"/>
      <w:color w:val="auto"/>
      <w:kern w:val="0"/>
      <w:sz w:val="44"/>
      <w:szCs w:val="22"/>
      <w:lang w:val="fr-FR" w:eastAsia="ja-JP" w:bidi="fa-IR"/>
    </w:rPr>
  </w:style>
  <w:style w:type="paragraph" w:styleId="TypeDocument2">
    <w:name w:val="TypeDocument2"/>
    <w:qFormat/>
    <w:pPr>
      <w:widowControl/>
      <w:suppressAutoHyphens w:val="true"/>
      <w:bidi w:val="0"/>
      <w:spacing w:lineRule="auto" w:line="240" w:before="0" w:after="0"/>
      <w:jc w:val="center"/>
    </w:pPr>
    <w:rPr>
      <w:rFonts w:ascii="Arial" w:hAnsi="Arial" w:eastAsia="Andale Sans UI" w:cs="Tahoma"/>
      <w:bCs w:val="false"/>
      <w:i w:val="false"/>
      <w:iCs w:val="false"/>
      <w:color w:val="auto"/>
      <w:kern w:val="0"/>
      <w:sz w:val="44"/>
      <w:szCs w:val="22"/>
      <w:lang w:val="fr-FR" w:eastAsia="ja-JP" w:bidi="fa-IR"/>
    </w:rPr>
  </w:style>
  <w:style w:type="paragraph" w:styleId="DateLimite">
    <w:name w:val="DateLimite"/>
    <w:basedOn w:val="Normal"/>
    <w:qFormat/>
    <w:pPr>
      <w:tabs>
        <w:tab w:val="clear" w:pos="706"/>
        <w:tab w:val="left" w:pos="3600" w:leader="none"/>
      </w:tabs>
      <w:ind w:left="3600" w:hanging="3600"/>
      <w:jc w:val="center"/>
    </w:pPr>
    <w:rPr>
      <w:rFonts w:ascii="Arial" w:hAnsi="Arial"/>
      <w:color w:val="000000"/>
      <w:szCs w:val="20"/>
    </w:rPr>
  </w:style>
  <w:style w:type="paragraph" w:styleId="Procedure">
    <w:name w:val="Procedure"/>
    <w:basedOn w:val="Normal"/>
    <w:qFormat/>
    <w:pPr>
      <w:tabs>
        <w:tab w:val="clear" w:pos="706"/>
        <w:tab w:val="left" w:pos="3600" w:leader="none"/>
      </w:tabs>
      <w:ind w:left="3600" w:hanging="3600"/>
      <w:jc w:val="center"/>
    </w:pPr>
    <w:rPr>
      <w:rFonts w:ascii="Arial" w:hAnsi="Arial"/>
      <w:color w:val="000000"/>
      <w:szCs w:val="20"/>
    </w:rPr>
  </w:style>
  <w:style w:type="paragraph" w:styleId="NumeroConsultation">
    <w:name w:val="NumeroConsultation"/>
    <w:basedOn w:val="Normal"/>
    <w:qFormat/>
    <w:pPr>
      <w:tabs>
        <w:tab w:val="clear" w:pos="706"/>
        <w:tab w:val="left" w:pos="3600" w:leader="none"/>
      </w:tabs>
      <w:ind w:left="3600" w:hanging="3600"/>
      <w:jc w:val="center"/>
    </w:pPr>
    <w:rPr>
      <w:rFonts w:ascii="Arial" w:hAnsi="Arial"/>
      <w:color w:val="000000"/>
      <w:szCs w:val="20"/>
    </w:rPr>
  </w:style>
  <w:style w:type="paragraph" w:styleId="TypeDocument">
    <w:name w:val="TypeDocument"/>
    <w:qFormat/>
    <w:pPr>
      <w:widowControl/>
      <w:pBdr>
        <w:top w:val="single" w:sz="20" w:space="1" w:color="000000"/>
        <w:left w:val="single" w:sz="20" w:space="4" w:color="000000"/>
        <w:bottom w:val="single" w:sz="20" w:space="1" w:color="000000"/>
        <w:right w:val="single" w:sz="20" w:space="16" w:color="000000"/>
      </w:pBdr>
      <w:suppressAutoHyphens w:val="true"/>
      <w:bidi w:val="0"/>
      <w:spacing w:before="0" w:after="0"/>
      <w:jc w:val="center"/>
    </w:pPr>
    <w:rPr>
      <w:rFonts w:ascii="Arial" w:hAnsi="Arial" w:eastAsia="Andale Sans UI" w:cs="Tahoma"/>
      <w:color w:val="000000"/>
      <w:kern w:val="0"/>
      <w:sz w:val="44"/>
      <w:szCs w:val="44"/>
      <w:lang w:val="fr-FR" w:eastAsia="ja-JP" w:bidi="fa-IR"/>
    </w:rPr>
  </w:style>
  <w:style w:type="paragraph" w:styleId="Direction">
    <w:name w:val="Direction"/>
    <w:basedOn w:val="Normal"/>
    <w:qFormat/>
    <w:pPr>
      <w:jc w:val="center"/>
    </w:pPr>
    <w:rPr>
      <w:rFonts w:ascii="Arial" w:hAnsi="Arial"/>
      <w:b w:val="false"/>
      <w:bCs w:val="false"/>
      <w:sz w:val="36"/>
      <w:szCs w:val="28"/>
    </w:rPr>
  </w:style>
  <w:style w:type="paragraph" w:styleId="PA">
    <w:name w:val="PA"/>
    <w:basedOn w:val="Normal"/>
    <w:qFormat/>
    <w:pPr>
      <w:jc w:val="center"/>
    </w:pPr>
    <w:rPr>
      <w:rFonts w:ascii="Arial" w:hAnsi="Arial"/>
      <w:sz w:val="40"/>
      <w:szCs w:val="40"/>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jc w:val="center"/>
    </w:pPr>
    <w:rPr>
      <w:rFonts w:ascii="Arial" w:hAnsi="Arial"/>
      <w:color w:val="000000"/>
      <w:sz w:val="36"/>
      <w:shd w:fill="FFFFFF" w:val="clear"/>
    </w:rPr>
  </w:style>
  <w:style w:type="paragraph" w:styleId="Standard20">
    <w:name w:val="Standard 20"/>
    <w:basedOn w:val="Normal"/>
    <w:qFormat/>
    <w:pPr/>
    <w:rPr>
      <w:sz w:val="40"/>
      <w:szCs w:val="40"/>
    </w:rPr>
  </w:style>
  <w:style w:type="paragraph" w:styleId="Numration1lamarge">
    <w:name w:val="énumération 1  à la marge"/>
    <w:basedOn w:val="Normal"/>
    <w:qFormat/>
    <w:pPr>
      <w:tabs>
        <w:tab w:val="clear" w:pos="706"/>
        <w:tab w:val="left" w:pos="360" w:leader="none"/>
      </w:tabs>
      <w:spacing w:before="120" w:after="120"/>
      <w:ind w:left="360" w:hanging="360"/>
      <w:jc w:val="both"/>
    </w:pPr>
    <w:rPr>
      <w:rFonts w:ascii="Trebuchet MS" w:hAnsi="Trebuchet MS"/>
      <w:sz w:val="21"/>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glossaryDocument" Target="glossary/document.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glossary/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e5377b83e21e4b9b8538382a47f5abfe"/>
        <w:types>
          <w:type w:val="none"/>
        </w:types>
        <w:behaviors>
          <w:behavior w:val="content"/>
        </w:behaviors>
      </w:docPartPr>
      <w:docPartBody>
        <w:p>
          <w:r>
            <w:t xml:space="preserve">    </w:t>
          </w:r>
          <w:r/>
        </w:p>
      </w:docPartBody>
    </w:docPart>
    <w:docPart>
      <w:docPartPr>
        <w:name w:val="59f1ccb57df544508df6e30fbcabe601"/>
        <w:types>
          <w:type w:val="none"/>
        </w:types>
        <w:behaviors>
          <w:behavior w:val="content"/>
        </w:behaviors>
      </w:docPartPr>
      <w:docPartBody>
        <w:p>
          <w:r>
            <w:t xml:space="preserve">    </w:t>
          </w:r>
          <w:r/>
        </w:p>
      </w:docPartBody>
    </w:docPart>
    <w:docPart>
      <w:docPartPr>
        <w:name w:val="bf333b17c5f747d7a16e7f9f7eb6ac24"/>
        <w:types>
          <w:type w:val="none"/>
        </w:types>
        <w:behaviors>
          <w:behavior w:val="content"/>
        </w:behaviors>
      </w:docPartPr>
      <w:docPartBody>
        <w:p>
          <w:r>
            <w:t xml:space="preserve">    </w:t>
          </w:r>
          <w:r/>
        </w:p>
      </w:docPartBody>
    </w:docPart>
    <w:docPart>
      <w:docPartPr>
        <w:name w:val="a82c34d1e3104ce2827eac3ed4e96aed"/>
        <w:types>
          <w:type w:val="none"/>
        </w:types>
        <w:behaviors>
          <w:behavior w:val="content"/>
        </w:behaviors>
      </w:docPartPr>
      <w:docPartBody>
        <w:p>
          <w:r>
            <w:t xml:space="preserve">    </w:t>
          </w:r>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6"/>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sz w:val="22"/>
        <w:szCs w:val="22"/>
        <w:lang w:val="en-US"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642" w:default="1">
    <w:name w:val="Normal"/>
    <w:qFormat/>
  </w:style>
  <w:style w:type="character" w:styleId="1643" w:default="1">
    <w:name w:val="Default Paragraph Font"/>
    <w:uiPriority w:val="1"/>
    <w:semiHidden/>
    <w:unhideWhenUsed/>
  </w:style>
  <w:style w:type="numbering" w:styleId="1644" w:default="1">
    <w:name w:val="No List"/>
    <w:uiPriority w:val="99"/>
    <w:semiHidden/>
    <w:unhideWhenUsed/>
  </w:style>
  <w:style w:type="paragraph" w:styleId="1645">
    <w:name w:val="Heading 1"/>
    <w:basedOn w:val="1642"/>
    <w:next w:val="1642"/>
    <w:link w:val="1646"/>
    <w:qFormat/>
    <w:uiPriority w:val="9"/>
    <w:rPr>
      <w:rFonts w:ascii="Arial" w:hAnsi="Arial" w:cs="Arial" w:eastAsia="Arial"/>
      <w:sz w:val="40"/>
      <w:szCs w:val="40"/>
    </w:rPr>
    <w:pPr>
      <w:keepLines/>
      <w:keepNext/>
      <w:spacing w:after="200" w:before="480"/>
      <w:outlineLvl w:val="0"/>
    </w:pPr>
  </w:style>
  <w:style w:type="character" w:styleId="1646">
    <w:name w:val="Heading 1 Char"/>
    <w:basedOn w:val="1643"/>
    <w:link w:val="1645"/>
    <w:uiPriority w:val="9"/>
    <w:rPr>
      <w:rFonts w:ascii="Arial" w:hAnsi="Arial" w:cs="Arial" w:eastAsia="Arial"/>
      <w:sz w:val="40"/>
      <w:szCs w:val="40"/>
    </w:rPr>
  </w:style>
  <w:style w:type="paragraph" w:styleId="1647">
    <w:name w:val="Heading 2"/>
    <w:basedOn w:val="1642"/>
    <w:next w:val="1642"/>
    <w:link w:val="1648"/>
    <w:qFormat/>
    <w:uiPriority w:val="9"/>
    <w:unhideWhenUsed/>
    <w:rPr>
      <w:rFonts w:ascii="Arial" w:hAnsi="Arial" w:cs="Arial" w:eastAsia="Arial"/>
      <w:sz w:val="34"/>
    </w:rPr>
    <w:pPr>
      <w:keepLines/>
      <w:keepNext/>
      <w:spacing w:after="200" w:before="360"/>
      <w:outlineLvl w:val="1"/>
    </w:pPr>
  </w:style>
  <w:style w:type="character" w:styleId="1648">
    <w:name w:val="Heading 2 Char"/>
    <w:basedOn w:val="1643"/>
    <w:link w:val="1647"/>
    <w:uiPriority w:val="9"/>
    <w:rPr>
      <w:rFonts w:ascii="Arial" w:hAnsi="Arial" w:cs="Arial" w:eastAsia="Arial"/>
      <w:sz w:val="34"/>
    </w:rPr>
  </w:style>
  <w:style w:type="paragraph" w:styleId="1649">
    <w:name w:val="Heading 3"/>
    <w:basedOn w:val="1642"/>
    <w:next w:val="1642"/>
    <w:link w:val="1650"/>
    <w:qFormat/>
    <w:uiPriority w:val="9"/>
    <w:unhideWhenUsed/>
    <w:rPr>
      <w:rFonts w:ascii="Arial" w:hAnsi="Arial" w:cs="Arial" w:eastAsia="Arial"/>
      <w:sz w:val="30"/>
      <w:szCs w:val="30"/>
    </w:rPr>
    <w:pPr>
      <w:keepLines/>
      <w:keepNext/>
      <w:spacing w:after="200" w:before="320"/>
      <w:outlineLvl w:val="2"/>
    </w:pPr>
  </w:style>
  <w:style w:type="character" w:styleId="1650">
    <w:name w:val="Heading 3 Char"/>
    <w:basedOn w:val="1643"/>
    <w:link w:val="1649"/>
    <w:uiPriority w:val="9"/>
    <w:rPr>
      <w:rFonts w:ascii="Arial" w:hAnsi="Arial" w:cs="Arial" w:eastAsia="Arial"/>
      <w:sz w:val="30"/>
      <w:szCs w:val="30"/>
    </w:rPr>
  </w:style>
  <w:style w:type="paragraph" w:styleId="1651">
    <w:name w:val="Heading 4"/>
    <w:basedOn w:val="1642"/>
    <w:next w:val="1642"/>
    <w:link w:val="1652"/>
    <w:qFormat/>
    <w:uiPriority w:val="9"/>
    <w:unhideWhenUsed/>
    <w:rPr>
      <w:rFonts w:ascii="Arial" w:hAnsi="Arial" w:cs="Arial" w:eastAsia="Arial"/>
      <w:b/>
      <w:bCs/>
      <w:sz w:val="26"/>
      <w:szCs w:val="26"/>
    </w:rPr>
    <w:pPr>
      <w:keepLines/>
      <w:keepNext/>
      <w:spacing w:after="200" w:before="320"/>
      <w:outlineLvl w:val="3"/>
    </w:pPr>
  </w:style>
  <w:style w:type="character" w:styleId="1652">
    <w:name w:val="Heading 4 Char"/>
    <w:basedOn w:val="1643"/>
    <w:link w:val="1651"/>
    <w:uiPriority w:val="9"/>
    <w:rPr>
      <w:rFonts w:ascii="Arial" w:hAnsi="Arial" w:cs="Arial" w:eastAsia="Arial"/>
      <w:b/>
      <w:bCs/>
      <w:sz w:val="26"/>
      <w:szCs w:val="26"/>
    </w:rPr>
  </w:style>
  <w:style w:type="paragraph" w:styleId="1653">
    <w:name w:val="Heading 5"/>
    <w:basedOn w:val="1642"/>
    <w:next w:val="1642"/>
    <w:link w:val="1654"/>
    <w:qFormat/>
    <w:uiPriority w:val="9"/>
    <w:unhideWhenUsed/>
    <w:rPr>
      <w:rFonts w:ascii="Arial" w:hAnsi="Arial" w:cs="Arial" w:eastAsia="Arial"/>
      <w:b/>
      <w:bCs/>
      <w:sz w:val="24"/>
      <w:szCs w:val="24"/>
    </w:rPr>
    <w:pPr>
      <w:keepLines/>
      <w:keepNext/>
      <w:spacing w:after="200" w:before="320"/>
      <w:outlineLvl w:val="4"/>
    </w:pPr>
  </w:style>
  <w:style w:type="character" w:styleId="1654">
    <w:name w:val="Heading 5 Char"/>
    <w:basedOn w:val="1643"/>
    <w:link w:val="1653"/>
    <w:uiPriority w:val="9"/>
    <w:rPr>
      <w:rFonts w:ascii="Arial" w:hAnsi="Arial" w:cs="Arial" w:eastAsia="Arial"/>
      <w:b/>
      <w:bCs/>
      <w:sz w:val="24"/>
      <w:szCs w:val="24"/>
    </w:rPr>
  </w:style>
  <w:style w:type="paragraph" w:styleId="1655">
    <w:name w:val="Heading 6"/>
    <w:basedOn w:val="1642"/>
    <w:next w:val="1642"/>
    <w:link w:val="1656"/>
    <w:qFormat/>
    <w:uiPriority w:val="9"/>
    <w:unhideWhenUsed/>
    <w:rPr>
      <w:rFonts w:ascii="Arial" w:hAnsi="Arial" w:cs="Arial" w:eastAsia="Arial"/>
      <w:b/>
      <w:bCs/>
      <w:sz w:val="22"/>
      <w:szCs w:val="22"/>
    </w:rPr>
    <w:pPr>
      <w:keepLines/>
      <w:keepNext/>
      <w:spacing w:after="200" w:before="320"/>
      <w:outlineLvl w:val="5"/>
    </w:pPr>
  </w:style>
  <w:style w:type="character" w:styleId="1656">
    <w:name w:val="Heading 6 Char"/>
    <w:basedOn w:val="1643"/>
    <w:link w:val="1655"/>
    <w:uiPriority w:val="9"/>
    <w:rPr>
      <w:rFonts w:ascii="Arial" w:hAnsi="Arial" w:cs="Arial" w:eastAsia="Arial"/>
      <w:b/>
      <w:bCs/>
      <w:sz w:val="22"/>
      <w:szCs w:val="22"/>
    </w:rPr>
  </w:style>
  <w:style w:type="paragraph" w:styleId="1657">
    <w:name w:val="Heading 7"/>
    <w:basedOn w:val="1642"/>
    <w:next w:val="1642"/>
    <w:link w:val="1658"/>
    <w:qFormat/>
    <w:uiPriority w:val="9"/>
    <w:unhideWhenUsed/>
    <w:rPr>
      <w:rFonts w:ascii="Arial" w:hAnsi="Arial" w:cs="Arial" w:eastAsia="Arial"/>
      <w:b/>
      <w:bCs/>
      <w:i/>
      <w:iCs/>
      <w:sz w:val="22"/>
      <w:szCs w:val="22"/>
    </w:rPr>
    <w:pPr>
      <w:keepLines/>
      <w:keepNext/>
      <w:spacing w:after="200" w:before="320"/>
      <w:outlineLvl w:val="6"/>
    </w:pPr>
  </w:style>
  <w:style w:type="character" w:styleId="1658">
    <w:name w:val="Heading 7 Char"/>
    <w:basedOn w:val="1643"/>
    <w:link w:val="1657"/>
    <w:uiPriority w:val="9"/>
    <w:rPr>
      <w:rFonts w:ascii="Arial" w:hAnsi="Arial" w:cs="Arial" w:eastAsia="Arial"/>
      <w:b/>
      <w:bCs/>
      <w:i/>
      <w:iCs/>
      <w:sz w:val="22"/>
      <w:szCs w:val="22"/>
    </w:rPr>
  </w:style>
  <w:style w:type="paragraph" w:styleId="1659">
    <w:name w:val="Heading 8"/>
    <w:basedOn w:val="1642"/>
    <w:next w:val="1642"/>
    <w:link w:val="1660"/>
    <w:qFormat/>
    <w:uiPriority w:val="9"/>
    <w:unhideWhenUsed/>
    <w:rPr>
      <w:rFonts w:ascii="Arial" w:hAnsi="Arial" w:cs="Arial" w:eastAsia="Arial"/>
      <w:i/>
      <w:iCs/>
      <w:sz w:val="22"/>
      <w:szCs w:val="22"/>
    </w:rPr>
    <w:pPr>
      <w:keepLines/>
      <w:keepNext/>
      <w:spacing w:after="200" w:before="320"/>
      <w:outlineLvl w:val="7"/>
    </w:pPr>
  </w:style>
  <w:style w:type="character" w:styleId="1660">
    <w:name w:val="Heading 8 Char"/>
    <w:basedOn w:val="1643"/>
    <w:link w:val="1659"/>
    <w:uiPriority w:val="9"/>
    <w:rPr>
      <w:rFonts w:ascii="Arial" w:hAnsi="Arial" w:cs="Arial" w:eastAsia="Arial"/>
      <w:i/>
      <w:iCs/>
      <w:sz w:val="22"/>
      <w:szCs w:val="22"/>
    </w:rPr>
  </w:style>
  <w:style w:type="paragraph" w:styleId="1661">
    <w:name w:val="Heading 9"/>
    <w:basedOn w:val="1642"/>
    <w:next w:val="1642"/>
    <w:link w:val="1662"/>
    <w:qFormat/>
    <w:uiPriority w:val="9"/>
    <w:unhideWhenUsed/>
    <w:rPr>
      <w:rFonts w:ascii="Arial" w:hAnsi="Arial" w:cs="Arial" w:eastAsia="Arial"/>
      <w:i/>
      <w:iCs/>
      <w:sz w:val="21"/>
      <w:szCs w:val="21"/>
    </w:rPr>
    <w:pPr>
      <w:keepLines/>
      <w:keepNext/>
      <w:spacing w:after="200" w:before="320"/>
      <w:outlineLvl w:val="8"/>
    </w:pPr>
  </w:style>
  <w:style w:type="character" w:styleId="1662">
    <w:name w:val="Heading 9 Char"/>
    <w:basedOn w:val="1643"/>
    <w:link w:val="1661"/>
    <w:uiPriority w:val="9"/>
    <w:rPr>
      <w:rFonts w:ascii="Arial" w:hAnsi="Arial" w:cs="Arial" w:eastAsia="Arial"/>
      <w:i/>
      <w:iCs/>
      <w:sz w:val="21"/>
      <w:szCs w:val="21"/>
    </w:rPr>
  </w:style>
  <w:style w:type="paragraph" w:styleId="1663">
    <w:name w:val="List Paragraph"/>
    <w:basedOn w:val="1642"/>
    <w:qFormat/>
    <w:uiPriority w:val="34"/>
    <w:pPr>
      <w:contextualSpacing w:val="true"/>
      <w:ind w:left="720"/>
    </w:pPr>
  </w:style>
  <w:style w:type="table" w:styleId="1664" w:default="1">
    <w:name w:val="Normal Table"/>
    <w:uiPriority w:val="99"/>
    <w:semiHidden/>
    <w:unhideWhenUsed/>
    <w:tblPr>
      <w:tblInd w:w="0" w:type="dxa"/>
      <w:tblCellMar>
        <w:left w:w="108" w:type="dxa"/>
        <w:top w:w="0" w:type="dxa"/>
        <w:right w:w="108" w:type="dxa"/>
        <w:bottom w:w="0" w:type="dxa"/>
      </w:tblCellMar>
    </w:tblPr>
  </w:style>
  <w:style w:type="paragraph" w:styleId="1665">
    <w:name w:val="No Spacing"/>
    <w:qFormat/>
    <w:uiPriority w:val="1"/>
    <w:pPr>
      <w:spacing w:lineRule="auto" w:line="240" w:after="0" w:before="0"/>
    </w:pPr>
  </w:style>
  <w:style w:type="paragraph" w:styleId="1666">
    <w:name w:val="Title"/>
    <w:basedOn w:val="1642"/>
    <w:next w:val="1642"/>
    <w:link w:val="1667"/>
    <w:qFormat/>
    <w:uiPriority w:val="10"/>
    <w:rPr>
      <w:sz w:val="48"/>
      <w:szCs w:val="48"/>
    </w:rPr>
    <w:pPr>
      <w:contextualSpacing w:val="true"/>
      <w:spacing w:after="200" w:before="300"/>
    </w:pPr>
  </w:style>
  <w:style w:type="character" w:styleId="1667">
    <w:name w:val="Title Char"/>
    <w:basedOn w:val="1643"/>
    <w:link w:val="1666"/>
    <w:uiPriority w:val="10"/>
    <w:rPr>
      <w:sz w:val="48"/>
      <w:szCs w:val="48"/>
    </w:rPr>
  </w:style>
  <w:style w:type="paragraph" w:styleId="1668">
    <w:name w:val="Subtitle"/>
    <w:basedOn w:val="1642"/>
    <w:next w:val="1642"/>
    <w:link w:val="1669"/>
    <w:qFormat/>
    <w:uiPriority w:val="11"/>
    <w:rPr>
      <w:sz w:val="24"/>
      <w:szCs w:val="24"/>
    </w:rPr>
    <w:pPr>
      <w:spacing w:after="200" w:before="200"/>
    </w:pPr>
  </w:style>
  <w:style w:type="character" w:styleId="1669">
    <w:name w:val="Subtitle Char"/>
    <w:basedOn w:val="1643"/>
    <w:link w:val="1668"/>
    <w:uiPriority w:val="11"/>
    <w:rPr>
      <w:sz w:val="24"/>
      <w:szCs w:val="24"/>
    </w:rPr>
  </w:style>
  <w:style w:type="paragraph" w:styleId="1670">
    <w:name w:val="Quote"/>
    <w:basedOn w:val="1642"/>
    <w:next w:val="1642"/>
    <w:link w:val="1671"/>
    <w:qFormat/>
    <w:uiPriority w:val="29"/>
    <w:rPr>
      <w:i/>
    </w:rPr>
    <w:pPr>
      <w:ind w:left="720" w:right="720"/>
    </w:pPr>
  </w:style>
  <w:style w:type="character" w:styleId="1671">
    <w:name w:val="Quote Char"/>
    <w:link w:val="1670"/>
    <w:uiPriority w:val="29"/>
    <w:rPr>
      <w:i/>
    </w:rPr>
  </w:style>
  <w:style w:type="paragraph" w:styleId="1672">
    <w:name w:val="Intense Quote"/>
    <w:basedOn w:val="1642"/>
    <w:next w:val="1642"/>
    <w:link w:val="1673"/>
    <w:qFormat/>
    <w:uiPriority w:val="30"/>
    <w:rPr>
      <w:i/>
    </w:rPr>
    <w:pPr>
      <w:contextualSpacing w:val="false"/>
      <w:ind w:left="720" w:right="720"/>
      <w:shd w:val="clear" w:fill="F2F2F2" w:color="F2F2F2"/>
      <w:pBdr>
        <w:left w:val="single" w:color="FFFFFF" w:sz="4" w:space="10"/>
        <w:top w:val="single" w:color="FFFFFF" w:sz="4" w:space="5"/>
        <w:right w:val="single" w:color="FFFFFF" w:sz="4" w:space="10"/>
        <w:bottom w:val="single" w:color="FFFFFF" w:sz="4" w:space="5"/>
      </w:pBdr>
    </w:pPr>
  </w:style>
  <w:style w:type="character" w:styleId="1673">
    <w:name w:val="Intense Quote Char"/>
    <w:link w:val="1672"/>
    <w:uiPriority w:val="30"/>
    <w:rPr>
      <w:i/>
    </w:rPr>
  </w:style>
  <w:style w:type="paragraph" w:styleId="1674">
    <w:name w:val="Header"/>
    <w:basedOn w:val="1642"/>
    <w:link w:val="1675"/>
    <w:uiPriority w:val="99"/>
    <w:unhideWhenUsed/>
    <w:pPr>
      <w:spacing w:lineRule="auto" w:line="240" w:after="0"/>
      <w:tabs>
        <w:tab w:val="center" w:pos="7143" w:leader="none"/>
        <w:tab w:val="right" w:pos="14287" w:leader="none"/>
      </w:tabs>
    </w:pPr>
  </w:style>
  <w:style w:type="character" w:styleId="1675">
    <w:name w:val="Header Char"/>
    <w:basedOn w:val="1643"/>
    <w:link w:val="1674"/>
    <w:uiPriority w:val="99"/>
  </w:style>
  <w:style w:type="paragraph" w:styleId="1676">
    <w:name w:val="Footer"/>
    <w:basedOn w:val="1642"/>
    <w:link w:val="1679"/>
    <w:uiPriority w:val="99"/>
    <w:unhideWhenUsed/>
    <w:pPr>
      <w:spacing w:lineRule="auto" w:line="240" w:after="0"/>
      <w:tabs>
        <w:tab w:val="center" w:pos="7143" w:leader="none"/>
        <w:tab w:val="right" w:pos="14287" w:leader="none"/>
      </w:tabs>
    </w:pPr>
  </w:style>
  <w:style w:type="character" w:styleId="1677">
    <w:name w:val="Footer Char"/>
    <w:basedOn w:val="1643"/>
    <w:link w:val="1676"/>
    <w:uiPriority w:val="99"/>
  </w:style>
  <w:style w:type="paragraph" w:styleId="1678">
    <w:name w:val="Caption"/>
    <w:basedOn w:val="1642"/>
    <w:next w:val="1642"/>
    <w:qFormat/>
    <w:uiPriority w:val="35"/>
    <w:semiHidden/>
    <w:unhideWhenUsed/>
    <w:rPr>
      <w:b/>
      <w:bCs/>
      <w:color w:val="4F81BD" w:themeColor="accent1"/>
      <w:sz w:val="18"/>
      <w:szCs w:val="18"/>
    </w:rPr>
    <w:pPr>
      <w:spacing w:lineRule="auto" w:line="276"/>
    </w:pPr>
  </w:style>
  <w:style w:type="character" w:styleId="1679">
    <w:name w:val="Caption Char"/>
    <w:basedOn w:val="1678"/>
    <w:link w:val="1676"/>
    <w:uiPriority w:val="99"/>
  </w:style>
  <w:style w:type="table" w:styleId="1680">
    <w:name w:val="Table Grid"/>
    <w:basedOn w:val="1664"/>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681">
    <w:name w:val="Table Grid Light"/>
    <w:basedOn w:val="166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1682">
    <w:name w:val="Plain Table 1"/>
    <w:basedOn w:val="1664"/>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fill="FFFFFF" w:color="FFFFFF" w:themeFill="text1" w:themeFillTint="0D"/>
      </w:tcPr>
    </w:tblStylePr>
    <w:tblStylePr w:type="band1Vert">
      <w:tcPr>
        <w:shd w:val="clear" w:fill="FFFFFF" w:color="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683">
    <w:name w:val="Plain Table 2"/>
    <w:basedOn w:val="1664"/>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684">
    <w:name w:val="Plain Table 3"/>
    <w:basedOn w:val="16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1685">
    <w:name w:val="Plain Table 4"/>
    <w:basedOn w:val="16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686">
    <w:name w:val="Plain Table 5"/>
    <w:basedOn w:val="1664"/>
    <w:uiPriority w:val="99"/>
    <w:pPr>
      <w:spacing w:lineRule="auto" w:line="240" w:after="0"/>
    </w:pPr>
    <w:tblPr>
      <w:tblStyleRowBandSize w:val="1"/>
      <w:tblStyleColBandSize w:val="1"/>
      <w:tblInd w:w="0" w:type="dxa"/>
    </w:tblPr>
    <w:tblStylePr w:type="band1Horz">
      <w:rPr>
        <w:rFonts w:ascii="Arial" w:hAnsi="Arial"/>
        <w:color w:val="404040"/>
        <w:sz w:val="22"/>
      </w:rPr>
      <w:tcPr>
        <w:shd w:val="clear" w:fill="FFFFFF" w:color="FFFFFF" w:themeFill="text1" w:themeFillTint="0D"/>
      </w:tcPr>
    </w:tblStylePr>
    <w:tblStylePr w:type="band1Vert">
      <w:rPr>
        <w:rFonts w:ascii="Arial" w:hAnsi="Arial"/>
        <w:color w:val="404040"/>
        <w:sz w:val="22"/>
      </w:rPr>
      <w:tcPr>
        <w:shd w:val="clear" w:fill="FFFFFF" w:color="FFFFFF" w:themeFill="text1" w:themeFillTint="0D"/>
      </w:tcPr>
    </w:tblStylePr>
    <w:tblStylePr w:type="firstCol">
      <w:rPr>
        <w:i/>
        <w:color w:val="404040"/>
      </w:rPr>
      <w:pPr>
        <w:jc w:val="right"/>
      </w:pPr>
      <w:tcPr>
        <w:shd w:val="clear" w:fill="FFFFFF" w:color="FFFFFF"/>
        <w:tcBorders>
          <w:right w:val="single" w:color="404040" w:sz="4" w:space="0"/>
        </w:tcBorders>
      </w:tcPr>
    </w:tblStylePr>
    <w:tblStylePr w:type="firstRow">
      <w:rPr>
        <w:i/>
        <w:color w:val="404040"/>
      </w:rPr>
      <w:tcPr>
        <w:shd w:val="clear" w:fill="FFFFFF" w:color="FFFFFF"/>
        <w:tcBorders>
          <w:left w:val="none" w:color="000000" w:sz="4" w:space="0"/>
          <w:right w:val="none" w:color="000000" w:sz="4" w:space="0"/>
          <w:bottom w:val="single" w:color="404040" w:sz="4" w:space="0"/>
        </w:tcBorders>
      </w:tcPr>
    </w:tblStylePr>
    <w:tblStylePr w:type="lastCol">
      <w:rPr>
        <w:i/>
        <w:color w:val="404040"/>
      </w:rPr>
      <w:tcPr>
        <w:shd w:val="clear" w:fill="FFFFFF" w:color="FFFFFF"/>
        <w:tcBorders>
          <w:left w:val="single" w:color="404040" w:sz="4" w:space="0"/>
        </w:tcBorders>
      </w:tcPr>
    </w:tblStylePr>
    <w:tblStylePr w:type="lastRow">
      <w:rPr>
        <w:i/>
        <w:color w:val="404040"/>
      </w:rPr>
      <w:tcPr>
        <w:shd w:val="clear" w:fill="FFFFFF" w:color="FFFFFF"/>
        <w:tcBorders>
          <w:left w:val="none" w:color="000000" w:sz="4" w:space="0"/>
          <w:top w:val="single" w:color="404040" w:sz="4" w:space="0"/>
          <w:right w:val="none" w:color="000000" w:sz="4" w:space="0"/>
        </w:tcBorders>
      </w:tcPr>
    </w:tblStylePr>
  </w:style>
  <w:style w:type="table" w:styleId="1687">
    <w:name w:val="Grid Table 1 Light"/>
    <w:basedOn w:val="1664"/>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1688">
    <w:name w:val="Grid Table 1 Light - Accent 1"/>
    <w:basedOn w:val="166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1689">
    <w:name w:val="Grid Table 1 Light - Accent 2"/>
    <w:basedOn w:val="166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1690">
    <w:name w:val="Grid Table 1 Light - Accent 3"/>
    <w:basedOn w:val="166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1691">
    <w:name w:val="Grid Table 1 Light - Accent 4"/>
    <w:basedOn w:val="166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1692">
    <w:name w:val="Grid Table 1 Light - Accent 5"/>
    <w:basedOn w:val="166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1693">
    <w:name w:val="Grid Table 1 Light - Accent 6"/>
    <w:basedOn w:val="166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1694">
    <w:name w:val="Grid Table 2"/>
    <w:basedOn w:val="166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1695">
    <w:name w:val="Grid Table 2 - Accent 1"/>
    <w:basedOn w:val="166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1696">
    <w:name w:val="Grid Table 2 - Accent 2"/>
    <w:basedOn w:val="166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1697">
    <w:name w:val="Grid Table 2 - Accent 3"/>
    <w:basedOn w:val="166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1698">
    <w:name w:val="Grid Table 2 - Accent 4"/>
    <w:basedOn w:val="166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1699">
    <w:name w:val="Grid Table 2 - Accent 5"/>
    <w:basedOn w:val="166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5"/>
          <w:right w:val="none" w:color="000000" w:sz="4" w:space="0"/>
          <w:bottom w:val="none" w:color="000000" w:sz="4" w:space="0"/>
        </w:tcBorders>
      </w:tcPr>
    </w:tblStylePr>
  </w:style>
  <w:style w:type="table" w:styleId="1700">
    <w:name w:val="Grid Table 2 - Accent 6"/>
    <w:basedOn w:val="166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b/>
        <w:color w:val="404040"/>
      </w:rPr>
      <w:tcPr>
        <w:shd w:val="clear" w:fill="FFFFFF"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fill="FFFFFF" w:color="FFFFFF"/>
        <w:tcBorders>
          <w:left w:val="none" w:color="000000" w:sz="4" w:space="0"/>
          <w:top w:val="single" w:color="000000" w:sz="4" w:space="0" w:themeColor="accent6"/>
          <w:right w:val="none" w:color="000000" w:sz="4" w:space="0"/>
          <w:bottom w:val="none" w:color="000000" w:sz="4" w:space="0"/>
        </w:tcBorders>
      </w:tcPr>
    </w:tblStylePr>
  </w:style>
  <w:style w:type="table" w:styleId="1701">
    <w:name w:val="Grid Table 3"/>
    <w:basedOn w:val="1664"/>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2">
    <w:name w:val="Grid Table 3 - Accent 1"/>
    <w:basedOn w:val="1664"/>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fill="FFFFFF" w:color="FFFFFF" w:themeFill="accent1" w:themeFillTint="34"/>
      </w:tcPr>
    </w:tblStylePr>
    <w:tblStylePr w:type="band1Vert">
      <w:rPr>
        <w:rFonts w:ascii="Arial" w:hAnsi="Arial"/>
        <w:color w:val="404040"/>
        <w:sz w:val="22"/>
      </w:rPr>
      <w:tcPr>
        <w:shd w:val="clear" w:fill="FFFFFF" w:color="FFFFFF" w:themeFill="accent1"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3">
    <w:name w:val="Grid Table 3 - Accent 2"/>
    <w:basedOn w:val="1664"/>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4">
    <w:name w:val="Grid Table 3 - Accent 3"/>
    <w:basedOn w:val="1664"/>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5">
    <w:name w:val="Grid Table 3 - Accent 4"/>
    <w:basedOn w:val="1664"/>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6">
    <w:name w:val="Grid Table 3 - Accent 5"/>
    <w:basedOn w:val="1664"/>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7">
    <w:name w:val="Grid Table 3 - Accent 6"/>
    <w:basedOn w:val="1664"/>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i/>
        <w:color w:val="404040"/>
      </w:rPr>
      <w:pPr>
        <w:jc w:val="right"/>
      </w:pPr>
      <w:tcPr>
        <w:shd w:val="clear" w:fill="FFFFFF"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fill="FFFFFF"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fill="FFFFFF" w:color="FFFFFF"/>
        <w:tcBorders>
          <w:left w:val="none" w:color="000000" w:sz="4" w:space="0"/>
          <w:top w:val="none" w:color="000000" w:sz="4" w:space="0"/>
          <w:right w:val="none" w:color="000000" w:sz="4" w:space="0"/>
          <w:bottom w:val="none" w:color="000000" w:sz="4" w:space="0"/>
        </w:tcBorders>
      </w:tcPr>
    </w:tblStylePr>
  </w:style>
  <w:style w:type="table" w:styleId="1708">
    <w:name w:val="Grid Table 4"/>
    <w:basedOn w:val="1664"/>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34"/>
      </w:tcPr>
    </w:tblStylePr>
    <w:tblStylePr w:type="band1Vert">
      <w:rPr>
        <w:rFonts w:ascii="Arial" w:hAnsi="Arial"/>
        <w:color w:val="404040"/>
        <w:sz w:val="22"/>
      </w:rPr>
      <w:tcPr>
        <w:shd w:val="clear" w:fill="FFFFFF" w:color="FFFFFF" w:themeFill="text1" w:themeFillTint="34"/>
      </w:tcPr>
    </w:tblStylePr>
    <w:tblStylePr w:type="firstCol">
      <w:rPr>
        <w:b/>
        <w:color w:val="404040"/>
      </w:rPr>
    </w:tblStylePr>
    <w:tblStylePr w:type="firstRow">
      <w:rPr>
        <w:rFonts w:ascii="Arial" w:hAnsi="Arial"/>
        <w:b/>
        <w:color w:val="FFFFFF"/>
        <w:sz w:val="22"/>
      </w:rPr>
      <w:tcPr>
        <w:shd w:val="clear" w:fill="FFFFFF" w:color="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1709">
    <w:name w:val="Grid Table 4 - Accent 1"/>
    <w:basedOn w:val="1664"/>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32"/>
      </w:tcPr>
    </w:tblStylePr>
    <w:tblStylePr w:type="band1Vert">
      <w:rPr>
        <w:rFonts w:ascii="Arial" w:hAnsi="Arial"/>
        <w:color w:val="404040"/>
        <w:sz w:val="22"/>
      </w:rPr>
      <w:tcPr>
        <w:shd w:val="clear" w:fill="FFFFFF" w:color="FFFFFF" w:themeFill="accent1" w:themeFillTint="32"/>
      </w:tcPr>
    </w:tblStylePr>
    <w:tblStylePr w:type="firstCol">
      <w:rPr>
        <w:b/>
        <w:color w:val="404040"/>
      </w:rPr>
    </w:tblStylePr>
    <w:tblStylePr w:type="firstRow">
      <w:rPr>
        <w:rFonts w:ascii="Arial" w:hAnsi="Arial"/>
        <w:b/>
        <w:color w:val="FFFFFF"/>
        <w:sz w:val="22"/>
      </w:rPr>
      <w:tcPr>
        <w:shd w:val="clear" w:fill="FFFFFF" w:color="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1710">
    <w:name w:val="Grid Table 4 - Accent 2"/>
    <w:basedOn w:val="1664"/>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32"/>
      </w:tcPr>
    </w:tblStylePr>
    <w:tblStylePr w:type="band1Vert">
      <w:rPr>
        <w:rFonts w:ascii="Arial" w:hAnsi="Arial"/>
        <w:color w:val="404040"/>
        <w:sz w:val="22"/>
      </w:rPr>
      <w:tcPr>
        <w:shd w:val="clear" w:fill="FFFFFF" w:color="FFFFFF" w:themeFill="accent2" w:themeFillTint="32"/>
      </w:tcPr>
    </w:tblStylePr>
    <w:tblStylePr w:type="firstCol">
      <w:rPr>
        <w:b/>
        <w:color w:val="404040"/>
      </w:rPr>
    </w:tblStylePr>
    <w:tblStylePr w:type="firstRow">
      <w:rPr>
        <w:rFonts w:ascii="Arial" w:hAnsi="Arial"/>
        <w:b/>
        <w:color w:val="FFFFFF"/>
        <w:sz w:val="22"/>
      </w:rPr>
      <w:tcPr>
        <w:shd w:val="clear" w:fill="FFFFFF" w:color="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1711">
    <w:name w:val="Grid Table 4 - Accent 3"/>
    <w:basedOn w:val="1664"/>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34"/>
      </w:tcPr>
    </w:tblStylePr>
    <w:tblStylePr w:type="band1Vert">
      <w:rPr>
        <w:rFonts w:ascii="Arial" w:hAnsi="Arial"/>
        <w:color w:val="404040"/>
        <w:sz w:val="22"/>
      </w:rPr>
      <w:tcPr>
        <w:shd w:val="clear" w:fill="FFFFFF" w:color="FFFFFF" w:themeFill="accent3" w:themeFillTint="34"/>
      </w:tcPr>
    </w:tblStylePr>
    <w:tblStylePr w:type="firstCol">
      <w:rPr>
        <w:b/>
        <w:color w:val="404040"/>
      </w:rPr>
    </w:tblStylePr>
    <w:tblStylePr w:type="firstRow">
      <w:rPr>
        <w:rFonts w:ascii="Arial" w:hAnsi="Arial"/>
        <w:b/>
        <w:color w:val="FFFFFF"/>
        <w:sz w:val="22"/>
      </w:rPr>
      <w:tcPr>
        <w:shd w:val="clear" w:fill="FFFFFF" w:color="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1712">
    <w:name w:val="Grid Table 4 - Accent 4"/>
    <w:basedOn w:val="1664"/>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34"/>
      </w:tcPr>
    </w:tblStylePr>
    <w:tblStylePr w:type="band1Vert">
      <w:rPr>
        <w:rFonts w:ascii="Arial" w:hAnsi="Arial"/>
        <w:color w:val="404040"/>
        <w:sz w:val="22"/>
      </w:rPr>
      <w:tcPr>
        <w:shd w:val="clear" w:fill="FFFFFF" w:color="FFFFFF" w:themeFill="accent4" w:themeFillTint="34"/>
      </w:tcPr>
    </w:tblStylePr>
    <w:tblStylePr w:type="firstCol">
      <w:rPr>
        <w:b/>
        <w:color w:val="404040"/>
      </w:rPr>
    </w:tblStylePr>
    <w:tblStylePr w:type="firstRow">
      <w:rPr>
        <w:rFonts w:ascii="Arial" w:hAnsi="Arial"/>
        <w:b/>
        <w:color w:val="FFFFFF"/>
        <w:sz w:val="22"/>
      </w:rPr>
      <w:tcPr>
        <w:shd w:val="clear" w:fill="FFFFFF" w:color="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1713">
    <w:name w:val="Grid Table 4 - Accent 5"/>
    <w:basedOn w:val="1664"/>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34"/>
      </w:tcPr>
    </w:tblStylePr>
    <w:tblStylePr w:type="band1Vert">
      <w:rPr>
        <w:rFonts w:ascii="Arial" w:hAnsi="Arial"/>
        <w:color w:val="404040"/>
        <w:sz w:val="22"/>
      </w:rPr>
      <w:tcPr>
        <w:shd w:val="clear" w:fill="FFFFFF" w:color="FFFFFF" w:themeFill="accent5" w:themeFillTint="34"/>
      </w:tcPr>
    </w:tblStylePr>
    <w:tblStylePr w:type="firstCol">
      <w:rPr>
        <w:b/>
        <w:color w:val="404040"/>
      </w:rPr>
    </w:tblStylePr>
    <w:tblStylePr w:type="firstRow">
      <w:rPr>
        <w:rFonts w:ascii="Arial" w:hAnsi="Arial"/>
        <w:b/>
        <w:color w:val="FFFFFF"/>
        <w:sz w:val="22"/>
      </w:rPr>
      <w:tcPr>
        <w:shd w:val="clear" w:fill="FFFFFF" w:color="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1714">
    <w:name w:val="Grid Table 4 - Accent 6"/>
    <w:basedOn w:val="1664"/>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34"/>
      </w:tcPr>
    </w:tblStylePr>
    <w:tblStylePr w:type="band1Vert">
      <w:rPr>
        <w:rFonts w:ascii="Arial" w:hAnsi="Arial"/>
        <w:color w:val="404040"/>
        <w:sz w:val="22"/>
      </w:rPr>
      <w:tcPr>
        <w:shd w:val="clear" w:fill="FFFFFF" w:color="FFFFFF" w:themeFill="accent6" w:themeFillTint="34"/>
      </w:tcPr>
    </w:tblStylePr>
    <w:tblStylePr w:type="firstCol">
      <w:rPr>
        <w:b/>
        <w:color w:val="404040"/>
      </w:rPr>
    </w:tblStylePr>
    <w:tblStylePr w:type="firstRow">
      <w:rPr>
        <w:rFonts w:ascii="Arial" w:hAnsi="Arial"/>
        <w:b/>
        <w:color w:val="FFFFFF"/>
        <w:sz w:val="22"/>
      </w:rPr>
      <w:tcPr>
        <w:shd w:val="clear" w:fill="FFFFFF" w:color="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1715">
    <w:name w:val="Grid Table 5 Dark"/>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text1" w:themeFillTint="40"/>
    </w:tblPr>
    <w:tblStylePr w:type="band1Horz">
      <w:tcPr>
        <w:shd w:val="clear" w:fill="FFFFFF" w:color="FFFFFF" w:themeFill="text1" w:themeFillTint="75"/>
      </w:tcPr>
    </w:tblStylePr>
    <w:tblStylePr w:type="band1Vert">
      <w:tcPr>
        <w:shd w:val="clear" w:fill="FFFFFF" w:color="FFFFFF" w:themeFill="text1" w:themeFillTint="75"/>
      </w:tcPr>
    </w:tblStylePr>
    <w:tblStylePr w:type="firstCol">
      <w:rPr>
        <w:rFonts w:ascii="Arial" w:hAnsi="Arial"/>
        <w:b/>
        <w:color w:val="FFFFFF"/>
        <w:sz w:val="22"/>
      </w:rPr>
      <w:tcPr>
        <w:shd w:val="clear" w:fill="FFFFFF" w:color="FFFFFF" w:themeFill="text1"/>
      </w:tcPr>
    </w:tblStylePr>
    <w:tblStylePr w:type="firstRow">
      <w:rPr>
        <w:rFonts w:ascii="Arial" w:hAnsi="Arial"/>
        <w:b/>
        <w:color w:val="FFFFFF"/>
        <w:sz w:val="22"/>
      </w:rPr>
      <w:tcPr>
        <w:shd w:val="clear" w:fill="FFFFFF" w:color="FFFFFF" w:themeFill="text1"/>
      </w:tcPr>
    </w:tblStylePr>
    <w:tblStylePr w:type="lastCol">
      <w:rPr>
        <w:rFonts w:ascii="Arial" w:hAnsi="Arial"/>
        <w:b/>
        <w:color w:val="FFFFFF"/>
        <w:sz w:val="22"/>
      </w:rPr>
      <w:tcPr>
        <w:shd w:val="clear" w:fill="FFFFFF" w:color="FFFFFF" w:themeFill="text1"/>
      </w:tcPr>
    </w:tblStylePr>
    <w:tblStylePr w:type="lastRow">
      <w:rPr>
        <w:rFonts w:ascii="Arial" w:hAnsi="Arial"/>
        <w:b/>
        <w:color w:val="FFFFFF"/>
        <w:sz w:val="22"/>
      </w:rPr>
      <w:tcPr>
        <w:shd w:val="clear" w:fill="FFFFFF" w:color="FFFFFF" w:themeFill="text1"/>
        <w:tcBorders>
          <w:top w:val="single" w:color="000000" w:sz="4" w:space="0" w:themeColor="light1"/>
        </w:tcBorders>
      </w:tcPr>
    </w:tblStylePr>
  </w:style>
  <w:style w:type="table" w:styleId="1716">
    <w:name w:val="Grid Table 5 Dark- Accent 1"/>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1" w:themeFillTint="34"/>
    </w:tblPr>
    <w:tblStylePr w:type="band1Horz">
      <w:tcPr>
        <w:shd w:val="clear" w:fill="FFFFFF" w:color="FFFFFF" w:themeFill="accent1" w:themeFillTint="75"/>
      </w:tcPr>
    </w:tblStylePr>
    <w:tblStylePr w:type="band1Vert">
      <w:tcPr>
        <w:shd w:val="clear" w:fill="FFFFFF" w:color="FFFFFF" w:themeFill="accent1" w:themeFillTint="75"/>
      </w:tcPr>
    </w:tblStylePr>
    <w:tblStylePr w:type="firstCol">
      <w:rPr>
        <w:rFonts w:ascii="Arial" w:hAnsi="Arial"/>
        <w:b/>
        <w:color w:val="FFFFFF"/>
        <w:sz w:val="22"/>
      </w:rPr>
      <w:tcPr>
        <w:shd w:val="clear" w:fill="FFFFFF" w:color="FFFFFF" w:themeFill="accent1"/>
      </w:tcPr>
    </w:tblStylePr>
    <w:tblStylePr w:type="firstRow">
      <w:rPr>
        <w:rFonts w:ascii="Arial" w:hAnsi="Arial"/>
        <w:b/>
        <w:color w:val="FFFFFF"/>
        <w:sz w:val="22"/>
      </w:rPr>
      <w:tcPr>
        <w:shd w:val="clear" w:fill="FFFFFF" w:color="FFFFFF" w:themeFill="accent1"/>
      </w:tcPr>
    </w:tblStylePr>
    <w:tblStylePr w:type="lastCol">
      <w:rPr>
        <w:rFonts w:ascii="Arial" w:hAnsi="Arial"/>
        <w:b/>
        <w:color w:val="FFFFFF"/>
        <w:sz w:val="22"/>
      </w:rPr>
      <w:tcPr>
        <w:shd w:val="clear" w:fill="FFFFFF" w:color="FFFFFF" w:themeFill="accent1"/>
      </w:tcPr>
    </w:tblStylePr>
    <w:tblStylePr w:type="lastRow">
      <w:rPr>
        <w:rFonts w:ascii="Arial" w:hAnsi="Arial"/>
        <w:b/>
        <w:color w:val="FFFFFF"/>
        <w:sz w:val="22"/>
      </w:rPr>
      <w:tcPr>
        <w:shd w:val="clear" w:fill="FFFFFF" w:color="FFFFFF" w:themeFill="accent1"/>
        <w:tcBorders>
          <w:top w:val="single" w:color="000000" w:sz="4" w:space="0" w:themeColor="light1"/>
        </w:tcBorders>
      </w:tcPr>
    </w:tblStylePr>
  </w:style>
  <w:style w:type="table" w:styleId="1717">
    <w:name w:val="Grid Table 5 Dark - Accent 2"/>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2" w:themeFillTint="32"/>
    </w:tblPr>
    <w:tblStylePr w:type="band1Horz">
      <w:tcPr>
        <w:shd w:val="clear" w:fill="FFFFFF" w:color="FFFFFF" w:themeFill="accent2" w:themeFillTint="75"/>
      </w:tcPr>
    </w:tblStylePr>
    <w:tblStylePr w:type="band1Vert">
      <w:tcPr>
        <w:shd w:val="clear" w:fill="FFFFFF" w:color="FFFFFF" w:themeFill="accent2" w:themeFillTint="75"/>
      </w:tcPr>
    </w:tblStylePr>
    <w:tblStylePr w:type="firstCol">
      <w:rPr>
        <w:rFonts w:ascii="Arial" w:hAnsi="Arial"/>
        <w:b/>
        <w:color w:val="FFFFFF"/>
        <w:sz w:val="22"/>
      </w:rPr>
      <w:tcPr>
        <w:shd w:val="clear" w:fill="FFFFFF" w:color="FFFFFF" w:themeFill="accent2"/>
      </w:tcPr>
    </w:tblStylePr>
    <w:tblStylePr w:type="firstRow">
      <w:rPr>
        <w:rFonts w:ascii="Arial" w:hAnsi="Arial"/>
        <w:b/>
        <w:color w:val="FFFFFF"/>
        <w:sz w:val="22"/>
      </w:rPr>
      <w:tcPr>
        <w:shd w:val="clear" w:fill="FFFFFF" w:color="FFFFFF" w:themeFill="accent2"/>
      </w:tcPr>
    </w:tblStylePr>
    <w:tblStylePr w:type="lastCol">
      <w:rPr>
        <w:rFonts w:ascii="Arial" w:hAnsi="Arial"/>
        <w:b/>
        <w:color w:val="FFFFFF"/>
        <w:sz w:val="22"/>
      </w:rPr>
      <w:tcPr>
        <w:shd w:val="clear" w:fill="FFFFFF" w:color="FFFFFF" w:themeFill="accent2"/>
      </w:tcPr>
    </w:tblStylePr>
    <w:tblStylePr w:type="lastRow">
      <w:rPr>
        <w:rFonts w:ascii="Arial" w:hAnsi="Arial"/>
        <w:b/>
        <w:color w:val="FFFFFF"/>
        <w:sz w:val="22"/>
      </w:rPr>
      <w:tcPr>
        <w:shd w:val="clear" w:fill="FFFFFF" w:color="FFFFFF" w:themeFill="accent2"/>
        <w:tcBorders>
          <w:top w:val="single" w:color="000000" w:sz="4" w:space="0" w:themeColor="light1"/>
        </w:tcBorders>
      </w:tcPr>
    </w:tblStylePr>
  </w:style>
  <w:style w:type="table" w:styleId="1718">
    <w:name w:val="Grid Table 5 Dark - Accent 3"/>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3" w:themeFillTint="34"/>
    </w:tblPr>
    <w:tblStylePr w:type="band1Horz">
      <w:tcPr>
        <w:shd w:val="clear" w:fill="FFFFFF" w:color="FFFFFF" w:themeFill="accent3" w:themeFillTint="75"/>
      </w:tcPr>
    </w:tblStylePr>
    <w:tblStylePr w:type="band1Vert">
      <w:tcPr>
        <w:shd w:val="clear" w:fill="FFFFFF" w:color="FFFFFF" w:themeFill="accent3" w:themeFillTint="75"/>
      </w:tcPr>
    </w:tblStylePr>
    <w:tblStylePr w:type="firstCol">
      <w:rPr>
        <w:rFonts w:ascii="Arial" w:hAnsi="Arial"/>
        <w:b/>
        <w:color w:val="FFFFFF"/>
        <w:sz w:val="22"/>
      </w:rPr>
      <w:tcPr>
        <w:shd w:val="clear" w:fill="FFFFFF" w:color="FFFFFF" w:themeFill="accent3"/>
      </w:tcPr>
    </w:tblStylePr>
    <w:tblStylePr w:type="firstRow">
      <w:rPr>
        <w:rFonts w:ascii="Arial" w:hAnsi="Arial"/>
        <w:b/>
        <w:color w:val="FFFFFF"/>
        <w:sz w:val="22"/>
      </w:rPr>
      <w:tcPr>
        <w:shd w:val="clear" w:fill="FFFFFF" w:color="FFFFFF" w:themeFill="accent3"/>
      </w:tcPr>
    </w:tblStylePr>
    <w:tblStylePr w:type="lastCol">
      <w:rPr>
        <w:rFonts w:ascii="Arial" w:hAnsi="Arial"/>
        <w:b/>
        <w:color w:val="FFFFFF"/>
        <w:sz w:val="22"/>
      </w:rPr>
      <w:tcPr>
        <w:shd w:val="clear" w:fill="FFFFFF" w:color="FFFFFF" w:themeFill="accent3"/>
      </w:tcPr>
    </w:tblStylePr>
    <w:tblStylePr w:type="lastRow">
      <w:rPr>
        <w:rFonts w:ascii="Arial" w:hAnsi="Arial"/>
        <w:b/>
        <w:color w:val="FFFFFF"/>
        <w:sz w:val="22"/>
      </w:rPr>
      <w:tcPr>
        <w:shd w:val="clear" w:fill="FFFFFF" w:color="FFFFFF" w:themeFill="accent3"/>
        <w:tcBorders>
          <w:top w:val="single" w:color="000000" w:sz="4" w:space="0" w:themeColor="light1"/>
        </w:tcBorders>
      </w:tcPr>
    </w:tblStylePr>
  </w:style>
  <w:style w:type="table" w:styleId="1719">
    <w:name w:val="Grid Table 5 Dark- Accent 4"/>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4" w:themeFillTint="34"/>
    </w:tblPr>
    <w:tblStylePr w:type="band1Horz">
      <w:tcPr>
        <w:shd w:val="clear" w:fill="FFFFFF" w:color="FFFFFF" w:themeFill="accent4" w:themeFillTint="75"/>
      </w:tcPr>
    </w:tblStylePr>
    <w:tblStylePr w:type="band1Vert">
      <w:tcPr>
        <w:shd w:val="clear" w:fill="FFFFFF" w:color="FFFFFF" w:themeFill="accent4" w:themeFillTint="75"/>
      </w:tcPr>
    </w:tblStylePr>
    <w:tblStylePr w:type="firstCol">
      <w:rPr>
        <w:rFonts w:ascii="Arial" w:hAnsi="Arial"/>
        <w:b/>
        <w:color w:val="FFFFFF"/>
        <w:sz w:val="22"/>
      </w:rPr>
      <w:tcPr>
        <w:shd w:val="clear" w:fill="FFFFFF" w:color="FFFFFF" w:themeFill="accent4"/>
      </w:tcPr>
    </w:tblStylePr>
    <w:tblStylePr w:type="firstRow">
      <w:rPr>
        <w:rFonts w:ascii="Arial" w:hAnsi="Arial"/>
        <w:b/>
        <w:color w:val="FFFFFF"/>
        <w:sz w:val="22"/>
      </w:rPr>
      <w:tcPr>
        <w:shd w:val="clear" w:fill="FFFFFF" w:color="FFFFFF" w:themeFill="accent4"/>
      </w:tcPr>
    </w:tblStylePr>
    <w:tblStylePr w:type="lastCol">
      <w:rPr>
        <w:rFonts w:ascii="Arial" w:hAnsi="Arial"/>
        <w:b/>
        <w:color w:val="FFFFFF"/>
        <w:sz w:val="22"/>
      </w:rPr>
      <w:tcPr>
        <w:shd w:val="clear" w:fill="FFFFFF" w:color="FFFFFF" w:themeFill="accent4"/>
      </w:tcPr>
    </w:tblStylePr>
    <w:tblStylePr w:type="lastRow">
      <w:rPr>
        <w:rFonts w:ascii="Arial" w:hAnsi="Arial"/>
        <w:b/>
        <w:color w:val="FFFFFF"/>
        <w:sz w:val="22"/>
      </w:rPr>
      <w:tcPr>
        <w:shd w:val="clear" w:fill="FFFFFF" w:color="FFFFFF" w:themeFill="accent4"/>
        <w:tcBorders>
          <w:top w:val="single" w:color="000000" w:sz="4" w:space="0" w:themeColor="light1"/>
        </w:tcBorders>
      </w:tcPr>
    </w:tblStylePr>
  </w:style>
  <w:style w:type="table" w:styleId="1720">
    <w:name w:val="Grid Table 5 Dark - Accent 5"/>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5" w:themeFillTint="34"/>
    </w:tblPr>
    <w:tblStylePr w:type="band1Horz">
      <w:tcPr>
        <w:shd w:val="clear" w:fill="FFFFFF" w:color="FFFFFF" w:themeFill="accent5" w:themeFillTint="75"/>
      </w:tcPr>
    </w:tblStylePr>
    <w:tblStylePr w:type="band1Vert">
      <w:tcPr>
        <w:shd w:val="clear" w:fill="FFFFFF" w:color="FFFFFF" w:themeFill="accent5" w:themeFillTint="75"/>
      </w:tcPr>
    </w:tblStylePr>
    <w:tblStylePr w:type="firstCol">
      <w:rPr>
        <w:rFonts w:ascii="Arial" w:hAnsi="Arial"/>
        <w:b/>
        <w:color w:val="FFFFFF"/>
        <w:sz w:val="22"/>
      </w:rPr>
      <w:tcPr>
        <w:shd w:val="clear" w:fill="FFFFFF" w:color="FFFFFF" w:themeFill="accent5"/>
      </w:tcPr>
    </w:tblStylePr>
    <w:tblStylePr w:type="firstRow">
      <w:rPr>
        <w:rFonts w:ascii="Arial" w:hAnsi="Arial"/>
        <w:b/>
        <w:color w:val="FFFFFF"/>
        <w:sz w:val="22"/>
      </w:rPr>
      <w:tcPr>
        <w:shd w:val="clear" w:fill="FFFFFF" w:color="FFFFFF" w:themeFill="accent5"/>
      </w:tcPr>
    </w:tblStylePr>
    <w:tblStylePr w:type="lastCol">
      <w:rPr>
        <w:rFonts w:ascii="Arial" w:hAnsi="Arial"/>
        <w:b/>
        <w:color w:val="FFFFFF"/>
        <w:sz w:val="22"/>
      </w:rPr>
      <w:tcPr>
        <w:shd w:val="clear" w:fill="FFFFFF" w:color="FFFFFF" w:themeFill="accent5"/>
      </w:tcPr>
    </w:tblStylePr>
    <w:tblStylePr w:type="lastRow">
      <w:rPr>
        <w:rFonts w:ascii="Arial" w:hAnsi="Arial"/>
        <w:b/>
        <w:color w:val="FFFFFF"/>
        <w:sz w:val="22"/>
      </w:rPr>
      <w:tcPr>
        <w:shd w:val="clear" w:fill="FFFFFF" w:color="FFFFFF" w:themeFill="accent5"/>
        <w:tcBorders>
          <w:top w:val="single" w:color="000000" w:sz="4" w:space="0" w:themeColor="light1"/>
        </w:tcBorders>
      </w:tcPr>
    </w:tblStylePr>
  </w:style>
  <w:style w:type="table" w:styleId="1721">
    <w:name w:val="Grid Table 5 Dark - Accent 6"/>
    <w:basedOn w:val="1664"/>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fill="FFFFFF" w:color="FFFFFF" w:themeFill="accent6" w:themeFillTint="34"/>
    </w:tblPr>
    <w:tblStylePr w:type="band1Horz">
      <w:tcPr>
        <w:shd w:val="clear" w:fill="FFFFFF" w:color="FFFFFF" w:themeFill="accent6" w:themeFillTint="75"/>
      </w:tcPr>
    </w:tblStylePr>
    <w:tblStylePr w:type="band1Vert">
      <w:tcPr>
        <w:shd w:val="clear" w:fill="FFFFFF" w:color="FFFFFF" w:themeFill="accent6" w:themeFillTint="75"/>
      </w:tcPr>
    </w:tblStylePr>
    <w:tblStylePr w:type="firstCol">
      <w:rPr>
        <w:rFonts w:ascii="Arial" w:hAnsi="Arial"/>
        <w:b/>
        <w:color w:val="FFFFFF"/>
        <w:sz w:val="22"/>
      </w:rPr>
      <w:tcPr>
        <w:shd w:val="clear" w:fill="FFFFFF" w:color="FFFFFF" w:themeFill="accent6"/>
      </w:tcPr>
    </w:tblStylePr>
    <w:tblStylePr w:type="firstRow">
      <w:rPr>
        <w:rFonts w:ascii="Arial" w:hAnsi="Arial"/>
        <w:b/>
        <w:color w:val="FFFFFF"/>
        <w:sz w:val="22"/>
      </w:rPr>
      <w:tcPr>
        <w:shd w:val="clear" w:fill="FFFFFF" w:color="FFFFFF" w:themeFill="accent6"/>
      </w:tcPr>
    </w:tblStylePr>
    <w:tblStylePr w:type="lastCol">
      <w:rPr>
        <w:rFonts w:ascii="Arial" w:hAnsi="Arial"/>
        <w:b/>
        <w:color w:val="FFFFFF"/>
        <w:sz w:val="22"/>
      </w:rPr>
      <w:tcPr>
        <w:shd w:val="clear" w:fill="FFFFFF" w:color="FFFFFF" w:themeFill="accent6"/>
      </w:tcPr>
    </w:tblStylePr>
    <w:tblStylePr w:type="lastRow">
      <w:rPr>
        <w:rFonts w:ascii="Arial" w:hAnsi="Arial"/>
        <w:b/>
        <w:color w:val="FFFFFF"/>
        <w:sz w:val="22"/>
      </w:rPr>
      <w:tcPr>
        <w:shd w:val="clear" w:fill="FFFFFF" w:color="FFFFFF" w:themeFill="accent6"/>
        <w:tcBorders>
          <w:top w:val="single" w:color="000000" w:sz="4" w:space="0" w:themeColor="light1"/>
        </w:tcBorders>
      </w:tcPr>
    </w:tblStylePr>
  </w:style>
  <w:style w:type="table" w:styleId="1722">
    <w:name w:val="Grid Table 6 Colorful"/>
    <w:basedOn w:val="1664"/>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fill="FFFFFF" w:color="FFFFFF" w:themeFill="text1" w:themeFillTint="34"/>
      </w:tcPr>
    </w:tblStylePr>
    <w:tblStylePr w:type="band1Vert">
      <w:tcPr>
        <w:shd w:val="clear" w:fill="FFFFFF" w:color="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723">
    <w:name w:val="Grid Table 6 Colorful - Accent 1"/>
    <w:basedOn w:val="1664"/>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1724">
    <w:name w:val="Grid Table 6 Colorful - Accent 2"/>
    <w:basedOn w:val="166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1725">
    <w:name w:val="Grid Table 6 Colorful - Accent 3"/>
    <w:basedOn w:val="1664"/>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1726">
    <w:name w:val="Grid Table 6 Colorful - Accent 4"/>
    <w:basedOn w:val="166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1727">
    <w:name w:val="Grid Table 6 Colorful - Accent 5"/>
    <w:basedOn w:val="1664"/>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728">
    <w:name w:val="Grid Table 6 Colorful - Accent 6"/>
    <w:basedOn w:val="1664"/>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1729">
    <w:name w:val="Grid Table 7 Colorful"/>
    <w:basedOn w:val="1664"/>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0D"/>
      </w:tcPr>
    </w:tblStylePr>
    <w:tblStylePr w:type="band1Vert">
      <w:tcPr>
        <w:shd w:val="clear" w:fill="FFFFFF" w:color="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1730">
    <w:name w:val="Grid Table 7 Colorful - Accent 1"/>
    <w:basedOn w:val="1664"/>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fill="FFFFFF" w:color="FFFFFF" w:themeFill="accent1" w:themeFillTint="34"/>
      </w:tcPr>
    </w:tblStylePr>
    <w:tblStylePr w:type="band1Vert">
      <w:tcPr>
        <w:shd w:val="clear" w:fill="FFFFFF" w:color="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fill="FFFFFF" w:color="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fill="FFFFFF" w:color="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fill="FFFFFF" w:color="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1731">
    <w:name w:val="Grid Table 7 Colorful - Accent 2"/>
    <w:basedOn w:val="1664"/>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32"/>
      </w:tcPr>
    </w:tblStylePr>
    <w:tblStylePr w:type="band1Vert">
      <w:tcPr>
        <w:shd w:val="clear" w:fill="FFFFFF" w:color="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1732">
    <w:name w:val="Grid Table 7 Colorful - Accent 3"/>
    <w:basedOn w:val="1664"/>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fill="FFFFFF" w:color="FFFFFF" w:themeFill="accent3" w:themeFillTint="34"/>
      </w:tcPr>
    </w:tblStylePr>
    <w:tblStylePr w:type="band1Vert">
      <w:tcPr>
        <w:shd w:val="clear" w:fill="FFFFFF" w:color="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fill="FFFFFF" w:color="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fill="FFFFFF" w:color="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fill="FFFFFF" w:color="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1733">
    <w:name w:val="Grid Table 7 Colorful - Accent 4"/>
    <w:basedOn w:val="1664"/>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34"/>
      </w:tcPr>
    </w:tblStylePr>
    <w:tblStylePr w:type="band1Vert">
      <w:tcPr>
        <w:shd w:val="clear" w:fill="FFFFFF" w:color="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1734">
    <w:name w:val="Grid Table 7 Colorful - Accent 5"/>
    <w:basedOn w:val="1664"/>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fill="FFFFFF" w:color="FFFFFF" w:themeFill="accent5" w:themeFillTint="34"/>
      </w:tcPr>
    </w:tblStylePr>
    <w:tblStylePr w:type="band1Vert">
      <w:tcPr>
        <w:shd w:val="clear" w:fill="FFFFFF" w:color="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fill="FFFFFF" w:color="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fill="FFFFFF" w:color="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fill="FFFFFF" w:color="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1735">
    <w:name w:val="Grid Table 7 Colorful - Accent 6"/>
    <w:basedOn w:val="1664"/>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fill="FFFFFF" w:color="FFFFFF" w:themeFill="accent6" w:themeFillTint="34"/>
      </w:tcPr>
    </w:tblStylePr>
    <w:tblStylePr w:type="band1Vert">
      <w:tcPr>
        <w:shd w:val="clear" w:fill="FFFFFF" w:color="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fill="FFFFFF" w:color="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fill="FFFFFF" w:color="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fill="FFFFFF" w:color="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1736">
    <w:name w:val="List Table 1 Light"/>
    <w:basedOn w:val="1664"/>
    <w:uiPriority w:val="99"/>
    <w:pPr>
      <w:spacing w:lineRule="auto" w:line="240" w:after="0"/>
    </w:pPr>
    <w:tblPr>
      <w:tblStyleRowBandSize w:val="1"/>
      <w:tblStyleColBandSize w:val="1"/>
      <w:tblInd w:w="0" w:type="dxa"/>
    </w:tblPr>
    <w:tblStylePr w:type="band1Horz">
      <w:tcPr>
        <w:shd w:val="clear" w:fill="FFFFFF" w:color="FFFFFF" w:themeFill="text1" w:themeFillTint="40"/>
      </w:tcPr>
    </w:tblStylePr>
    <w:tblStylePr w:type="band1Vert">
      <w:tcPr>
        <w:shd w:val="clear" w:fill="FFFFFF" w:color="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737">
    <w:name w:val="List Table 1 Light - Accent 1"/>
    <w:basedOn w:val="1664"/>
    <w:uiPriority w:val="99"/>
    <w:pPr>
      <w:spacing w:lineRule="auto" w:line="240" w:after="0"/>
    </w:pPr>
    <w:tblPr>
      <w:tblStyleRowBandSize w:val="1"/>
      <w:tblStyleColBandSize w:val="1"/>
      <w:tblInd w:w="0" w:type="dxa"/>
    </w:tblPr>
    <w:tblStylePr w:type="band1Horz">
      <w:tcPr>
        <w:shd w:val="clear" w:fill="FFFFFF" w:color="FFFFFF" w:themeFill="accent1" w:themeFillTint="40"/>
      </w:tcPr>
    </w:tblStylePr>
    <w:tblStylePr w:type="band1Vert">
      <w:tcPr>
        <w:shd w:val="clear" w:fill="FFFFFF" w:color="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738">
    <w:name w:val="List Table 1 Light - Accent 2"/>
    <w:basedOn w:val="1664"/>
    <w:uiPriority w:val="99"/>
    <w:pPr>
      <w:spacing w:lineRule="auto" w:line="240" w:after="0"/>
    </w:pPr>
    <w:tblPr>
      <w:tblStyleRowBandSize w:val="1"/>
      <w:tblStyleColBandSize w:val="1"/>
      <w:tblInd w:w="0" w:type="dxa"/>
    </w:tblPr>
    <w:tblStylePr w:type="band1Horz">
      <w:tcPr>
        <w:shd w:val="clear" w:fill="FFFFFF" w:color="FFFFFF" w:themeFill="accent2" w:themeFillTint="40"/>
      </w:tcPr>
    </w:tblStylePr>
    <w:tblStylePr w:type="band1Vert">
      <w:tcPr>
        <w:shd w:val="clear" w:fill="FFFFFF" w:color="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739">
    <w:name w:val="List Table 1 Light - Accent 3"/>
    <w:basedOn w:val="1664"/>
    <w:uiPriority w:val="99"/>
    <w:pPr>
      <w:spacing w:lineRule="auto" w:line="240" w:after="0"/>
    </w:pPr>
    <w:tblPr>
      <w:tblStyleRowBandSize w:val="1"/>
      <w:tblStyleColBandSize w:val="1"/>
      <w:tblInd w:w="0" w:type="dxa"/>
    </w:tblPr>
    <w:tblStylePr w:type="band1Horz">
      <w:tcPr>
        <w:shd w:val="clear" w:fill="FFFFFF" w:color="FFFFFF" w:themeFill="accent3" w:themeFillTint="40"/>
      </w:tcPr>
    </w:tblStylePr>
    <w:tblStylePr w:type="band1Vert">
      <w:tcPr>
        <w:shd w:val="clear" w:fill="FFFFFF" w:color="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740">
    <w:name w:val="List Table 1 Light - Accent 4"/>
    <w:basedOn w:val="1664"/>
    <w:uiPriority w:val="99"/>
    <w:pPr>
      <w:spacing w:lineRule="auto" w:line="240" w:after="0"/>
    </w:pPr>
    <w:tblPr>
      <w:tblStyleRowBandSize w:val="1"/>
      <w:tblStyleColBandSize w:val="1"/>
      <w:tblInd w:w="0" w:type="dxa"/>
    </w:tblPr>
    <w:tblStylePr w:type="band1Horz">
      <w:tcPr>
        <w:shd w:val="clear" w:fill="FFFFFF" w:color="FFFFFF" w:themeFill="accent4" w:themeFillTint="40"/>
      </w:tcPr>
    </w:tblStylePr>
    <w:tblStylePr w:type="band1Vert">
      <w:tcPr>
        <w:shd w:val="clear" w:fill="FFFFFF" w:color="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741">
    <w:name w:val="List Table 1 Light - Accent 5"/>
    <w:basedOn w:val="1664"/>
    <w:uiPriority w:val="99"/>
    <w:pPr>
      <w:spacing w:lineRule="auto" w:line="240" w:after="0"/>
    </w:pPr>
    <w:tblPr>
      <w:tblStyleRowBandSize w:val="1"/>
      <w:tblStyleColBandSize w:val="1"/>
      <w:tblInd w:w="0" w:type="dxa"/>
    </w:tblPr>
    <w:tblStylePr w:type="band1Horz">
      <w:tcPr>
        <w:shd w:val="clear" w:fill="FFFFFF" w:color="FFFFFF" w:themeFill="accent5" w:themeFillTint="40"/>
      </w:tcPr>
    </w:tblStylePr>
    <w:tblStylePr w:type="band1Vert">
      <w:tcPr>
        <w:shd w:val="clear" w:fill="FFFFFF" w:color="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742">
    <w:name w:val="List Table 1 Light - Accent 6"/>
    <w:basedOn w:val="1664"/>
    <w:uiPriority w:val="99"/>
    <w:pPr>
      <w:spacing w:lineRule="auto" w:line="240" w:after="0"/>
    </w:pPr>
    <w:tblPr>
      <w:tblStyleRowBandSize w:val="1"/>
      <w:tblStyleColBandSize w:val="1"/>
      <w:tblInd w:w="0" w:type="dxa"/>
    </w:tblPr>
    <w:tblStylePr w:type="band1Horz">
      <w:tcPr>
        <w:shd w:val="clear" w:fill="FFFFFF" w:color="FFFFFF" w:themeFill="accent6" w:themeFillTint="40"/>
      </w:tcPr>
    </w:tblStylePr>
    <w:tblStylePr w:type="band1Vert">
      <w:tcPr>
        <w:shd w:val="clear" w:fill="FFFFFF" w:color="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743">
    <w:name w:val="List Table 2"/>
    <w:basedOn w:val="1664"/>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744">
    <w:name w:val="List Table 2 - Accent 1"/>
    <w:basedOn w:val="1664"/>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745">
    <w:name w:val="List Table 2 - Accent 2"/>
    <w:basedOn w:val="1664"/>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746">
    <w:name w:val="List Table 2 - Accent 3"/>
    <w:basedOn w:val="1664"/>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747">
    <w:name w:val="List Table 2 - Accent 4"/>
    <w:basedOn w:val="1664"/>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748">
    <w:name w:val="List Table 2 - Accent 5"/>
    <w:basedOn w:val="1664"/>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749">
    <w:name w:val="List Table 2 - Accent 6"/>
    <w:basedOn w:val="1664"/>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750">
    <w:name w:val="List Table 3"/>
    <w:basedOn w:val="166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751">
    <w:name w:val="List Table 3 - Accent 1"/>
    <w:basedOn w:val="1664"/>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752">
    <w:name w:val="List Table 3 - Accent 2"/>
    <w:basedOn w:val="1664"/>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fill="FFFFFF" w:color="FFFFFF" w:themeFill="accent2" w:themeFillTint="97"/>
      </w:tcPr>
    </w:tblStylePr>
    <w:tblStylePr w:type="lastCol">
      <w:rPr>
        <w:b/>
        <w:color w:val="404040"/>
      </w:rPr>
    </w:tblStylePr>
    <w:tblStylePr w:type="lastRow">
      <w:rPr>
        <w:b/>
        <w:color w:val="404040"/>
      </w:rPr>
    </w:tblStylePr>
  </w:style>
  <w:style w:type="table" w:styleId="1753">
    <w:name w:val="List Table 3 - Accent 3"/>
    <w:basedOn w:val="1664"/>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fill="FFFFFF" w:color="FFFFFF" w:themeFill="accent3" w:themeFillTint="98"/>
      </w:tcPr>
    </w:tblStylePr>
    <w:tblStylePr w:type="lastCol">
      <w:rPr>
        <w:b/>
        <w:color w:val="404040"/>
      </w:rPr>
    </w:tblStylePr>
    <w:tblStylePr w:type="lastRow">
      <w:rPr>
        <w:b/>
        <w:color w:val="404040"/>
      </w:rPr>
    </w:tblStylePr>
  </w:style>
  <w:style w:type="table" w:styleId="1754">
    <w:name w:val="List Table 3 - Accent 4"/>
    <w:basedOn w:val="1664"/>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fill="FFFFFF" w:color="FFFFFF" w:themeFill="accent4" w:themeFillTint="9A"/>
      </w:tcPr>
    </w:tblStylePr>
    <w:tblStylePr w:type="lastCol">
      <w:rPr>
        <w:b/>
        <w:color w:val="404040"/>
      </w:rPr>
    </w:tblStylePr>
    <w:tblStylePr w:type="lastRow">
      <w:rPr>
        <w:b/>
        <w:color w:val="404040"/>
      </w:rPr>
    </w:tblStylePr>
  </w:style>
  <w:style w:type="table" w:styleId="1755">
    <w:name w:val="List Table 3 - Accent 5"/>
    <w:basedOn w:val="1664"/>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fill="FFFFFF" w:color="FFFFFF" w:themeFill="accent5" w:themeFillTint="9A"/>
      </w:tcPr>
    </w:tblStylePr>
    <w:tblStylePr w:type="lastCol">
      <w:rPr>
        <w:b/>
        <w:color w:val="404040"/>
      </w:rPr>
    </w:tblStylePr>
    <w:tblStylePr w:type="lastRow">
      <w:rPr>
        <w:b/>
        <w:color w:val="404040"/>
      </w:rPr>
    </w:tblStylePr>
  </w:style>
  <w:style w:type="table" w:styleId="1756">
    <w:name w:val="List Table 3 - Accent 6"/>
    <w:basedOn w:val="1664"/>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fill="FFFFFF" w:color="FFFFFF" w:themeFill="accent6" w:themeFillTint="98"/>
      </w:tcPr>
    </w:tblStylePr>
    <w:tblStylePr w:type="lastCol">
      <w:rPr>
        <w:b/>
        <w:color w:val="404040"/>
      </w:rPr>
    </w:tblStylePr>
    <w:tblStylePr w:type="lastRow">
      <w:rPr>
        <w:b/>
        <w:color w:val="404040"/>
      </w:rPr>
    </w:tblStylePr>
  </w:style>
  <w:style w:type="table" w:styleId="1757">
    <w:name w:val="List Table 4"/>
    <w:basedOn w:val="1664"/>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fill="FFFFFF" w:color="FFFFFF" w:themeFill="text1" w:themeFillTint="40"/>
      </w:tcPr>
    </w:tblStylePr>
    <w:tblStylePr w:type="band1Vert">
      <w:rPr>
        <w:rFonts w:ascii="Arial" w:hAnsi="Arial"/>
        <w:color w:val="404040"/>
        <w:sz w:val="22"/>
      </w:rPr>
      <w:tcPr>
        <w:shd w:val="clear" w:fill="FFFFFF" w:color="FFFFFF" w:themeFill="text1" w:themeFillTint="40"/>
      </w:tcPr>
    </w:tblStylePr>
    <w:tblStylePr w:type="firstCol">
      <w:rPr>
        <w:b/>
        <w:color w:val="404040"/>
      </w:rPr>
    </w:tblStylePr>
    <w:tblStylePr w:type="firstRow">
      <w:rPr>
        <w:rFonts w:ascii="Arial" w:hAnsi="Arial"/>
        <w:b/>
        <w:color w:val="FFFFFF"/>
        <w:sz w:val="22"/>
      </w:rPr>
      <w:tcPr>
        <w:shd w:val="clear" w:fill="FFFFFF" w:color="FFFFFF" w:themeFill="text1"/>
      </w:tcPr>
    </w:tblStylePr>
    <w:tblStylePr w:type="lastCol">
      <w:rPr>
        <w:b/>
        <w:color w:val="404040"/>
      </w:rPr>
    </w:tblStylePr>
    <w:tblStylePr w:type="lastRow">
      <w:rPr>
        <w:b/>
        <w:color w:val="404040"/>
      </w:rPr>
    </w:tblStylePr>
  </w:style>
  <w:style w:type="table" w:styleId="1758">
    <w:name w:val="List Table 4 - Accent 1"/>
    <w:basedOn w:val="1664"/>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fill="FFFFFF" w:color="FFFFFF" w:themeFill="accent1" w:themeFillTint="40"/>
      </w:tcPr>
    </w:tblStylePr>
    <w:tblStylePr w:type="band1Vert">
      <w:rPr>
        <w:rFonts w:ascii="Arial" w:hAnsi="Arial"/>
        <w:color w:val="404040"/>
        <w:sz w:val="22"/>
      </w:rPr>
      <w:tcPr>
        <w:shd w:val="clear" w:fill="FFFFFF" w:color="FFFFFF" w:themeFill="accent1" w:themeFillTint="40"/>
      </w:tcPr>
    </w:tblStylePr>
    <w:tblStylePr w:type="firstCol">
      <w:rPr>
        <w:b/>
        <w:color w:val="404040"/>
      </w:rPr>
    </w:tblStylePr>
    <w:tblStylePr w:type="firstRow">
      <w:rPr>
        <w:rFonts w:ascii="Arial" w:hAnsi="Arial"/>
        <w:b/>
        <w:color w:val="FFFFFF"/>
        <w:sz w:val="22"/>
      </w:rPr>
      <w:tcPr>
        <w:shd w:val="clear" w:fill="FFFFFF" w:color="FFFFFF" w:themeFill="accent1"/>
      </w:tcPr>
    </w:tblStylePr>
    <w:tblStylePr w:type="lastCol">
      <w:rPr>
        <w:b/>
        <w:color w:val="404040"/>
      </w:rPr>
    </w:tblStylePr>
    <w:tblStylePr w:type="lastRow">
      <w:rPr>
        <w:b/>
        <w:color w:val="404040"/>
      </w:rPr>
    </w:tblStylePr>
  </w:style>
  <w:style w:type="table" w:styleId="1759">
    <w:name w:val="List Table 4 - Accent 2"/>
    <w:basedOn w:val="1664"/>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fill="FFFFFF" w:color="FFFFFF" w:themeFill="accent2" w:themeFillTint="40"/>
      </w:tcPr>
    </w:tblStylePr>
    <w:tblStylePr w:type="band1Vert">
      <w:rPr>
        <w:rFonts w:ascii="Arial" w:hAnsi="Arial"/>
        <w:color w:val="404040"/>
        <w:sz w:val="22"/>
      </w:rPr>
      <w:tcPr>
        <w:shd w:val="clear" w:fill="FFFFFF" w:color="FFFFFF" w:themeFill="accent2" w:themeFillTint="40"/>
      </w:tcPr>
    </w:tblStylePr>
    <w:tblStylePr w:type="firstCol">
      <w:rPr>
        <w:b/>
        <w:color w:val="404040"/>
      </w:rPr>
    </w:tblStylePr>
    <w:tblStylePr w:type="firstRow">
      <w:rPr>
        <w:rFonts w:ascii="Arial" w:hAnsi="Arial"/>
        <w:b/>
        <w:color w:val="FFFFFF"/>
        <w:sz w:val="22"/>
      </w:rPr>
      <w:tcPr>
        <w:shd w:val="clear" w:fill="FFFFFF" w:color="FFFFFF" w:themeFill="accent2"/>
      </w:tcPr>
    </w:tblStylePr>
    <w:tblStylePr w:type="lastCol">
      <w:rPr>
        <w:b/>
        <w:color w:val="404040"/>
      </w:rPr>
    </w:tblStylePr>
    <w:tblStylePr w:type="lastRow">
      <w:rPr>
        <w:b/>
        <w:color w:val="404040"/>
      </w:rPr>
    </w:tblStylePr>
  </w:style>
  <w:style w:type="table" w:styleId="1760">
    <w:name w:val="List Table 4 - Accent 3"/>
    <w:basedOn w:val="1664"/>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fill="FFFFFF" w:color="FFFFFF" w:themeFill="accent3" w:themeFillTint="40"/>
      </w:tcPr>
    </w:tblStylePr>
    <w:tblStylePr w:type="band1Vert">
      <w:rPr>
        <w:rFonts w:ascii="Arial" w:hAnsi="Arial"/>
        <w:color w:val="404040"/>
        <w:sz w:val="22"/>
      </w:rPr>
      <w:tcPr>
        <w:shd w:val="clear" w:fill="FFFFFF" w:color="FFFFFF" w:themeFill="accent3" w:themeFillTint="40"/>
      </w:tcPr>
    </w:tblStylePr>
    <w:tblStylePr w:type="firstCol">
      <w:rPr>
        <w:b/>
        <w:color w:val="404040"/>
      </w:rPr>
    </w:tblStylePr>
    <w:tblStylePr w:type="firstRow">
      <w:rPr>
        <w:rFonts w:ascii="Arial" w:hAnsi="Arial"/>
        <w:b/>
        <w:color w:val="FFFFFF"/>
        <w:sz w:val="22"/>
      </w:rPr>
      <w:tcPr>
        <w:shd w:val="clear" w:fill="FFFFFF" w:color="FFFFFF" w:themeFill="accent3"/>
      </w:tcPr>
    </w:tblStylePr>
    <w:tblStylePr w:type="lastCol">
      <w:rPr>
        <w:b/>
        <w:color w:val="404040"/>
      </w:rPr>
    </w:tblStylePr>
    <w:tblStylePr w:type="lastRow">
      <w:rPr>
        <w:b/>
        <w:color w:val="404040"/>
      </w:rPr>
    </w:tblStylePr>
  </w:style>
  <w:style w:type="table" w:styleId="1761">
    <w:name w:val="List Table 4 - Accent 4"/>
    <w:basedOn w:val="1664"/>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fill="FFFFFF" w:color="FFFFFF" w:themeFill="accent4" w:themeFillTint="40"/>
      </w:tcPr>
    </w:tblStylePr>
    <w:tblStylePr w:type="band1Vert">
      <w:rPr>
        <w:rFonts w:ascii="Arial" w:hAnsi="Arial"/>
        <w:color w:val="404040"/>
        <w:sz w:val="22"/>
      </w:rPr>
      <w:tcPr>
        <w:shd w:val="clear" w:fill="FFFFFF" w:color="FFFFFF" w:themeFill="accent4" w:themeFillTint="40"/>
      </w:tcPr>
    </w:tblStylePr>
    <w:tblStylePr w:type="firstCol">
      <w:rPr>
        <w:b/>
        <w:color w:val="404040"/>
      </w:rPr>
    </w:tblStylePr>
    <w:tblStylePr w:type="firstRow">
      <w:rPr>
        <w:rFonts w:ascii="Arial" w:hAnsi="Arial"/>
        <w:b/>
        <w:color w:val="FFFFFF"/>
        <w:sz w:val="22"/>
      </w:rPr>
      <w:tcPr>
        <w:shd w:val="clear" w:fill="FFFFFF" w:color="FFFFFF" w:themeFill="accent4"/>
      </w:tcPr>
    </w:tblStylePr>
    <w:tblStylePr w:type="lastCol">
      <w:rPr>
        <w:b/>
        <w:color w:val="404040"/>
      </w:rPr>
    </w:tblStylePr>
    <w:tblStylePr w:type="lastRow">
      <w:rPr>
        <w:b/>
        <w:color w:val="404040"/>
      </w:rPr>
    </w:tblStylePr>
  </w:style>
  <w:style w:type="table" w:styleId="1762">
    <w:name w:val="List Table 4 - Accent 5"/>
    <w:basedOn w:val="1664"/>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fill="FFFFFF" w:color="FFFFFF" w:themeFill="accent5" w:themeFillTint="40"/>
      </w:tcPr>
    </w:tblStylePr>
    <w:tblStylePr w:type="band1Vert">
      <w:rPr>
        <w:rFonts w:ascii="Arial" w:hAnsi="Arial"/>
        <w:color w:val="404040"/>
        <w:sz w:val="22"/>
      </w:rPr>
      <w:tcPr>
        <w:shd w:val="clear" w:fill="FFFFFF" w:color="FFFFFF" w:themeFill="accent5" w:themeFillTint="40"/>
      </w:tcPr>
    </w:tblStylePr>
    <w:tblStylePr w:type="firstCol">
      <w:rPr>
        <w:b/>
        <w:color w:val="404040"/>
      </w:rPr>
    </w:tblStylePr>
    <w:tblStylePr w:type="firstRow">
      <w:rPr>
        <w:rFonts w:ascii="Arial" w:hAnsi="Arial"/>
        <w:b/>
        <w:color w:val="FFFFFF"/>
        <w:sz w:val="22"/>
      </w:rPr>
      <w:tcPr>
        <w:shd w:val="clear" w:fill="FFFFFF" w:color="FFFFFF" w:themeFill="accent5"/>
      </w:tcPr>
    </w:tblStylePr>
    <w:tblStylePr w:type="lastCol">
      <w:rPr>
        <w:b/>
        <w:color w:val="404040"/>
      </w:rPr>
    </w:tblStylePr>
    <w:tblStylePr w:type="lastRow">
      <w:rPr>
        <w:b/>
        <w:color w:val="404040"/>
      </w:rPr>
    </w:tblStylePr>
  </w:style>
  <w:style w:type="table" w:styleId="1763">
    <w:name w:val="List Table 4 - Accent 6"/>
    <w:basedOn w:val="1664"/>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fill="FFFFFF" w:color="FFFFFF" w:themeFill="accent6" w:themeFillTint="40"/>
      </w:tcPr>
    </w:tblStylePr>
    <w:tblStylePr w:type="band1Vert">
      <w:rPr>
        <w:rFonts w:ascii="Arial" w:hAnsi="Arial"/>
        <w:color w:val="404040"/>
        <w:sz w:val="22"/>
      </w:rPr>
      <w:tcPr>
        <w:shd w:val="clear" w:fill="FFFFFF" w:color="FFFFFF" w:themeFill="accent6" w:themeFillTint="40"/>
      </w:tcPr>
    </w:tblStylePr>
    <w:tblStylePr w:type="firstCol">
      <w:rPr>
        <w:b/>
        <w:color w:val="404040"/>
      </w:rPr>
    </w:tblStylePr>
    <w:tblStylePr w:type="firstRow">
      <w:rPr>
        <w:rFonts w:ascii="Arial" w:hAnsi="Arial"/>
        <w:b/>
        <w:color w:val="FFFFFF"/>
        <w:sz w:val="22"/>
      </w:rPr>
      <w:tcPr>
        <w:shd w:val="clear" w:fill="FFFFFF" w:color="FFFFFF" w:themeFill="accent6"/>
      </w:tcPr>
    </w:tblStylePr>
    <w:tblStylePr w:type="lastCol">
      <w:rPr>
        <w:b/>
        <w:color w:val="404040"/>
      </w:rPr>
    </w:tblStylePr>
    <w:tblStylePr w:type="lastRow">
      <w:rPr>
        <w:b/>
        <w:color w:val="404040"/>
      </w:rPr>
    </w:tblStylePr>
  </w:style>
  <w:style w:type="table" w:styleId="1764">
    <w:name w:val="List Table 5 Dark"/>
    <w:basedOn w:val="1664"/>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fill="FFFFFF" w:color="FFFFFF" w:themeFill="text1" w:themeFillTint="80"/>
    </w:tblPr>
    <w:tblStylePr w:type="band1Horz">
      <w:tcPr>
        <w:shd w:val="clear" w:fill="FFFFFF" w:color="FFFFFF" w:themeFill="text1" w:themeFillTint="80"/>
        <w:tcBorders>
          <w:top w:val="single" w:color="000000" w:sz="4" w:space="0" w:themeColor="light1"/>
          <w:bottom w:val="single" w:color="000000" w:sz="4" w:space="0" w:themeColor="light1"/>
        </w:tcBorders>
      </w:tcPr>
    </w:tblStylePr>
    <w:tblStylePr w:type="band1Vert">
      <w:tcPr>
        <w:shd w:val="clear" w:fill="FFFFFF" w:color="FFFFFF" w:themeFill="text1" w:themeFillTint="80"/>
        <w:tcBorders>
          <w:left w:val="single" w:color="000000" w:sz="4" w:space="0" w:themeColor="light1"/>
          <w:right w:val="single" w:color="000000" w:sz="4" w:space="0" w:themeColor="light1"/>
        </w:tcBorders>
      </w:tcPr>
    </w:tblStylePr>
    <w:tblStylePr w:type="band2Horz">
      <w:tcPr>
        <w:shd w:val="clear" w:fill="FFFFFF" w:color="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fill="FFFFFF" w:color="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65">
    <w:name w:val="List Table 5 Dark - Accent 1"/>
    <w:basedOn w:val="1664"/>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fill="FFFFFF" w:color="FFFFFF" w:themeFill="accent1"/>
    </w:tblPr>
    <w:tblStylePr w:type="band1Horz">
      <w:tcPr>
        <w:shd w:val="clear" w:fill="FFFFFF" w:color="FFFFFF" w:themeFill="accent1"/>
        <w:tcBorders>
          <w:top w:val="single" w:color="000000" w:sz="4" w:space="0" w:themeColor="light1"/>
          <w:bottom w:val="single" w:color="000000" w:sz="4" w:space="0" w:themeColor="light1"/>
        </w:tcBorders>
      </w:tcPr>
    </w:tblStylePr>
    <w:tblStylePr w:type="band1Vert">
      <w:tcPr>
        <w:shd w:val="clear" w:fill="FFFFFF" w:color="FFFFFF" w:themeFill="accent1"/>
        <w:tcBorders>
          <w:left w:val="single" w:color="000000" w:sz="4" w:space="0" w:themeColor="light1"/>
          <w:right w:val="single" w:color="000000" w:sz="4" w:space="0" w:themeColor="light1"/>
        </w:tcBorders>
      </w:tcPr>
    </w:tblStylePr>
    <w:tblStylePr w:type="band2Horz">
      <w:tcPr>
        <w:shd w:val="clear" w:fill="FFFFFF" w:color="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fill="FFFFFF" w:color="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66">
    <w:name w:val="List Table 5 Dark - Accent 2"/>
    <w:basedOn w:val="1664"/>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fill="FFFFFF" w:color="FFFFFF" w:themeFill="accent2" w:themeFillTint="97"/>
    </w:tblPr>
    <w:tblStylePr w:type="band1Horz">
      <w:tcPr>
        <w:shd w:val="clear" w:fill="FFFFFF" w:color="FFFFFF" w:themeFill="accent2" w:themeFillTint="97"/>
        <w:tcBorders>
          <w:top w:val="single" w:color="000000" w:sz="4" w:space="0" w:themeColor="light1"/>
          <w:bottom w:val="single" w:color="000000" w:sz="4" w:space="0" w:themeColor="light1"/>
        </w:tcBorders>
      </w:tcPr>
    </w:tblStylePr>
    <w:tblStylePr w:type="band1Vert">
      <w:tcPr>
        <w:shd w:val="clear" w:fill="FFFFFF" w:color="FFFFFF" w:themeFill="accent2" w:themeFillTint="97"/>
        <w:tcBorders>
          <w:left w:val="single" w:color="000000" w:sz="4" w:space="0" w:themeColor="light1"/>
          <w:right w:val="single" w:color="000000" w:sz="4" w:space="0" w:themeColor="light1"/>
        </w:tcBorders>
      </w:tcPr>
    </w:tblStylePr>
    <w:tblStylePr w:type="band2Horz">
      <w:tcPr>
        <w:shd w:val="clear" w:fill="FFFFFF" w:color="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fill="FFFFFF" w:color="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67">
    <w:name w:val="List Table 5 Dark - Accent 3"/>
    <w:basedOn w:val="1664"/>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fill="FFFFFF" w:color="FFFFFF" w:themeFill="accent3" w:themeFillTint="98"/>
    </w:tblPr>
    <w:tblStylePr w:type="band1Horz">
      <w:tcPr>
        <w:shd w:val="clear" w:fill="FFFFFF" w:color="FFFFFF" w:themeFill="accent3" w:themeFillTint="98"/>
        <w:tcBorders>
          <w:top w:val="single" w:color="000000" w:sz="4" w:space="0" w:themeColor="light1"/>
          <w:bottom w:val="single" w:color="000000" w:sz="4" w:space="0" w:themeColor="light1"/>
        </w:tcBorders>
      </w:tcPr>
    </w:tblStylePr>
    <w:tblStylePr w:type="band1Vert">
      <w:tcPr>
        <w:shd w:val="clear" w:fill="FFFFFF" w:color="FFFFFF" w:themeFill="accent3" w:themeFillTint="98"/>
        <w:tcBorders>
          <w:left w:val="single" w:color="000000" w:sz="4" w:space="0" w:themeColor="light1"/>
          <w:right w:val="single" w:color="000000" w:sz="4" w:space="0" w:themeColor="light1"/>
        </w:tcBorders>
      </w:tcPr>
    </w:tblStylePr>
    <w:tblStylePr w:type="band2Horz">
      <w:tcPr>
        <w:shd w:val="clear" w:fill="FFFFFF" w:color="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68">
    <w:name w:val="List Table 5 Dark - Accent 4"/>
    <w:basedOn w:val="1664"/>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fill="FFFFFF" w:color="FFFFFF" w:themeFill="accent4" w:themeFillTint="9A"/>
    </w:tblPr>
    <w:tblStylePr w:type="band1Horz">
      <w:tcPr>
        <w:shd w:val="clear" w:fill="FFFFFF" w:color="FFFFFF" w:themeFill="accent4" w:themeFillTint="9A"/>
        <w:tcBorders>
          <w:top w:val="single" w:color="000000" w:sz="4" w:space="0" w:themeColor="light1"/>
          <w:bottom w:val="single" w:color="000000" w:sz="4" w:space="0" w:themeColor="light1"/>
        </w:tcBorders>
      </w:tcPr>
    </w:tblStylePr>
    <w:tblStylePr w:type="band1Vert">
      <w:tcPr>
        <w:shd w:val="clear" w:fill="FFFFFF" w:color="FFFFFF" w:themeFill="accent4" w:themeFillTint="9A"/>
        <w:tcBorders>
          <w:left w:val="single" w:color="000000" w:sz="4" w:space="0" w:themeColor="light1"/>
          <w:right w:val="single" w:color="000000" w:sz="4" w:space="0" w:themeColor="light1"/>
        </w:tcBorders>
      </w:tcPr>
    </w:tblStylePr>
    <w:tblStylePr w:type="band2Horz">
      <w:tcPr>
        <w:shd w:val="clear" w:fill="FFFFFF" w:color="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69">
    <w:name w:val="List Table 5 Dark - Accent 5"/>
    <w:basedOn w:val="1664"/>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fill="FFFFFF" w:color="FFFFFF" w:themeFill="accent5" w:themeFillTint="9A"/>
    </w:tblPr>
    <w:tblStylePr w:type="band1Horz">
      <w:tcPr>
        <w:shd w:val="clear" w:fill="FFFFFF" w:color="FFFFFF" w:themeFill="accent5" w:themeFillTint="9A"/>
        <w:tcBorders>
          <w:top w:val="single" w:color="000000" w:sz="4" w:space="0" w:themeColor="light1"/>
          <w:bottom w:val="single" w:color="000000" w:sz="4" w:space="0" w:themeColor="light1"/>
        </w:tcBorders>
      </w:tcPr>
    </w:tblStylePr>
    <w:tblStylePr w:type="band1Vert">
      <w:tcPr>
        <w:shd w:val="clear" w:fill="FFFFFF" w:color="FFFFFF" w:themeFill="accent5" w:themeFillTint="9A"/>
        <w:tcBorders>
          <w:left w:val="single" w:color="000000" w:sz="4" w:space="0" w:themeColor="light1"/>
          <w:right w:val="single" w:color="000000" w:sz="4" w:space="0" w:themeColor="light1"/>
        </w:tcBorders>
      </w:tcPr>
    </w:tblStylePr>
    <w:tblStylePr w:type="band2Horz">
      <w:tcPr>
        <w:shd w:val="clear" w:fill="FFFFFF" w:color="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fill="FFFFFF" w:color="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70">
    <w:name w:val="List Table 5 Dark - Accent 6"/>
    <w:basedOn w:val="1664"/>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fill="FFFFFF" w:color="FFFFFF" w:themeFill="accent6" w:themeFillTint="98"/>
    </w:tblPr>
    <w:tblStylePr w:type="band1Horz">
      <w:tcPr>
        <w:shd w:val="clear" w:fill="FFFFFF" w:color="FFFFFF" w:themeFill="accent6" w:themeFillTint="98"/>
        <w:tcBorders>
          <w:top w:val="single" w:color="000000" w:sz="4" w:space="0" w:themeColor="light1"/>
          <w:bottom w:val="single" w:color="000000" w:sz="4" w:space="0" w:themeColor="light1"/>
        </w:tcBorders>
      </w:tcPr>
    </w:tblStylePr>
    <w:tblStylePr w:type="band1Vert">
      <w:tcPr>
        <w:shd w:val="clear" w:fill="FFFFFF" w:color="FFFFFF" w:themeFill="accent6" w:themeFillTint="98"/>
        <w:tcBorders>
          <w:left w:val="single" w:color="000000" w:sz="4" w:space="0" w:themeColor="light1"/>
          <w:right w:val="single" w:color="000000" w:sz="4" w:space="0" w:themeColor="light1"/>
        </w:tcBorders>
      </w:tcPr>
    </w:tblStylePr>
    <w:tblStylePr w:type="band2Horz">
      <w:tcPr>
        <w:shd w:val="clear" w:fill="FFFFFF" w:color="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fill="FFFFFF" w:color="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771">
    <w:name w:val="List Table 6 Colorful"/>
    <w:basedOn w:val="1664"/>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772">
    <w:name w:val="List Table 6 Colorful - Accent 1"/>
    <w:basedOn w:val="1664"/>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1773">
    <w:name w:val="List Table 6 Colorful - Accent 2"/>
    <w:basedOn w:val="1664"/>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1774">
    <w:name w:val="List Table 6 Colorful - Accent 3"/>
    <w:basedOn w:val="1664"/>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1775">
    <w:name w:val="List Table 6 Colorful - Accent 4"/>
    <w:basedOn w:val="1664"/>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1776">
    <w:name w:val="List Table 6 Colorful - Accent 5"/>
    <w:basedOn w:val="1664"/>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1777">
    <w:name w:val="List Table 6 Colorful - Accent 6"/>
    <w:basedOn w:val="1664"/>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1778">
    <w:name w:val="List Table 7 Colorful"/>
    <w:basedOn w:val="1664"/>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fill="FFFFFF" w:color="FFFFFF" w:themeFill="text1" w:themeFillTint="40"/>
      </w:tcPr>
    </w:tblStylePr>
    <w:tblStylePr w:type="band1Vert">
      <w:tcPr>
        <w:shd w:val="clear" w:fill="FFFFFF" w:color="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fill="FFFFFF" w:color="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fill="FFFFFF" w:color="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fill="FFFFFF" w:color="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1779">
    <w:name w:val="List Table 7 Colorful - Accent 1"/>
    <w:basedOn w:val="1664"/>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fill="FFFFFF" w:color="FFFFFF" w:themeFill="accent1" w:themeFillTint="40"/>
      </w:tcPr>
    </w:tblStylePr>
    <w:tblStylePr w:type="band1Vert">
      <w:tcPr>
        <w:shd w:val="clear" w:fill="FFFFFF" w:color="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fill="FFFFFF" w:color="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fill="FFFFFF" w:color="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fill="FFFFFF" w:color="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1780">
    <w:name w:val="List Table 7 Colorful - Accent 2"/>
    <w:basedOn w:val="1664"/>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fill="FFFFFF" w:color="FFFFFF" w:themeFill="accent2" w:themeFillTint="40"/>
      </w:tcPr>
    </w:tblStylePr>
    <w:tblStylePr w:type="band1Vert">
      <w:tcPr>
        <w:shd w:val="clear" w:fill="FFFFFF" w:color="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fill="FFFFFF" w:color="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fill="FFFFFF" w:color="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fill="FFFFFF" w:color="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1781">
    <w:name w:val="List Table 7 Colorful - Accent 3"/>
    <w:basedOn w:val="1664"/>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fill="FFFFFF" w:color="FFFFFF" w:themeFill="accent3" w:themeFillTint="40"/>
      </w:tcPr>
    </w:tblStylePr>
    <w:tblStylePr w:type="band1Vert">
      <w:tcPr>
        <w:shd w:val="clear" w:fill="FFFFFF" w:color="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fill="FFFFFF" w:color="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fill="FFFFFF" w:color="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fill="FFFFFF" w:color="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1782">
    <w:name w:val="List Table 7 Colorful - Accent 4"/>
    <w:basedOn w:val="1664"/>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fill="FFFFFF" w:color="FFFFFF" w:themeFill="accent4" w:themeFillTint="40"/>
      </w:tcPr>
    </w:tblStylePr>
    <w:tblStylePr w:type="band1Vert">
      <w:tcPr>
        <w:shd w:val="clear" w:fill="FFFFFF" w:color="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fill="FFFFFF" w:color="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fill="FFFFFF" w:color="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fill="FFFFFF" w:color="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1783">
    <w:name w:val="List Table 7 Colorful - Accent 5"/>
    <w:basedOn w:val="1664"/>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fill="FFFFFF" w:color="FFFFFF" w:themeFill="accent5" w:themeFillTint="40"/>
      </w:tcPr>
    </w:tblStylePr>
    <w:tblStylePr w:type="band1Vert">
      <w:tcPr>
        <w:shd w:val="clear" w:fill="FFFFFF" w:color="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fill="FFFFFF" w:color="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fill="FFFFFF" w:color="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fill="FFFFFF" w:color="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1784">
    <w:name w:val="List Table 7 Colorful - Accent 6"/>
    <w:basedOn w:val="1664"/>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fill="FFFFFF" w:color="FFFFFF" w:themeFill="accent6" w:themeFillTint="40"/>
      </w:tcPr>
    </w:tblStylePr>
    <w:tblStylePr w:type="band1Vert">
      <w:tcPr>
        <w:shd w:val="clear" w:fill="FFFFFF" w:color="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fill="FFFFFF" w:color="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fill="FFFFFF" w:color="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fill="FFFFFF" w:color="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fill="FFFFFF" w:color="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1785">
    <w:name w:val="Lined - Accent"/>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786">
    <w:name w:val="Lined - Accent 1"/>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787">
    <w:name w:val="Lined - Accent 2"/>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788">
    <w:name w:val="Lined - Accent 3"/>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789">
    <w:name w:val="Lined - Accent 4"/>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790">
    <w:name w:val="Lined - Accent 5"/>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791">
    <w:name w:val="Lined - Accent 6"/>
    <w:basedOn w:val="1664"/>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792">
    <w:name w:val="Bordered &amp; Lined - Accent"/>
    <w:basedOn w:val="1664"/>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text1" w:themeFillTint="0D"/>
      </w:tcPr>
    </w:tblStylePr>
    <w:tblStylePr w:type="band2Vert">
      <w:rPr>
        <w:rFonts w:ascii="Arial" w:hAnsi="Arial"/>
        <w:color w:val="404040"/>
        <w:sz w:val="22"/>
      </w:rPr>
      <w:tcPr>
        <w:shd w:val="clear" w:fill="FFFFFF" w:color="FFFFFF" w:themeFill="text1" w:themeFillTint="0D"/>
      </w:tcPr>
    </w:tblStylePr>
    <w:tblStylePr w:type="firstCol">
      <w:rPr>
        <w:rFonts w:ascii="Arial" w:hAnsi="Arial"/>
        <w:color w:val="F2F2F2"/>
        <w:sz w:val="22"/>
      </w:rPr>
      <w:tcPr>
        <w:shd w:val="clear" w:fill="FFFFFF" w:color="FFFFFF" w:themeFill="text1" w:themeFillTint="80"/>
      </w:tcPr>
    </w:tblStylePr>
    <w:tblStylePr w:type="firstRow">
      <w:rPr>
        <w:rFonts w:ascii="Arial" w:hAnsi="Arial"/>
        <w:color w:val="F2F2F2"/>
        <w:sz w:val="22"/>
      </w:rPr>
      <w:tcPr>
        <w:shd w:val="clear" w:fill="FFFFFF" w:color="FFFFFF" w:themeFill="text1" w:themeFillTint="80"/>
      </w:tcPr>
    </w:tblStylePr>
    <w:tblStylePr w:type="lastCol">
      <w:rPr>
        <w:rFonts w:ascii="Arial" w:hAnsi="Arial"/>
        <w:color w:val="F2F2F2"/>
        <w:sz w:val="22"/>
      </w:rPr>
      <w:tcPr>
        <w:shd w:val="clear" w:fill="FFFFFF" w:color="FFFFFF" w:themeFill="text1" w:themeFillTint="80"/>
      </w:tcPr>
    </w:tblStylePr>
    <w:tblStylePr w:type="lastRow">
      <w:rPr>
        <w:rFonts w:ascii="Arial" w:hAnsi="Arial"/>
        <w:color w:val="F2F2F2"/>
        <w:sz w:val="22"/>
      </w:rPr>
      <w:tcPr>
        <w:shd w:val="clear" w:fill="FFFFFF" w:color="FFFFFF" w:themeFill="text1" w:themeFillTint="80"/>
      </w:tcPr>
    </w:tblStylePr>
  </w:style>
  <w:style w:type="table" w:styleId="1793">
    <w:name w:val="Bordered &amp; Lined - Accent 1"/>
    <w:basedOn w:val="1664"/>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1" w:themeFillTint="50"/>
      </w:tcPr>
    </w:tblStylePr>
    <w:tblStylePr w:type="band2Vert">
      <w:rPr>
        <w:rFonts w:ascii="Arial" w:hAnsi="Arial"/>
        <w:color w:val="404040"/>
        <w:sz w:val="22"/>
      </w:rPr>
      <w:tcPr>
        <w:shd w:val="clear" w:fill="FFFFFF" w:color="FFFFFF" w:themeFill="accent1" w:themeFillTint="50"/>
      </w:tcPr>
    </w:tblStylePr>
    <w:tblStylePr w:type="firstCol">
      <w:rPr>
        <w:rFonts w:ascii="Arial" w:hAnsi="Arial"/>
        <w:color w:val="F2F2F2"/>
        <w:sz w:val="22"/>
      </w:rPr>
      <w:tcPr>
        <w:shd w:val="clear" w:fill="FFFFFF" w:color="FFFFFF" w:themeFill="accent1" w:themeFillTint="EA"/>
      </w:tcPr>
    </w:tblStylePr>
    <w:tblStylePr w:type="firstRow">
      <w:rPr>
        <w:rFonts w:ascii="Arial" w:hAnsi="Arial"/>
        <w:color w:val="F2F2F2"/>
        <w:sz w:val="22"/>
      </w:rPr>
      <w:tcPr>
        <w:shd w:val="clear" w:fill="FFFFFF" w:color="FFFFFF" w:themeFill="accent1" w:themeFillTint="EA"/>
      </w:tcPr>
    </w:tblStylePr>
    <w:tblStylePr w:type="lastCol">
      <w:rPr>
        <w:rFonts w:ascii="Arial" w:hAnsi="Arial"/>
        <w:color w:val="F2F2F2"/>
        <w:sz w:val="22"/>
      </w:rPr>
      <w:tcPr>
        <w:shd w:val="clear" w:fill="FFFFFF" w:color="FFFFFF" w:themeFill="accent1" w:themeFillTint="EA"/>
      </w:tcPr>
    </w:tblStylePr>
    <w:tblStylePr w:type="lastRow">
      <w:rPr>
        <w:rFonts w:ascii="Arial" w:hAnsi="Arial"/>
        <w:color w:val="F2F2F2"/>
        <w:sz w:val="22"/>
      </w:rPr>
      <w:tcPr>
        <w:shd w:val="clear" w:fill="FFFFFF" w:color="FFFFFF" w:themeFill="accent1" w:themeFillTint="EA"/>
      </w:tcPr>
    </w:tblStylePr>
  </w:style>
  <w:style w:type="table" w:styleId="1794">
    <w:name w:val="Bordered &amp; Lined - Accent 2"/>
    <w:basedOn w:val="1664"/>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2" w:themeFillTint="32"/>
      </w:tcPr>
    </w:tblStylePr>
    <w:tblStylePr w:type="band2Vert">
      <w:rPr>
        <w:rFonts w:ascii="Arial" w:hAnsi="Arial"/>
        <w:color w:val="404040"/>
        <w:sz w:val="22"/>
      </w:rPr>
      <w:tcPr>
        <w:shd w:val="clear" w:fill="FFFFFF" w:color="FFFFFF" w:themeFill="accent2" w:themeFillTint="32"/>
      </w:tcPr>
    </w:tblStylePr>
    <w:tblStylePr w:type="firstCol">
      <w:rPr>
        <w:rFonts w:ascii="Arial" w:hAnsi="Arial"/>
        <w:color w:val="F2F2F2"/>
        <w:sz w:val="22"/>
      </w:rPr>
      <w:tcPr>
        <w:shd w:val="clear" w:fill="FFFFFF" w:color="FFFFFF" w:themeFill="accent2" w:themeFillTint="97"/>
      </w:tcPr>
    </w:tblStylePr>
    <w:tblStylePr w:type="firstRow">
      <w:rPr>
        <w:rFonts w:ascii="Arial" w:hAnsi="Arial"/>
        <w:color w:val="F2F2F2"/>
        <w:sz w:val="22"/>
      </w:rPr>
      <w:tcPr>
        <w:shd w:val="clear" w:fill="FFFFFF" w:color="FFFFFF" w:themeFill="accent2" w:themeFillTint="97"/>
      </w:tcPr>
    </w:tblStylePr>
    <w:tblStylePr w:type="lastCol">
      <w:rPr>
        <w:rFonts w:ascii="Arial" w:hAnsi="Arial"/>
        <w:color w:val="F2F2F2"/>
        <w:sz w:val="22"/>
      </w:rPr>
      <w:tcPr>
        <w:shd w:val="clear" w:fill="FFFFFF" w:color="FFFFFF" w:themeFill="accent2" w:themeFillTint="97"/>
      </w:tcPr>
    </w:tblStylePr>
    <w:tblStylePr w:type="lastRow">
      <w:rPr>
        <w:rFonts w:ascii="Arial" w:hAnsi="Arial"/>
        <w:color w:val="F2F2F2"/>
        <w:sz w:val="22"/>
      </w:rPr>
      <w:tcPr>
        <w:shd w:val="clear" w:fill="FFFFFF" w:color="FFFFFF" w:themeFill="accent2" w:themeFillTint="97"/>
      </w:tcPr>
    </w:tblStylePr>
  </w:style>
  <w:style w:type="table" w:styleId="1795">
    <w:name w:val="Bordered &amp; Lined - Accent 3"/>
    <w:basedOn w:val="1664"/>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3" w:themeFillTint="34"/>
      </w:tcPr>
    </w:tblStylePr>
    <w:tblStylePr w:type="band2Vert">
      <w:rPr>
        <w:rFonts w:ascii="Arial" w:hAnsi="Arial"/>
        <w:color w:val="404040"/>
        <w:sz w:val="22"/>
      </w:rPr>
      <w:tcPr>
        <w:shd w:val="clear" w:fill="FFFFFF" w:color="FFFFFF" w:themeFill="accent3" w:themeFillTint="34"/>
      </w:tcPr>
    </w:tblStylePr>
    <w:tblStylePr w:type="firstCol">
      <w:rPr>
        <w:rFonts w:ascii="Arial" w:hAnsi="Arial"/>
        <w:color w:val="F2F2F2"/>
        <w:sz w:val="22"/>
      </w:rPr>
      <w:tcPr>
        <w:shd w:val="clear" w:fill="FFFFFF" w:color="FFFFFF" w:themeFill="accent3" w:themeFillTint="FE"/>
      </w:tcPr>
    </w:tblStylePr>
    <w:tblStylePr w:type="firstRow">
      <w:rPr>
        <w:rFonts w:ascii="Arial" w:hAnsi="Arial"/>
        <w:color w:val="F2F2F2"/>
        <w:sz w:val="22"/>
      </w:rPr>
      <w:tcPr>
        <w:shd w:val="clear" w:fill="FFFFFF" w:color="FFFFFF" w:themeFill="accent3" w:themeFillTint="FE"/>
      </w:tcPr>
    </w:tblStylePr>
    <w:tblStylePr w:type="lastCol">
      <w:rPr>
        <w:rFonts w:ascii="Arial" w:hAnsi="Arial"/>
        <w:color w:val="F2F2F2"/>
        <w:sz w:val="22"/>
      </w:rPr>
      <w:tcPr>
        <w:shd w:val="clear" w:fill="FFFFFF" w:color="FFFFFF" w:themeFill="accent3" w:themeFillTint="FE"/>
      </w:tcPr>
    </w:tblStylePr>
    <w:tblStylePr w:type="lastRow">
      <w:rPr>
        <w:rFonts w:ascii="Arial" w:hAnsi="Arial"/>
        <w:color w:val="F2F2F2"/>
        <w:sz w:val="22"/>
      </w:rPr>
      <w:tcPr>
        <w:shd w:val="clear" w:fill="FFFFFF" w:color="FFFFFF" w:themeFill="accent3" w:themeFillTint="FE"/>
      </w:tcPr>
    </w:tblStylePr>
  </w:style>
  <w:style w:type="table" w:styleId="1796">
    <w:name w:val="Bordered &amp; Lined - Accent 4"/>
    <w:basedOn w:val="1664"/>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4" w:themeFillTint="34"/>
      </w:tcPr>
    </w:tblStylePr>
    <w:tblStylePr w:type="band2Vert">
      <w:rPr>
        <w:rFonts w:ascii="Arial" w:hAnsi="Arial"/>
        <w:color w:val="404040"/>
        <w:sz w:val="22"/>
      </w:rPr>
      <w:tcPr>
        <w:shd w:val="clear" w:fill="FFFFFF" w:color="FFFFFF" w:themeFill="accent4" w:themeFillTint="34"/>
      </w:tcPr>
    </w:tblStylePr>
    <w:tblStylePr w:type="firstCol">
      <w:rPr>
        <w:rFonts w:ascii="Arial" w:hAnsi="Arial"/>
        <w:color w:val="F2F2F2"/>
        <w:sz w:val="22"/>
      </w:rPr>
      <w:tcPr>
        <w:shd w:val="clear" w:fill="FFFFFF" w:color="FFFFFF" w:themeFill="accent4" w:themeFillTint="9A"/>
      </w:tcPr>
    </w:tblStylePr>
    <w:tblStylePr w:type="firstRow">
      <w:rPr>
        <w:rFonts w:ascii="Arial" w:hAnsi="Arial"/>
        <w:color w:val="F2F2F2"/>
        <w:sz w:val="22"/>
      </w:rPr>
      <w:tcPr>
        <w:shd w:val="clear" w:fill="FFFFFF" w:color="FFFFFF" w:themeFill="accent4" w:themeFillTint="9A"/>
      </w:tcPr>
    </w:tblStylePr>
    <w:tblStylePr w:type="lastCol">
      <w:rPr>
        <w:rFonts w:ascii="Arial" w:hAnsi="Arial"/>
        <w:color w:val="F2F2F2"/>
        <w:sz w:val="22"/>
      </w:rPr>
      <w:tcPr>
        <w:shd w:val="clear" w:fill="FFFFFF" w:color="FFFFFF" w:themeFill="accent4" w:themeFillTint="9A"/>
      </w:tcPr>
    </w:tblStylePr>
    <w:tblStylePr w:type="lastRow">
      <w:rPr>
        <w:rFonts w:ascii="Arial" w:hAnsi="Arial"/>
        <w:color w:val="F2F2F2"/>
        <w:sz w:val="22"/>
      </w:rPr>
      <w:tcPr>
        <w:shd w:val="clear" w:fill="FFFFFF" w:color="FFFFFF" w:themeFill="accent4" w:themeFillTint="9A"/>
      </w:tcPr>
    </w:tblStylePr>
  </w:style>
  <w:style w:type="table" w:styleId="1797">
    <w:name w:val="Bordered &amp; Lined - Accent 5"/>
    <w:basedOn w:val="1664"/>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5" w:themeFillTint="34"/>
      </w:tcPr>
    </w:tblStylePr>
    <w:tblStylePr w:type="band2Vert">
      <w:rPr>
        <w:rFonts w:ascii="Arial" w:hAnsi="Arial"/>
        <w:color w:val="404040"/>
        <w:sz w:val="22"/>
      </w:rPr>
      <w:tcPr>
        <w:shd w:val="clear" w:fill="FFFFFF" w:color="FFFFFF" w:themeFill="accent5" w:themeFillTint="34"/>
      </w:tcPr>
    </w:tblStylePr>
    <w:tblStylePr w:type="firstCol">
      <w:rPr>
        <w:rFonts w:ascii="Arial" w:hAnsi="Arial"/>
        <w:color w:val="F2F2F2"/>
        <w:sz w:val="22"/>
      </w:rPr>
      <w:tcPr>
        <w:shd w:val="clear" w:fill="FFFFFF" w:color="FFFFFF" w:themeFill="accent5"/>
      </w:tcPr>
    </w:tblStylePr>
    <w:tblStylePr w:type="firstRow">
      <w:rPr>
        <w:rFonts w:ascii="Arial" w:hAnsi="Arial"/>
        <w:color w:val="F2F2F2"/>
        <w:sz w:val="22"/>
      </w:rPr>
      <w:tcPr>
        <w:shd w:val="clear" w:fill="FFFFFF" w:color="FFFFFF" w:themeFill="accent5"/>
      </w:tcPr>
    </w:tblStylePr>
    <w:tblStylePr w:type="lastCol">
      <w:rPr>
        <w:rFonts w:ascii="Arial" w:hAnsi="Arial"/>
        <w:color w:val="F2F2F2"/>
        <w:sz w:val="22"/>
      </w:rPr>
      <w:tcPr>
        <w:shd w:val="clear" w:fill="FFFFFF" w:color="FFFFFF" w:themeFill="accent5"/>
      </w:tcPr>
    </w:tblStylePr>
    <w:tblStylePr w:type="lastRow">
      <w:rPr>
        <w:rFonts w:ascii="Arial" w:hAnsi="Arial"/>
        <w:color w:val="F2F2F2"/>
        <w:sz w:val="22"/>
      </w:rPr>
      <w:tcPr>
        <w:shd w:val="clear" w:fill="FFFFFF" w:color="FFFFFF" w:themeFill="accent5"/>
      </w:tcPr>
    </w:tblStylePr>
  </w:style>
  <w:style w:type="table" w:styleId="1798">
    <w:name w:val="Bordered &amp; Lined - Accent 6"/>
    <w:basedOn w:val="1664"/>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fill="FFFFFF" w:color="FFFFFF" w:themeFill="accent6" w:themeFillTint="34"/>
      </w:tcPr>
    </w:tblStylePr>
    <w:tblStylePr w:type="band2Vert">
      <w:rPr>
        <w:rFonts w:ascii="Arial" w:hAnsi="Arial"/>
        <w:color w:val="404040"/>
        <w:sz w:val="22"/>
      </w:rPr>
      <w:tcPr>
        <w:shd w:val="clear" w:fill="FFFFFF" w:color="FFFFFF" w:themeFill="accent6" w:themeFillTint="34"/>
      </w:tcPr>
    </w:tblStylePr>
    <w:tblStylePr w:type="firstCol">
      <w:rPr>
        <w:rFonts w:ascii="Arial" w:hAnsi="Arial"/>
        <w:color w:val="F2F2F2"/>
        <w:sz w:val="22"/>
      </w:rPr>
      <w:tcPr>
        <w:shd w:val="clear" w:fill="FFFFFF" w:color="FFFFFF" w:themeFill="accent6"/>
      </w:tcPr>
    </w:tblStylePr>
    <w:tblStylePr w:type="firstRow">
      <w:rPr>
        <w:rFonts w:ascii="Arial" w:hAnsi="Arial"/>
        <w:color w:val="F2F2F2"/>
        <w:sz w:val="22"/>
      </w:rPr>
      <w:tcPr>
        <w:shd w:val="clear" w:fill="FFFFFF" w:color="FFFFFF" w:themeFill="accent6"/>
      </w:tcPr>
    </w:tblStylePr>
    <w:tblStylePr w:type="lastCol">
      <w:rPr>
        <w:rFonts w:ascii="Arial" w:hAnsi="Arial"/>
        <w:color w:val="F2F2F2"/>
        <w:sz w:val="22"/>
      </w:rPr>
      <w:tcPr>
        <w:shd w:val="clear" w:fill="FFFFFF" w:color="FFFFFF" w:themeFill="accent6"/>
      </w:tcPr>
    </w:tblStylePr>
    <w:tblStylePr w:type="lastRow">
      <w:rPr>
        <w:rFonts w:ascii="Arial" w:hAnsi="Arial"/>
        <w:color w:val="F2F2F2"/>
        <w:sz w:val="22"/>
      </w:rPr>
      <w:tcPr>
        <w:shd w:val="clear" w:fill="FFFFFF" w:color="FFFFFF" w:themeFill="accent6"/>
      </w:tcPr>
    </w:tblStylePr>
  </w:style>
  <w:style w:type="table" w:styleId="1799">
    <w:name w:val="Bordered"/>
    <w:basedOn w:val="1664"/>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800">
    <w:name w:val="Bordered - Accent 1"/>
    <w:basedOn w:val="1664"/>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801">
    <w:name w:val="Bordered - Accent 2"/>
    <w:basedOn w:val="1664"/>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802">
    <w:name w:val="Bordered - Accent 3"/>
    <w:basedOn w:val="1664"/>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803">
    <w:name w:val="Bordered - Accent 4"/>
    <w:basedOn w:val="1664"/>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804">
    <w:name w:val="Bordered - Accent 5"/>
    <w:basedOn w:val="1664"/>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805">
    <w:name w:val="Bordered - Accent 6"/>
    <w:basedOn w:val="1664"/>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1806">
    <w:name w:val="Hyperlink"/>
    <w:uiPriority w:val="99"/>
    <w:unhideWhenUsed/>
    <w:rPr>
      <w:color w:val="0000FF" w:themeColor="hyperlink"/>
      <w:u w:val="single"/>
    </w:rPr>
  </w:style>
  <w:style w:type="paragraph" w:styleId="1807">
    <w:name w:val="footnote text"/>
    <w:basedOn w:val="1642"/>
    <w:link w:val="1808"/>
    <w:uiPriority w:val="99"/>
    <w:semiHidden/>
    <w:unhideWhenUsed/>
    <w:rPr>
      <w:sz w:val="18"/>
    </w:rPr>
    <w:pPr>
      <w:spacing w:lineRule="auto" w:line="240" w:after="40"/>
    </w:pPr>
  </w:style>
  <w:style w:type="character" w:styleId="1808">
    <w:name w:val="Footnote Text Char"/>
    <w:link w:val="1807"/>
    <w:uiPriority w:val="99"/>
    <w:rPr>
      <w:sz w:val="18"/>
    </w:rPr>
  </w:style>
  <w:style w:type="character" w:styleId="1809">
    <w:name w:val="footnote reference"/>
    <w:basedOn w:val="1643"/>
    <w:uiPriority w:val="99"/>
    <w:unhideWhenUsed/>
    <w:rPr>
      <w:vertAlign w:val="superscript"/>
    </w:rPr>
  </w:style>
  <w:style w:type="paragraph" w:styleId="1810">
    <w:name w:val="endnote text"/>
    <w:basedOn w:val="1642"/>
    <w:link w:val="1811"/>
    <w:uiPriority w:val="99"/>
    <w:semiHidden/>
    <w:unhideWhenUsed/>
    <w:rPr>
      <w:sz w:val="20"/>
    </w:rPr>
    <w:pPr>
      <w:spacing w:lineRule="auto" w:line="240" w:after="0"/>
    </w:pPr>
  </w:style>
  <w:style w:type="character" w:styleId="1811">
    <w:name w:val="Endnote Text Char"/>
    <w:link w:val="1810"/>
    <w:uiPriority w:val="99"/>
    <w:rPr>
      <w:sz w:val="20"/>
    </w:rPr>
  </w:style>
  <w:style w:type="character" w:styleId="1812">
    <w:name w:val="endnote reference"/>
    <w:basedOn w:val="1643"/>
    <w:uiPriority w:val="99"/>
    <w:semiHidden/>
    <w:unhideWhenUsed/>
    <w:rPr>
      <w:vertAlign w:val="superscript"/>
    </w:rPr>
  </w:style>
  <w:style w:type="paragraph" w:styleId="1813">
    <w:name w:val="toc 1"/>
    <w:basedOn w:val="1642"/>
    <w:next w:val="1642"/>
    <w:uiPriority w:val="39"/>
    <w:unhideWhenUsed/>
    <w:pPr>
      <w:ind w:left="0" w:right="0" w:firstLine="0"/>
      <w:spacing w:after="57"/>
    </w:pPr>
  </w:style>
  <w:style w:type="paragraph" w:styleId="1814">
    <w:name w:val="toc 2"/>
    <w:basedOn w:val="1642"/>
    <w:next w:val="1642"/>
    <w:uiPriority w:val="39"/>
    <w:unhideWhenUsed/>
    <w:pPr>
      <w:ind w:left="283" w:right="0" w:firstLine="0"/>
      <w:spacing w:after="57"/>
    </w:pPr>
  </w:style>
  <w:style w:type="paragraph" w:styleId="1815">
    <w:name w:val="toc 3"/>
    <w:basedOn w:val="1642"/>
    <w:next w:val="1642"/>
    <w:uiPriority w:val="39"/>
    <w:unhideWhenUsed/>
    <w:pPr>
      <w:ind w:left="567" w:right="0" w:firstLine="0"/>
      <w:spacing w:after="57"/>
    </w:pPr>
  </w:style>
  <w:style w:type="paragraph" w:styleId="1816">
    <w:name w:val="toc 4"/>
    <w:basedOn w:val="1642"/>
    <w:next w:val="1642"/>
    <w:uiPriority w:val="39"/>
    <w:unhideWhenUsed/>
    <w:pPr>
      <w:ind w:left="850" w:right="0" w:firstLine="0"/>
      <w:spacing w:after="57"/>
    </w:pPr>
  </w:style>
  <w:style w:type="paragraph" w:styleId="1817">
    <w:name w:val="toc 5"/>
    <w:basedOn w:val="1642"/>
    <w:next w:val="1642"/>
    <w:uiPriority w:val="39"/>
    <w:unhideWhenUsed/>
    <w:pPr>
      <w:ind w:left="1134" w:right="0" w:firstLine="0"/>
      <w:spacing w:after="57"/>
    </w:pPr>
  </w:style>
  <w:style w:type="paragraph" w:styleId="1818">
    <w:name w:val="toc 6"/>
    <w:basedOn w:val="1642"/>
    <w:next w:val="1642"/>
    <w:uiPriority w:val="39"/>
    <w:unhideWhenUsed/>
    <w:pPr>
      <w:ind w:left="1417" w:right="0" w:firstLine="0"/>
      <w:spacing w:after="57"/>
    </w:pPr>
  </w:style>
  <w:style w:type="paragraph" w:styleId="1819">
    <w:name w:val="toc 7"/>
    <w:basedOn w:val="1642"/>
    <w:next w:val="1642"/>
    <w:uiPriority w:val="39"/>
    <w:unhideWhenUsed/>
    <w:pPr>
      <w:ind w:left="1701" w:right="0" w:firstLine="0"/>
      <w:spacing w:after="57"/>
    </w:pPr>
  </w:style>
  <w:style w:type="paragraph" w:styleId="1820">
    <w:name w:val="toc 8"/>
    <w:basedOn w:val="1642"/>
    <w:next w:val="1642"/>
    <w:uiPriority w:val="39"/>
    <w:unhideWhenUsed/>
    <w:pPr>
      <w:ind w:left="1984" w:right="0" w:firstLine="0"/>
      <w:spacing w:after="57"/>
    </w:pPr>
  </w:style>
  <w:style w:type="paragraph" w:styleId="1821">
    <w:name w:val="toc 9"/>
    <w:basedOn w:val="1642"/>
    <w:next w:val="1642"/>
    <w:uiPriority w:val="39"/>
    <w:unhideWhenUsed/>
    <w:pPr>
      <w:ind w:left="2268" w:right="0" w:firstLine="0"/>
      <w:spacing w:after="57"/>
    </w:pPr>
  </w:style>
  <w:style w:type="paragraph" w:styleId="1822">
    <w:name w:val="TOC Heading"/>
    <w:uiPriority w:val="39"/>
    <w:unhideWhenUsed/>
  </w:style>
  <w:style w:type="paragraph" w:styleId="1823">
    <w:name w:val="table of figures"/>
    <w:basedOn w:val="1642"/>
    <w:next w:val="1642"/>
    <w:uiPriority w:val="99"/>
    <w:unhideWhenUsed/>
    <w:pPr>
      <w:spacing w:after="0" w:afterAutospacing="0"/>
    </w:p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Template>
  <TotalTime>510</TotalTime>
  <Application>LibreOffice/7.2.7.2$Windows_X86_64 LibreOffice_project/8d71d29d553c0f7dcbfa38fbfda25ee34cce99a2</Application>
  <AppVersion>15.0000</AppVersion>
  <Pages>18</Pages>
  <Words>9013</Words>
  <Characters>34091</Characters>
  <CharactersWithSpaces>39566</CharactersWithSpaces>
  <Paragraphs>372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PRB</dc:creator>
  <dc:description/>
  <dc:language>fr-FR</dc:language>
  <cp:lastModifiedBy/>
  <dcterms:modified xsi:type="dcterms:W3CDTF">2023-03-02T09:37:11Z</dcterms:modified>
  <cp:revision>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