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color w:themeColor="accent1"/>
          <w:highlight w:val="none"/>
          <w:shd w:fill="auto" w:val="clear"/>
        </w:rPr>
      </w:pPr>
      <w:r>
        <w:rPr>
          <w:rFonts w:cs="Arial"/>
          <w:color w:val="4472C4" w:themeColor="accent1"/>
          <w:sz w:val="36"/>
          <w:szCs w:val="36"/>
          <w:shd w:fill="auto" w:val="clear"/>
        </w:rPr>
        <w:t>DIRECTION DE L’ACHAT ET DE LA COMMANDE  PUBLIQUE</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Émission de cartes d'achat</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w:t>
      </w:r>
      <w:r>
        <w:rPr>
          <w:rFonts w:cs="Arial"/>
          <w:b/>
          <w:bCs/>
          <w:color w:val="000000"/>
          <w:sz w:val="24"/>
          <w:szCs w:val="24"/>
          <w:u w:val="single"/>
          <w:shd w:fill="auto" w:val="clear"/>
        </w:rPr>
        <w:t> :</w:t>
      </w:r>
      <w:r>
        <w:rPr>
          <w:rFonts w:cs="Arial"/>
          <w:color w:val="4472C4" w:themeColor="accent1"/>
          <w:sz w:val="24"/>
          <w:szCs w:val="24"/>
          <w:shd w:fill="auto" w:val="clear"/>
        </w:rPr>
        <w:t xml:space="preserve"> </w:t>
      </w:r>
      <w:r>
        <w:rPr>
          <w:rFonts w:cs="Arial"/>
          <w:b/>
          <w:bCs/>
          <w:i w:val="false"/>
          <w:iCs w:val="false"/>
          <w:strike w:val="false"/>
          <w:dstrike w:val="false"/>
          <w:color w:val="000000"/>
          <w:sz w:val="24"/>
          <w:szCs w:val="24"/>
          <w:shd w:fill="auto" w:val="clear"/>
        </w:rPr>
        <w:t>23_</w:t>
      </w:r>
      <w:r>
        <w:rPr>
          <w:rFonts w:cs="Arial"/>
          <w:b/>
          <w:bCs/>
          <w:i w:val="false"/>
          <w:iCs w:val="false"/>
          <w:strike w:val="false"/>
          <w:dstrike w:val="false"/>
          <w:sz w:val="24"/>
          <w:szCs w:val="24"/>
          <w:shd w:fill="auto" w:val="clear"/>
        </w:rPr>
        <w:t>0554</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3</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9</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13</w:t>
        </w:r>
        <w:r>
          <w:rPr/>
          <w:fldChar w:fldCharType="end"/>
        </w:r>
      </w:hyperlink>
      <w:r>
        <w:br w:type="page"/>
      </w:r>
    </w:p>
    <w:p>
      <w:pPr>
        <w:pStyle w:val="Titre1"/>
        <w:numPr>
          <w:ilvl w:val="0"/>
          <w:numId w:val="2"/>
        </w:numPr>
        <w:rPr/>
      </w:pPr>
      <w:bookmarkStart w:id="0" w:name="_Toc3964"/>
      <w:r>
        <w:rPr/>
        <w:t>INFORMATIONS ADMINISTRATIVES (RENSEIGNE PAR LA COLLECTIVITE)</w:t>
      </w:r>
      <w:bookmarkEnd w:id="0"/>
    </w:p>
    <w:p>
      <w:pPr>
        <w:pStyle w:val="Titre2"/>
        <w:numPr>
          <w:ilvl w:val="1"/>
          <w:numId w:val="2"/>
        </w:numPr>
        <w:rPr/>
      </w:pPr>
      <w:bookmarkStart w:id="1" w:name="_Toc3965"/>
      <w:r>
        <w:rPr/>
        <w:t>Marché</w:t>
      </w:r>
      <w:bookmarkEnd w:id="1"/>
    </w:p>
    <w:p>
      <w:pPr>
        <w:pStyle w:val="Normal"/>
        <w:rPr/>
      </w:pPr>
      <w:r>
        <w:rPr>
          <w:rFonts w:eastAsia="arial" w:cs="arial" w:ascii="arial" w:hAnsi="arial"/>
          <w:b w:val="false"/>
          <w:i w:val="false"/>
          <w:color w:val="000000"/>
          <w:sz w:val="20"/>
          <w:u w:val="none"/>
        </w:rPr>
        <w:t>Numéro du marché :</w:t>
      </w:r>
    </w:p>
    <w:p>
      <w:pPr>
        <w:pStyle w:val="Normal"/>
        <w:rPr>
          <w:highlight w:val="none"/>
          <w:shd w:fill="auto" w:val="clear"/>
        </w:rPr>
      </w:pPr>
      <w:r>
        <w:rPr>
          <w:rFonts w:eastAsia="arial" w:cs="arial" w:ascii="arial" w:hAnsi="arial"/>
          <w:b w:val="false"/>
          <w:i w:val="false"/>
          <w:color w:val="000000"/>
          <w:sz w:val="20"/>
          <w:u w:val="none"/>
          <w:shd w:fill="auto" w:val="clear"/>
        </w:rPr>
        <w:t>Absence de délibération spécifique au présent marché.</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procédure de passation est la suivante :MAPA OUVERT AVEC BOAMP - selon les articles suivants : articles L2123-1, R2123-1-1°, R2123-4 et 5 du Code de la commande publique.</w:t>
      </w:r>
    </w:p>
    <w:p>
      <w:pPr>
        <w:pStyle w:val="Normal"/>
        <w:rPr>
          <w:highlight w:val="none"/>
          <w:shd w:fill="auto" w:val="clear"/>
        </w:rPr>
      </w:pPr>
      <w:r>
        <w:rPr>
          <w:rFonts w:eastAsia="arial" w:cs="arial" w:ascii="arial" w:hAnsi="arial"/>
          <w:b w:val="false"/>
          <w:i w:val="false"/>
          <w:color w:val="000000"/>
          <w:sz w:val="20"/>
          <w:u w:val="none"/>
          <w:shd w:fill="auto" w:val="clear"/>
        </w:rPr>
        <w:t>Nature des prestations : Services</w:t>
      </w:r>
    </w:p>
    <w:p>
      <w:pPr>
        <w:pStyle w:val="Titre2"/>
        <w:numPr>
          <w:ilvl w:val="1"/>
          <w:numId w:val="2"/>
        </w:numPr>
        <w:rPr>
          <w:highlight w:val="none"/>
          <w:shd w:fill="auto" w:val="clear"/>
        </w:rPr>
      </w:pPr>
      <w:bookmarkStart w:id="2" w:name="_Toc3966"/>
      <w:r>
        <w:rPr>
          <w:shd w:fill="auto" w:val="clear"/>
        </w:rPr>
        <w:t>Pouvoir adjudicateur</w:t>
      </w:r>
      <w:bookmarkEnd w:id="2"/>
    </w:p>
    <w:p>
      <w:pPr>
        <w:pStyle w:val="Normal"/>
        <w:rPr>
          <w:highlight w:val="none"/>
          <w:shd w:fill="auto" w:val="clear"/>
        </w:rPr>
      </w:pPr>
      <w:r>
        <w:rPr>
          <w:rFonts w:eastAsia="arial" w:cs="arial" w:ascii="arial" w:hAnsi="arial"/>
          <w:b w:val="false"/>
          <w:i w:val="false"/>
          <w:color w:val="000000"/>
          <w:sz w:val="20"/>
          <w:u w:val="none"/>
          <w:shd w:fill="auto" w:val="clear"/>
        </w:rPr>
        <w:t xml:space="preserve">Représentant du pouvoir adjudicateur : </w:t>
      </w:r>
    </w:p>
    <w:p>
      <w:pPr>
        <w:pStyle w:val="Normal"/>
        <w:rPr>
          <w:highlight w:val="none"/>
          <w:shd w:fill="auto" w:val="clear"/>
        </w:rPr>
      </w:pPr>
      <w:r>
        <w:rPr>
          <w:rFonts w:eastAsia="arial" w:cs="arial" w:ascii="arial" w:hAnsi="arial"/>
          <w:b w:val="false"/>
          <w:i w:val="false"/>
          <w:color w:val="000000"/>
          <w:sz w:val="20"/>
          <w:u w:val="none"/>
          <w:shd w:fill="auto" w:val="clear"/>
        </w:rPr>
        <w:t>MONSIEUR LE DIRECTEUR GENERAL DES SERVICES</w:t>
      </w:r>
    </w:p>
    <w:p>
      <w:pPr>
        <w:pStyle w:val="Normal"/>
        <w:rPr>
          <w:highlight w:val="none"/>
          <w:shd w:fill="auto" w:val="clear"/>
        </w:rPr>
      </w:pPr>
      <w:r>
        <w:rPr>
          <w:rFonts w:eastAsia="arial" w:cs="arial" w:ascii="arial" w:hAnsi="arial"/>
          <w:b w:val="false"/>
          <w:i w:val="false"/>
          <w:color w:val="000000"/>
          <w:sz w:val="20"/>
          <w:u w:val="none"/>
          <w:shd w:fill="auto" w:val="clear"/>
        </w:rPr>
        <w:t>Monsieur Didier OSTRE</w:t>
      </w:r>
    </w:p>
    <w:p>
      <w:pPr>
        <w:pStyle w:val="Normal"/>
        <w:rPr>
          <w:highlight w:val="none"/>
          <w:shd w:fill="auto" w:val="clear"/>
        </w:rPr>
      </w:pPr>
      <w:r>
        <w:rPr>
          <w:rFonts w:eastAsia="arial" w:cs="arial" w:ascii="arial" w:hAnsi="arial"/>
          <w:b w:val="false"/>
          <w:i w:val="false"/>
          <w:color w:val="000000"/>
          <w:sz w:val="20"/>
          <w:u w:val="none"/>
          <w:shd w:fill="auto" w:val="clear"/>
        </w:rPr>
        <w:t>Habilité à signer en vertu de l'arrêté de délégation de signature du Maire de Marseille</w:t>
      </w:r>
    </w:p>
    <w:p>
      <w:pPr>
        <w:pStyle w:val="Normal"/>
        <w:rPr>
          <w:highlight w:val="none"/>
          <w:shd w:fill="auto" w:val="clear"/>
        </w:rPr>
      </w:pPr>
      <w:r>
        <w:rPr>
          <w:rFonts w:eastAsia="arial" w:cs="arial" w:ascii="arial" w:hAnsi="arial"/>
          <w:b w:val="false"/>
          <w:i w:val="false"/>
          <w:color w:val="000000"/>
          <w:sz w:val="20"/>
          <w:u w:val="none"/>
          <w:shd w:fill="auto" w:val="clear"/>
        </w:rPr>
        <w:t>Personne habilitée à donner des renseignements prévus à l'article R2191-60 du Code de la commande publique : L’acheteur public</w:t>
      </w:r>
    </w:p>
    <w:p>
      <w:pPr>
        <w:pStyle w:val="Normal"/>
        <w:rPr>
          <w:highlight w:val="none"/>
          <w:shd w:fill="auto" w:val="clear"/>
        </w:rPr>
      </w:pPr>
      <w:r>
        <w:rPr>
          <w:rFonts w:eastAsia="arial" w:cs="arial" w:ascii="arial" w:hAnsi="arial"/>
          <w:b w:val="false"/>
          <w:i w:val="false"/>
          <w:color w:val="000000"/>
          <w:sz w:val="20"/>
          <w:u w:val="none"/>
          <w:shd w:fill="auto" w:val="clear"/>
        </w:rPr>
        <w:t xml:space="preserve">Service responsable de l'exécution du marché : </w:t>
      </w:r>
    </w:p>
    <w:p>
      <w:pPr>
        <w:pStyle w:val="Normal"/>
        <w:rPr>
          <w:highlight w:val="none"/>
          <w:shd w:fill="auto" w:val="clear"/>
        </w:rPr>
      </w:pPr>
      <w:r>
        <w:rPr>
          <w:rFonts w:eastAsia="arial" w:cs="arial" w:ascii="arial" w:hAnsi="arial"/>
          <w:b w:val="false"/>
          <w:i w:val="false"/>
          <w:color w:val="000000"/>
          <w:sz w:val="20"/>
          <w:u w:val="none"/>
          <w:shd w:fill="auto" w:val="clear"/>
        </w:rPr>
        <w:t>Service Projets et Évolution de la Fonction Achat</w:t>
      </w:r>
    </w:p>
    <w:p>
      <w:pPr>
        <w:pStyle w:val="Normal"/>
        <w:rPr>
          <w:highlight w:val="none"/>
          <w:shd w:fill="auto" w:val="clear"/>
        </w:rPr>
      </w:pPr>
      <w:r>
        <w:rPr>
          <w:rFonts w:eastAsia="arial" w:cs="arial" w:ascii="arial" w:hAnsi="arial"/>
          <w:b w:val="false"/>
          <w:i w:val="false"/>
          <w:color w:val="000000"/>
          <w:sz w:val="20"/>
          <w:u w:val="none"/>
          <w:shd w:fill="auto" w:val="clear"/>
        </w:rPr>
        <w:t>189 Boulevard de la Valbarelle</w:t>
      </w:r>
    </w:p>
    <w:p>
      <w:pPr>
        <w:pStyle w:val="Normal"/>
        <w:rPr>
          <w:highlight w:val="none"/>
          <w:shd w:fill="auto" w:val="clear"/>
        </w:rPr>
      </w:pPr>
      <w:r>
        <w:rPr>
          <w:rFonts w:eastAsia="arial" w:cs="arial" w:ascii="arial" w:hAnsi="arial"/>
          <w:b w:val="false"/>
          <w:i w:val="false"/>
          <w:color w:val="000000"/>
          <w:sz w:val="20"/>
          <w:u w:val="none"/>
          <w:shd w:fill="auto" w:val="clear"/>
        </w:rPr>
        <w:t>13011 Marseille</w:t>
      </w:r>
    </w:p>
    <w:p>
      <w:pPr>
        <w:pStyle w:val="Titre2"/>
        <w:numPr>
          <w:ilvl w:val="1"/>
          <w:numId w:val="2"/>
        </w:numPr>
        <w:rPr/>
      </w:pPr>
      <w:bookmarkStart w:id="3" w:name="_Toc3967"/>
      <w:r>
        <w:rPr/>
        <w:t>Informations comptables et financières</w:t>
      </w:r>
      <w:bookmarkEnd w:id="3"/>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des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Imputation budgétaire : de fonctionnement</w:t>
      </w:r>
    </w:p>
    <w:p>
      <w:pPr>
        <w:pStyle w:val="Titre2"/>
        <w:numPr>
          <w:ilvl w:val="1"/>
          <w:numId w:val="2"/>
        </w:numPr>
        <w:rPr>
          <w:highlight w:val="none"/>
          <w:shd w:fill="auto" w:val="clear"/>
        </w:rPr>
      </w:pPr>
      <w:bookmarkStart w:id="4" w:name="_Toc3968"/>
      <w:r>
        <w:rPr>
          <w:shd w:fill="auto" w:val="clear"/>
        </w:rPr>
        <w:t>Code CPV</w:t>
      </w:r>
      <w:bookmarkEnd w:id="4"/>
    </w:p>
    <w:p>
      <w:pPr>
        <w:pStyle w:val="Normal"/>
        <w:rPr>
          <w:highlight w:val="none"/>
          <w:shd w:fill="auto" w:val="clear"/>
        </w:rPr>
      </w:pPr>
      <w:r>
        <w:rPr>
          <w:rFonts w:eastAsia="arial" w:cs="arial" w:ascii="arial" w:hAnsi="arial"/>
          <w:b w:val="false"/>
          <w:i w:val="false"/>
          <w:color w:val="000000"/>
          <w:sz w:val="20"/>
          <w:u w:val="single"/>
          <w:shd w:fill="auto" w:val="clear"/>
        </w:rPr>
        <w:t>Code CPV principal</w:t>
      </w:r>
      <w:r>
        <w:rPr>
          <w:rFonts w:eastAsia="arial" w:cs="arial" w:ascii="arial" w:hAnsi="arial"/>
          <w:b w:val="false"/>
          <w:i w:val="false"/>
          <w:color w:val="000000"/>
          <w:sz w:val="20"/>
          <w:u w:val="none"/>
          <w:shd w:fill="auto" w:val="clear"/>
        </w:rPr>
        <w:t xml:space="preserve"> :</w:t>
      </w:r>
    </w:p>
    <w:p>
      <w:pPr>
        <w:pStyle w:val="Normal"/>
        <w:rPr>
          <w:highlight w:val="none"/>
          <w:shd w:fill="auto" w:val="clear"/>
        </w:rPr>
      </w:pPr>
      <w:r>
        <w:rPr>
          <w:rFonts w:eastAsia="arial" w:cs="arial" w:ascii="arial" w:hAnsi="arial"/>
          <w:b w:val="false"/>
          <w:i w:val="false"/>
          <w:color w:val="000000"/>
          <w:sz w:val="20"/>
          <w:u w:val="none"/>
          <w:shd w:fill="auto" w:val="clear"/>
        </w:rPr>
        <w:t>66110000</w:t>
      </w:r>
    </w:p>
    <w:p>
      <w:pPr>
        <w:pStyle w:val="Normal"/>
        <w:rPr>
          <w:highlight w:val="none"/>
          <w:shd w:fill="auto" w:val="clear"/>
        </w:rPr>
      </w:pPr>
      <w:r>
        <w:rPr>
          <w:rFonts w:eastAsia="arial" w:cs="arial" w:ascii="arial" w:hAnsi="arial"/>
          <w:b w:val="false"/>
          <w:i w:val="false"/>
          <w:color w:val="000000"/>
          <w:sz w:val="20"/>
          <w:u w:val="single"/>
          <w:shd w:fill="auto" w:val="clear"/>
        </w:rPr>
        <w:t>CPV complémentaires</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Il n'y a pas de CPV complémentaires.</w:t>
      </w:r>
    </w:p>
    <w:p>
      <w:pPr>
        <w:pStyle w:val="Titre2"/>
        <w:numPr>
          <w:ilvl w:val="1"/>
          <w:numId w:val="2"/>
        </w:numPr>
        <w:rPr>
          <w:highlight w:val="none"/>
          <w:shd w:fill="auto" w:val="clear"/>
        </w:rPr>
      </w:pPr>
      <w:bookmarkStart w:id="5" w:name="_Toc3969"/>
      <w:r>
        <w:rPr>
          <w:shd w:fill="auto" w:val="clear"/>
        </w:rPr>
        <w:t>Réemploi, réutilisation ou intégration de matières recyclées</w:t>
      </w:r>
      <w:bookmarkEnd w:id="5"/>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pPr>
      <w:bookmarkStart w:id="6" w:name="_Toc3970"/>
      <w:r>
        <w:rPr>
          <w:shd w:fill="auto" w:val="clear"/>
        </w:rPr>
        <w:t>CONTRA</w:t>
      </w:r>
      <w:r>
        <w:rPr/>
        <w:t>CTANT(S)</w:t>
      </w:r>
      <w:bookmarkEnd w:id="6"/>
    </w:p>
    <w:p>
      <w:pPr>
        <w:pStyle w:val="Titre2"/>
        <w:numPr>
          <w:ilvl w:val="1"/>
          <w:numId w:val="2"/>
        </w:numPr>
        <w:rPr/>
      </w:pPr>
      <w:bookmarkStart w:id="7" w:name="_Toc3971"/>
      <w:r>
        <w:rPr/>
        <w:t>Identification</w:t>
      </w:r>
      <w:bookmarkEnd w:id="7"/>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8" w:name="_Toc3972"/>
      <w:r>
        <w:rPr/>
        <w:t>Compte à créditer</w:t>
      </w:r>
      <w:bookmarkEnd w:id="8"/>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9" w:name="_Toc3973"/>
      <w:r>
        <w:rPr/>
        <w:t>OBJET</w:t>
      </w:r>
      <w:bookmarkEnd w:id="9"/>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 xml:space="preserve">Émission de cartes d'achat </w:t>
      </w:r>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r>
    </w:p>
    <w:p>
      <w:pPr>
        <w:pStyle w:val="Normal"/>
        <w:spacing w:before="0" w:after="0"/>
        <w:ind w:left="0" w:right="0" w:hanging="0"/>
        <w:jc w:val="both"/>
        <w:rPr>
          <w:rFonts w:ascii="Arial" w:hAnsi="Arial" w:eastAsia="Arial" w:cs="Arial"/>
          <w:color w:val="000000"/>
          <w:sz w:val="20"/>
          <w:highlight w:val="none"/>
        </w:rPr>
      </w:pPr>
      <w:r>
        <w:rPr>
          <w:rFonts w:eastAsia="Arial" w:cs="Arial"/>
          <w:color w:val="000000"/>
          <w:sz w:val="20"/>
        </w:rPr>
        <w:t>Les prestations sont découpées en postes, de la façon suivante :</w:t>
      </w:r>
    </w:p>
    <w:p>
      <w:pPr>
        <w:pStyle w:val="Normal"/>
        <w:spacing w:before="0" w:after="0"/>
        <w:ind w:left="0" w:right="0" w:hanging="0"/>
        <w:jc w:val="both"/>
        <w:rPr/>
      </w:pPr>
      <w:r>
        <w:rPr/>
      </w:r>
    </w:p>
    <w:p>
      <w:pPr>
        <w:pStyle w:val="Corpsdetexte"/>
        <w:spacing w:lineRule="auto" w:line="240" w:before="0" w:after="0"/>
        <w:ind w:left="0" w:right="0" w:hanging="0"/>
        <w:jc w:val="both"/>
        <w:rPr>
          <w:highlight w:val="none"/>
          <w:shd w:fill="auto" w:val="clear"/>
        </w:rPr>
      </w:pPr>
      <w:r>
        <w:rPr>
          <w:b/>
          <w:bCs/>
          <w:sz w:val="20"/>
          <w:szCs w:val="20"/>
          <w:shd w:fill="auto" w:val="clear"/>
        </w:rPr>
        <w:t>Poste 1 (en cas de changement de titulaire) comprenant :</w:t>
      </w:r>
      <w:r>
        <w:rPr>
          <w:b w:val="false"/>
          <w:bCs w:val="false"/>
          <w:sz w:val="20"/>
          <w:szCs w:val="20"/>
          <w:shd w:fill="auto" w:val="clear"/>
        </w:rPr>
        <w:t xml:space="preserve"> </w:t>
      </w:r>
    </w:p>
    <w:p>
      <w:pPr>
        <w:pStyle w:val="Corpsdetexte"/>
        <w:spacing w:lineRule="auto" w:line="240" w:before="0" w:after="0"/>
        <w:ind w:left="0" w:right="0" w:hanging="0"/>
        <w:jc w:val="both"/>
        <w:rPr>
          <w:rFonts w:ascii="Arial" w:hAnsi="Arial"/>
          <w:sz w:val="20"/>
          <w:szCs w:val="20"/>
          <w:highlight w:val="none"/>
          <w:shd w:fill="auto" w:val="clear"/>
        </w:rPr>
      </w:pPr>
      <w:r>
        <w:rPr>
          <w:sz w:val="20"/>
          <w:szCs w:val="20"/>
          <w:shd w:fill="auto" w:val="clear"/>
        </w:rPr>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 l’assistance technique et le conseil pour le démarrage du programme ;</w:t>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 xml:space="preserve">- la mise à disposition du </w:t>
      </w:r>
      <w:r>
        <w:rPr>
          <w:b w:val="false"/>
          <w:bCs w:val="false"/>
          <w:sz w:val="20"/>
          <w:szCs w:val="20"/>
          <w:u w:val="none"/>
          <w:shd w:fill="auto" w:val="clear"/>
        </w:rPr>
        <w:t>nouvel</w:t>
      </w:r>
      <w:r>
        <w:rPr>
          <w:b w:val="false"/>
          <w:bCs w:val="false"/>
          <w:sz w:val="20"/>
          <w:szCs w:val="20"/>
          <w:shd w:fill="auto" w:val="clear"/>
        </w:rPr>
        <w:t xml:space="preserve"> outil web achat et la formation initiale à cet outil.</w:t>
      </w:r>
    </w:p>
    <w:p>
      <w:pPr>
        <w:pStyle w:val="Corpsdetexte"/>
        <w:spacing w:lineRule="auto" w:line="240" w:before="0" w:after="0"/>
        <w:ind w:left="0" w:right="0" w:hanging="0"/>
        <w:jc w:val="both"/>
        <w:rPr>
          <w:rFonts w:ascii="Arial" w:hAnsi="Arial"/>
          <w:sz w:val="20"/>
          <w:szCs w:val="20"/>
          <w:highlight w:val="none"/>
          <w:shd w:fill="auto" w:val="clear"/>
        </w:rPr>
      </w:pPr>
      <w:r>
        <w:rPr>
          <w:sz w:val="20"/>
          <w:szCs w:val="20"/>
          <w:shd w:fill="auto" w:val="clear"/>
        </w:rPr>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Ces prestations sont décrites aux articles II-1.2 et II-1.3 du CCTP, et font l’objet d’un prix forfaitaire (annexe 2 à l’acte d’engagement).</w:t>
      </w:r>
    </w:p>
    <w:p>
      <w:pPr>
        <w:pStyle w:val="Corpsdetexte"/>
        <w:spacing w:lineRule="auto" w:line="240" w:before="0" w:after="0"/>
        <w:ind w:left="0" w:right="0" w:hanging="0"/>
        <w:jc w:val="both"/>
        <w:rPr>
          <w:rFonts w:ascii="Arial" w:hAnsi="Arial"/>
          <w:b w:val="false"/>
          <w:b w:val="false"/>
          <w:bCs w:val="false"/>
          <w:sz w:val="20"/>
          <w:szCs w:val="20"/>
          <w:highlight w:val="none"/>
          <w:shd w:fill="auto" w:val="clear"/>
        </w:rPr>
      </w:pPr>
      <w:r>
        <w:rPr>
          <w:b w:val="false"/>
          <w:bCs w:val="false"/>
          <w:sz w:val="20"/>
          <w:szCs w:val="20"/>
          <w:shd w:fill="auto" w:val="clear"/>
        </w:rPr>
      </w:r>
    </w:p>
    <w:p>
      <w:pPr>
        <w:pStyle w:val="Corpsdetexte"/>
        <w:spacing w:lineRule="auto" w:line="240" w:before="0" w:after="0"/>
        <w:ind w:left="0" w:right="0" w:hanging="0"/>
        <w:jc w:val="both"/>
        <w:rPr>
          <w:rFonts w:ascii="Arial" w:hAnsi="Arial"/>
          <w:b w:val="false"/>
          <w:b w:val="false"/>
          <w:bCs w:val="false"/>
          <w:sz w:val="20"/>
          <w:szCs w:val="20"/>
          <w:highlight w:val="none"/>
          <w:shd w:fill="auto" w:val="clear"/>
        </w:rPr>
      </w:pPr>
      <w:r>
        <w:rPr>
          <w:b w:val="false"/>
          <w:bCs w:val="false"/>
          <w:sz w:val="20"/>
          <w:szCs w:val="20"/>
          <w:shd w:fill="auto" w:val="clear"/>
        </w:rPr>
      </w:r>
    </w:p>
    <w:p>
      <w:pPr>
        <w:pStyle w:val="Corpsdetexte"/>
        <w:keepNext w:val="true"/>
        <w:keepLines/>
        <w:spacing w:lineRule="auto" w:line="240" w:before="0" w:after="0"/>
        <w:ind w:left="0" w:right="0" w:hanging="0"/>
        <w:jc w:val="both"/>
        <w:rPr>
          <w:highlight w:val="none"/>
          <w:shd w:fill="auto" w:val="clear"/>
        </w:rPr>
      </w:pPr>
      <w:r>
        <w:rPr>
          <w:b/>
          <w:bCs/>
          <w:sz w:val="20"/>
          <w:szCs w:val="20"/>
          <w:shd w:fill="auto" w:val="clear"/>
        </w:rPr>
        <w:t>Poste 2 (démarrage et exécution du marché) comprenant :</w:t>
      </w:r>
      <w:r>
        <w:rPr>
          <w:b w:val="false"/>
          <w:bCs w:val="false"/>
          <w:sz w:val="20"/>
          <w:szCs w:val="20"/>
          <w:shd w:fill="auto" w:val="clear"/>
        </w:rPr>
        <w:t xml:space="preserve"> </w:t>
      </w:r>
    </w:p>
    <w:p>
      <w:pPr>
        <w:pStyle w:val="Corpsdetexte"/>
        <w:spacing w:lineRule="auto" w:line="240" w:before="0" w:after="0"/>
        <w:ind w:left="0" w:right="0" w:hanging="0"/>
        <w:jc w:val="both"/>
        <w:rPr>
          <w:rFonts w:ascii="Arial" w:hAnsi="Arial"/>
          <w:sz w:val="20"/>
          <w:szCs w:val="20"/>
          <w:highlight w:val="none"/>
          <w:shd w:fill="auto" w:val="clear"/>
        </w:rPr>
      </w:pPr>
      <w:r>
        <w:rPr>
          <w:sz w:val="20"/>
          <w:szCs w:val="20"/>
          <w:shd w:fill="auto" w:val="clear"/>
        </w:rPr>
      </w:r>
    </w:p>
    <w:p>
      <w:pPr>
        <w:pStyle w:val="Corpsdetexte"/>
        <w:keepNext w:val="true"/>
        <w:keepLines/>
        <w:spacing w:lineRule="auto" w:line="240" w:before="0" w:after="0"/>
        <w:ind w:left="0" w:right="0" w:hanging="0"/>
        <w:jc w:val="both"/>
        <w:rPr>
          <w:highlight w:val="none"/>
          <w:shd w:fill="auto" w:val="clear"/>
        </w:rPr>
      </w:pPr>
      <w:r>
        <w:rPr>
          <w:b w:val="false"/>
          <w:bCs w:val="false"/>
          <w:sz w:val="20"/>
          <w:szCs w:val="20"/>
          <w:shd w:fill="auto" w:val="clear"/>
        </w:rPr>
        <w:t>- l’assistance technique et la gestion courante  (</w:t>
      </w:r>
      <w:r>
        <w:rPr>
          <w:b w:val="false"/>
          <w:bCs w:val="false"/>
          <w:i w:val="false"/>
          <w:iCs w:val="false"/>
          <w:sz w:val="20"/>
          <w:szCs w:val="20"/>
          <w:shd w:fill="auto" w:val="clear"/>
        </w:rPr>
        <w:t>articles II-2.1  et II.2.3 du CCTP)</w:t>
      </w:r>
      <w:r>
        <w:rPr>
          <w:b w:val="false"/>
          <w:bCs w:val="false"/>
          <w:sz w:val="20"/>
          <w:szCs w:val="20"/>
          <w:shd w:fill="auto" w:val="clear"/>
        </w:rPr>
        <w:t> ;</w:t>
      </w:r>
    </w:p>
    <w:p>
      <w:pPr>
        <w:pStyle w:val="Corpsdetexte"/>
        <w:spacing w:lineRule="auto" w:line="240" w:before="0" w:after="0"/>
        <w:ind w:left="0" w:right="0" w:hanging="0"/>
        <w:jc w:val="both"/>
        <w:rPr>
          <w:highlight w:val="none"/>
          <w:shd w:fill="auto" w:val="clear"/>
        </w:rPr>
      </w:pPr>
      <w:r>
        <w:rPr>
          <w:b w:val="false"/>
          <w:bCs w:val="false"/>
          <w:i w:val="false"/>
          <w:iCs w:val="false"/>
          <w:sz w:val="20"/>
          <w:szCs w:val="20"/>
          <w:shd w:fill="auto" w:val="clear"/>
        </w:rPr>
        <w:t>- les formations à l’outil web carte d’achat en cours de marché – prestations à bons de commande (articles II-1.4) ;</w:t>
      </w:r>
    </w:p>
    <w:p>
      <w:pPr>
        <w:pStyle w:val="Corpsdetexte"/>
        <w:spacing w:lineRule="auto" w:line="240" w:before="0" w:after="0"/>
        <w:ind w:left="0" w:right="0" w:hanging="0"/>
        <w:jc w:val="both"/>
        <w:rPr>
          <w:highlight w:val="none"/>
          <w:shd w:fill="auto" w:val="clear"/>
        </w:rPr>
      </w:pPr>
      <w:r>
        <w:rPr>
          <w:b w:val="false"/>
          <w:bCs w:val="false"/>
          <w:i w:val="false"/>
          <w:iCs w:val="false"/>
          <w:sz w:val="20"/>
          <w:szCs w:val="20"/>
          <w:shd w:fill="auto" w:val="clear"/>
        </w:rPr>
        <w:t>- le suivi technique et administratif du marché d'émission de cartes d’achat – forfait annuel  (article II-2.2)</w:t>
      </w:r>
      <w:r>
        <w:rPr>
          <w:b w:val="false"/>
          <w:bCs w:val="false"/>
          <w:sz w:val="20"/>
          <w:szCs w:val="20"/>
          <w:shd w:fill="auto" w:val="clear"/>
        </w:rPr>
        <w:t>.</w:t>
      </w:r>
    </w:p>
    <w:p>
      <w:pPr>
        <w:pStyle w:val="Corpsdetexte"/>
        <w:spacing w:lineRule="auto" w:line="240" w:before="0" w:after="0"/>
        <w:ind w:left="0" w:right="0" w:hanging="0"/>
        <w:jc w:val="both"/>
        <w:rPr>
          <w:rFonts w:ascii="Arial" w:hAnsi="Arial"/>
          <w:sz w:val="20"/>
          <w:szCs w:val="20"/>
          <w:highlight w:val="none"/>
          <w:shd w:fill="auto" w:val="clear"/>
        </w:rPr>
      </w:pPr>
      <w:r>
        <w:rPr>
          <w:sz w:val="20"/>
          <w:szCs w:val="20"/>
          <w:shd w:fill="auto" w:val="clear"/>
        </w:rPr>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Les prix de ces prestations sont indiqués dans l’annexe 3 à l’acte d’engagement, intitulée « bordereau de prix ».</w:t>
      </w:r>
    </w:p>
    <w:p>
      <w:pPr>
        <w:pStyle w:val="Corpsdetexte"/>
        <w:keepNext w:val="true"/>
        <w:keepLines/>
        <w:spacing w:lineRule="auto" w:line="240" w:before="0" w:after="0"/>
        <w:ind w:left="0" w:right="0" w:hanging="0"/>
        <w:jc w:val="both"/>
        <w:rPr>
          <w:rFonts w:ascii="Arial" w:hAnsi="Arial"/>
          <w:i w:val="false"/>
          <w:i w:val="false"/>
          <w:iCs w:val="false"/>
          <w:sz w:val="20"/>
          <w:szCs w:val="20"/>
          <w:highlight w:val="none"/>
          <w:shd w:fill="auto" w:val="clear"/>
        </w:rPr>
      </w:pPr>
      <w:r>
        <w:rPr>
          <w:i w:val="false"/>
          <w:iCs w:val="false"/>
          <w:sz w:val="20"/>
          <w:szCs w:val="20"/>
          <w:shd w:fill="auto" w:val="clear"/>
        </w:rPr>
      </w:r>
    </w:p>
    <w:p>
      <w:pPr>
        <w:pStyle w:val="Corpsdetexte"/>
        <w:spacing w:lineRule="auto" w:line="240" w:before="0" w:after="0"/>
        <w:ind w:left="0" w:right="0" w:hanging="0"/>
        <w:jc w:val="both"/>
        <w:rPr>
          <w:rFonts w:ascii="Arial" w:hAnsi="Arial"/>
          <w:i w:val="false"/>
          <w:i w:val="false"/>
          <w:iCs w:val="false"/>
          <w:sz w:val="20"/>
          <w:szCs w:val="20"/>
          <w:highlight w:val="none"/>
          <w:shd w:fill="auto" w:val="clear"/>
        </w:rPr>
      </w:pPr>
      <w:r>
        <w:rPr>
          <w:i w:val="false"/>
          <w:iCs w:val="false"/>
          <w:sz w:val="20"/>
          <w:szCs w:val="20"/>
          <w:shd w:fill="auto" w:val="clear"/>
        </w:rPr>
      </w:r>
    </w:p>
    <w:p>
      <w:pPr>
        <w:pStyle w:val="Corpsdetexte"/>
        <w:spacing w:lineRule="auto" w:line="240" w:before="0" w:after="0"/>
        <w:ind w:left="0" w:right="0" w:hanging="0"/>
        <w:jc w:val="both"/>
        <w:rPr>
          <w:highlight w:val="none"/>
          <w:shd w:fill="auto" w:val="clear"/>
        </w:rPr>
      </w:pPr>
      <w:r>
        <w:rPr>
          <w:b/>
          <w:bCs/>
          <w:i w:val="false"/>
          <w:iCs w:val="false"/>
          <w:sz w:val="20"/>
          <w:szCs w:val="20"/>
          <w:shd w:fill="auto" w:val="clear"/>
        </w:rPr>
        <w:t>PSE facultative :</w:t>
      </w:r>
    </w:p>
    <w:p>
      <w:pPr>
        <w:pStyle w:val="Corpsdetexte"/>
        <w:spacing w:lineRule="auto" w:line="240" w:before="0" w:after="0"/>
        <w:ind w:left="0" w:right="0" w:hanging="0"/>
        <w:jc w:val="both"/>
        <w:rPr>
          <w:rFonts w:ascii="Arial" w:hAnsi="Arial"/>
          <w:b/>
          <w:b/>
          <w:bCs/>
          <w:i w:val="false"/>
          <w:i w:val="false"/>
          <w:iCs w:val="false"/>
          <w:sz w:val="20"/>
          <w:szCs w:val="20"/>
          <w:highlight w:val="none"/>
          <w:shd w:fill="auto" w:val="clear"/>
        </w:rPr>
      </w:pPr>
      <w:r>
        <w:rPr>
          <w:b/>
          <w:bCs/>
          <w:i w:val="false"/>
          <w:iCs w:val="false"/>
          <w:sz w:val="20"/>
          <w:szCs w:val="20"/>
          <w:shd w:fill="auto" w:val="clear"/>
        </w:rPr>
      </w:r>
    </w:p>
    <w:p>
      <w:pPr>
        <w:pStyle w:val="Corpsdetexte"/>
        <w:rPr>
          <w:highlight w:val="none"/>
          <w:shd w:fill="auto" w:val="clear"/>
        </w:rPr>
      </w:pPr>
      <w:r>
        <w:rPr>
          <w:rFonts w:eastAsia="arial" w:cs="arial" w:ascii="arial" w:hAnsi="arial"/>
          <w:b w:val="false"/>
          <w:i w:val="false"/>
          <w:color w:val="000000"/>
          <w:sz w:val="20"/>
          <w:u w:val="none"/>
          <w:shd w:fill="auto" w:val="clear"/>
        </w:rPr>
        <w:t>Il est prévu la prestation supplémentaire éventuelle (PSE ou option) suivante : fourniture d’un certificat électronique permettant la création en ligne de cartes d’achat (article II.-1.6 du CCTP).</w:t>
        <w:br/>
        <w:t>Le montant de cette option facultative est indiqué dans l’annexe 3 à l’acte d’engagement, le cas échéant.</w:t>
      </w:r>
    </w:p>
    <w:p>
      <w:pPr>
        <w:pStyle w:val="Normal"/>
        <w:spacing w:lineRule="auto" w:line="240" w:before="0" w:after="0"/>
        <w:ind w:left="0" w:right="0" w:hanging="0"/>
        <w:jc w:val="both"/>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r>
    </w:p>
    <w:p>
      <w:pPr>
        <w:pStyle w:val="Corpsdetexte"/>
        <w:spacing w:lineRule="auto" w:line="240" w:before="0" w:after="0"/>
        <w:ind w:left="0" w:right="0" w:hanging="0"/>
        <w:jc w:val="both"/>
        <w:rPr>
          <w:highlight w:val="none"/>
          <w:shd w:fill="auto" w:val="clear"/>
        </w:rPr>
      </w:pPr>
      <w:r>
        <w:rPr>
          <w:i w:val="false"/>
          <w:iCs w:val="false"/>
          <w:sz w:val="20"/>
          <w:szCs w:val="20"/>
          <w:shd w:fill="auto" w:val="clear"/>
        </w:rPr>
        <w:t>La levée ou non de cette option (PSE) sera décidée au moment de l’attribution du marché.</w:t>
        <w:br/>
        <w:t>La décision sera portée à l’article 10 du présent acte d’engagement.</w:t>
      </w:r>
    </w:p>
    <w:p>
      <w:pPr>
        <w:pStyle w:val="Titre1"/>
        <w:numPr>
          <w:ilvl w:val="0"/>
          <w:numId w:val="2"/>
        </w:numPr>
        <w:rPr/>
      </w:pPr>
      <w:bookmarkStart w:id="10" w:name="_Toc3974"/>
      <w:r>
        <w:rPr/>
        <w:t>MONTANT ET PRIX DU MARCHE</w:t>
      </w:r>
      <w:bookmarkEnd w:id="10"/>
    </w:p>
    <w:p>
      <w:pPr>
        <w:pStyle w:val="Titre2"/>
        <w:numPr>
          <w:ilvl w:val="1"/>
          <w:numId w:val="2"/>
        </w:numPr>
        <w:rPr/>
      </w:pPr>
      <w:bookmarkStart w:id="11" w:name="_Toc3975"/>
      <w:r>
        <w:rPr/>
        <w:t>Forme du prix</w:t>
      </w:r>
      <w:bookmarkEnd w:id="11"/>
    </w:p>
    <w:p>
      <w:pPr>
        <w:pStyle w:val="Normal"/>
        <w:rPr/>
      </w:pPr>
      <w:r>
        <w:rPr>
          <w:rFonts w:eastAsia="arial" w:cs="arial" w:ascii="arial" w:hAnsi="arial"/>
          <w:b w:val="false"/>
          <w:i w:val="false"/>
          <w:color w:val="000000"/>
          <w:sz w:val="20"/>
          <w:u w:val="none"/>
        </w:rPr>
        <w:t>Le marché est traité à prix mixtes (unitaire et forfaitaire).</w:t>
      </w:r>
    </w:p>
    <w:p>
      <w:pPr>
        <w:pStyle w:val="Titre2"/>
        <w:numPr>
          <w:ilvl w:val="1"/>
          <w:numId w:val="2"/>
        </w:numPr>
        <w:rPr/>
      </w:pPr>
      <w:bookmarkStart w:id="12" w:name="_Toc3976"/>
      <w:r>
        <w:rPr/>
        <w:t>Montant</w:t>
      </w:r>
      <w:bookmarkEnd w:id="12"/>
    </w:p>
    <w:p>
      <w:pPr>
        <w:pStyle w:val="Normal"/>
        <w:rPr>
          <w:highlight w:val="none"/>
          <w:shd w:fill="auto" w:val="clear"/>
        </w:rPr>
      </w:pPr>
      <w:r>
        <w:rPr>
          <w:shd w:fill="auto" w:val="clear"/>
        </w:rPr>
        <w:t xml:space="preserve">Le présent marché est un accord-cadre </w:t>
      </w:r>
      <w:r>
        <w:rPr>
          <w:rFonts w:ascii="Verdana;Geneva;sans-serif" w:hAnsi="Verdana;Geneva;sans-serif"/>
          <w:sz w:val="18"/>
          <w:shd w:fill="auto" w:val="clear"/>
        </w:rPr>
        <w:t xml:space="preserve">passé en application des articles R2162-13 et 14 du  Code de la commande publique. </w:t>
      </w:r>
    </w:p>
    <w:p>
      <w:pPr>
        <w:pStyle w:val="Normal"/>
        <w:rPr>
          <w:highlight w:val="none"/>
          <w:shd w:fill="auto" w:val="clear"/>
        </w:rPr>
      </w:pPr>
      <w:r>
        <w:rPr>
          <w:shd w:fill="auto" w:val="clear"/>
        </w:rPr>
        <w:t>L’accord cadre est conclu dans les conditions et limites suivantes :</w:t>
      </w:r>
    </w:p>
    <w:p>
      <w:pPr>
        <w:pStyle w:val="Normal"/>
        <w:rPr>
          <w:highlight w:val="none"/>
          <w:shd w:fill="auto" w:val="clear"/>
        </w:rPr>
      </w:pPr>
      <w:r>
        <w:rPr>
          <w:shd w:fill="auto" w:val="clear"/>
        </w:rPr>
        <w:t>Le volume suivant des prestations est donné sur toute la durée du marché soit 4 ans ferme :</w:t>
      </w:r>
    </w:p>
    <w:p>
      <w:pPr>
        <w:pStyle w:val="Normal"/>
        <w:rPr>
          <w:highlight w:val="none"/>
          <w:shd w:fill="auto" w:val="clear"/>
        </w:rPr>
      </w:pPr>
      <w:r>
        <w:rPr>
          <w:shd w:fill="auto" w:val="clear"/>
        </w:rPr>
        <w:t>SANS MINIMUM</w:t>
      </w:r>
    </w:p>
    <w:p>
      <w:pPr>
        <w:pStyle w:val="Normal"/>
        <w:rPr>
          <w:highlight w:val="none"/>
          <w:shd w:fill="auto" w:val="clear"/>
        </w:rPr>
      </w:pPr>
      <w:r>
        <w:rPr>
          <w:shd w:fill="auto" w:val="clear"/>
        </w:rPr>
      </w:r>
    </w:p>
    <w:p>
      <w:pPr>
        <w:pStyle w:val="Normal"/>
        <w:rPr>
          <w:highlight w:val="none"/>
          <w:shd w:fill="auto" w:val="clear"/>
        </w:rPr>
      </w:pPr>
      <w:r>
        <w:rPr>
          <w:shd w:fill="auto" w:val="clear"/>
        </w:rPr>
        <w:t>MONTANT MAXIMUM : 130 000,00 € H.T.</w:t>
      </w:r>
    </w:p>
    <w:p>
      <w:pPr>
        <w:pStyle w:val="Normal"/>
        <w:rPr>
          <w:highlight w:val="none"/>
          <w:shd w:fill="auto" w:val="clear"/>
        </w:rPr>
      </w:pPr>
      <w:r>
        <w:rPr>
          <w:shd w:fill="auto" w:val="clear"/>
        </w:rPr>
      </w:r>
    </w:p>
    <w:p>
      <w:pPr>
        <w:pStyle w:val="Normal"/>
        <w:spacing w:before="0" w:after="0"/>
        <w:ind w:left="0" w:right="0" w:hanging="0"/>
        <w:jc w:val="both"/>
        <w:rPr>
          <w:highlight w:val="none"/>
          <w:shd w:fill="auto" w:val="clear"/>
        </w:rPr>
      </w:pPr>
      <w:r>
        <w:rPr>
          <w:rFonts w:eastAsia="arial" w:cs="arial" w:ascii="arial" w:hAnsi="arial"/>
          <w:b/>
          <w:i w:val="false"/>
          <w:color w:val="000000"/>
          <w:sz w:val="20"/>
          <w:u w:val="none"/>
          <w:shd w:fill="auto" w:val="clear"/>
        </w:rPr>
        <w:t>Ce montant maximum inclut les 2 postes</w:t>
      </w:r>
    </w:p>
    <w:p>
      <w:pPr>
        <w:pStyle w:val="Normal"/>
        <w:spacing w:before="0" w:after="0"/>
        <w:ind w:left="0" w:right="0" w:hanging="0"/>
        <w:jc w:val="both"/>
        <w:rPr>
          <w:rFonts w:ascii="arial" w:hAnsi="arial" w:eastAsia="arial" w:cs="arial"/>
          <w:b/>
          <w:b/>
          <w:i w:val="false"/>
          <w:i w:val="false"/>
          <w:color w:val="000000"/>
          <w:sz w:val="20"/>
          <w:highlight w:val="none"/>
          <w:u w:val="none"/>
          <w:shd w:fill="auto" w:val="clear"/>
        </w:rPr>
      </w:pPr>
      <w:r>
        <w:rPr>
          <w:rFonts w:eastAsia="arial" w:cs="arial" w:ascii="arial" w:hAnsi="arial"/>
          <w:b/>
          <w:i w:val="false"/>
          <w:color w:val="000000"/>
          <w:sz w:val="20"/>
          <w:u w:val="none"/>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Les prix de l'accord-cadre sont détaillés dans les annexes au présent accord-cadre intitulées</w:t>
      </w:r>
    </w:p>
    <w:p>
      <w:pPr>
        <w:pStyle w:val="Normal"/>
        <w:numPr>
          <w:ilvl w:val="0"/>
          <w:numId w:val="5"/>
        </w:numPr>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L’annexe 2 à l’AE : le Bordereau des Prix Forfaitaires (BPF) (poste 1) </w:t>
      </w:r>
    </w:p>
    <w:p>
      <w:pPr>
        <w:pStyle w:val="Normal"/>
        <w:numPr>
          <w:ilvl w:val="0"/>
          <w:numId w:val="5"/>
        </w:numPr>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L’annexe 3 à l’AE : le Bordereau de Prix  (poste 2) </w:t>
      </w:r>
    </w:p>
    <w:p>
      <w:pPr>
        <w:pStyle w:val="Normal"/>
        <w:rPr>
          <w:strike w:val="false"/>
          <w:dstrike w:val="false"/>
          <w:highlight w:val="none"/>
          <w:shd w:fill="FFFF00" w:val="clear"/>
        </w:rPr>
      </w:pPr>
      <w:r>
        <w:rPr>
          <w:strike w:val="false"/>
          <w:dstrike w:val="false"/>
          <w:shd w:fill="FFFF00" w:val="clea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2"/>
        <w:numPr>
          <w:ilvl w:val="1"/>
          <w:numId w:val="2"/>
        </w:numPr>
        <w:rPr/>
      </w:pPr>
      <w:bookmarkStart w:id="13" w:name="_Toc3977"/>
      <w:r>
        <w:rPr/>
        <w:t>Sous traitance</w:t>
      </w:r>
      <w:bookmarkEnd w:id="13"/>
    </w:p>
    <w:p>
      <w:pPr>
        <w:pStyle w:val="Normal"/>
        <w:rPr/>
      </w:pPr>
      <w:r>
        <w:rPr>
          <w:rFonts w:eastAsia="arial" w:cs="arial" w:ascii="arial" w:hAnsi="arial"/>
          <w:b w:val="false"/>
          <w:i w:val="false"/>
          <w:color w:val="000000"/>
          <w:sz w:val="20"/>
          <w:u w:val="none"/>
        </w:rPr>
        <w:t>(Dans le cas où l'entreprise ne présenterait pas de sous-traitant, maintenir le présent paragraphe sans le compléter et en le barrant.)</w:t>
      </w:r>
    </w:p>
    <w:p>
      <w:pPr>
        <w:pStyle w:val="Normal"/>
        <w:spacing w:before="120" w:after="0"/>
        <w:rPr/>
      </w:pPr>
      <w:r>
        <w:rPr>
          <w:rFonts w:eastAsia="arial" w:cs="arial" w:ascii="arial" w:hAnsi="arial"/>
          <w:b w:val="false"/>
          <w:i w:val="false"/>
          <w:color w:val="000000"/>
          <w:sz w:val="20"/>
          <w:u w:val="none"/>
        </w:rPr>
        <w:t xml:space="preserve">Les déclarations de sous traitance (imprimé DC4 disponible à l'adresse suivante : </w:t>
      </w:r>
    </w:p>
    <w:p>
      <w:pPr>
        <w:pStyle w:val="Normal"/>
        <w:spacing w:before="120" w:after="0"/>
        <w:rPr/>
      </w:pPr>
      <w:r>
        <w:rPr>
          <w:rFonts w:eastAsia="arial" w:cs="arial" w:ascii="arial" w:hAnsi="arial"/>
          <w:b w:val="false"/>
          <w:i w:val="false"/>
          <w:color w:val="000000"/>
          <w:sz w:val="20"/>
          <w:u w:val="none"/>
        </w:rPr>
        <w:t xml:space="preserve">http://www.economie.gouv.fr/daj/formulaires ) </w:t>
      </w:r>
    </w:p>
    <w:p>
      <w:pPr>
        <w:pStyle w:val="Normal"/>
        <w:spacing w:before="120" w:after="0"/>
        <w:rPr/>
      </w:pPr>
      <w:r>
        <w:rPr>
          <w:rFonts w:eastAsia="arial" w:cs="arial" w:ascii="arial" w:hAnsi="arial"/>
          <w:b w:val="false"/>
          <w:i w:val="false"/>
          <w:color w:val="000000"/>
          <w:sz w:val="20"/>
          <w:u w:val="none"/>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120" w:after="0"/>
        <w:rPr/>
      </w:pPr>
      <w:r>
        <w:rPr>
          <w:rFonts w:eastAsia="arial" w:cs="arial" w:ascii="arial" w:hAnsi="arial"/>
          <w:b w:val="false"/>
          <w:i w:val="false"/>
          <w:color w:val="000000"/>
          <w:sz w:val="20"/>
          <w:u w:val="none"/>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120" w:after="0"/>
        <w:rPr/>
      </w:pPr>
      <w:r>
        <w:rPr>
          <w:rFonts w:eastAsia="arial" w:cs="arial" w:ascii="arial" w:hAnsi="arial"/>
          <w:b w:val="false"/>
          <w:i w:val="false"/>
          <w:color w:val="000000"/>
          <w:sz w:val="20"/>
          <w:u w:val="none"/>
        </w:rPr>
        <w:t xml:space="preserve">Le relevé bancaire (BIC ou IBAN) du sous-traitant est joint.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montant total des prestations que j'envisage de sous-traiter conformément à cette(ces) annexe(s) est de :</w:t>
      </w:r>
    </w:p>
    <w:p>
      <w:pPr>
        <w:pStyle w:val="Normal"/>
        <w:spacing w:before="120" w:after="0"/>
        <w:rPr/>
      </w:pPr>
      <w:r>
        <w:rPr>
          <w:rFonts w:eastAsia="arial" w:cs="arial" w:ascii="arial" w:hAnsi="arial"/>
          <w:b w:val="false"/>
          <w:i w:val="false"/>
          <w:color w:val="000000"/>
          <w:sz w:val="20"/>
          <w:u w:val="none"/>
        </w:rPr>
        <w:t>En chiffres : .........................................................? HT</w:t>
      </w:r>
    </w:p>
    <w:p>
      <w:pPr>
        <w:pStyle w:val="Normal"/>
        <w:spacing w:before="120" w:after="0"/>
        <w:rPr/>
      </w:pPr>
      <w:r>
        <w:rPr>
          <w:rFonts w:eastAsia="arial" w:cs="arial" w:ascii="arial" w:hAnsi="arial"/>
          <w:b w:val="false"/>
          <w:i w:val="false"/>
          <w:color w:val="000000"/>
          <w:sz w:val="20"/>
          <w:u w:val="none"/>
        </w:rPr>
        <w:t>En chiffres : ........................................................ ? TTC</w:t>
      </w:r>
    </w:p>
    <w:p>
      <w:pPr>
        <w:pStyle w:val="Normal"/>
        <w:spacing w:before="120" w:after="0"/>
        <w:rPr/>
      </w:pPr>
      <w:r>
        <w:rPr>
          <w:rFonts w:eastAsia="arial" w:cs="arial" w:ascii="arial" w:hAnsi="arial"/>
          <w:b w:val="false"/>
          <w:i w:val="false"/>
          <w:color w:val="000000"/>
          <w:sz w:val="20"/>
          <w:u w:val="none"/>
        </w:rPr>
        <w:t>En lettres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Déduction faite de l'ensemble des prestations sous-traitées, le montant maximal de la créance que je pourrai présenter en nantissement en tant qu'entrepreneur titulaire du marché est ainsi ramené à :</w:t>
      </w:r>
    </w:p>
    <w:p>
      <w:pPr>
        <w:pStyle w:val="Normal"/>
        <w:spacing w:before="120" w:after="0"/>
        <w:rPr/>
      </w:pPr>
      <w:r>
        <w:rPr>
          <w:rFonts w:eastAsia="arial" w:cs="arial" w:ascii="arial" w:hAnsi="arial"/>
          <w:b w:val="false"/>
          <w:i w:val="false"/>
          <w:color w:val="000000"/>
          <w:sz w:val="20"/>
          <w:u w:val="none"/>
        </w:rPr>
        <w:t>Montant total du marché ? HT : ............................................................</w:t>
      </w:r>
    </w:p>
    <w:p>
      <w:pPr>
        <w:pStyle w:val="Normal"/>
        <w:spacing w:before="120" w:after="0"/>
        <w:rPr/>
      </w:pPr>
      <w:r>
        <w:rPr>
          <w:rFonts w:eastAsia="arial" w:cs="arial" w:ascii="arial" w:hAnsi="arial"/>
          <w:b w:val="false"/>
          <w:i w:val="false"/>
          <w:color w:val="000000"/>
          <w:sz w:val="20"/>
          <w:u w:val="none"/>
        </w:rPr>
        <w:t>Montant total du marché ? TTC : ............................................................</w:t>
      </w:r>
    </w:p>
    <w:p>
      <w:pPr>
        <w:pStyle w:val="Normal"/>
        <w:spacing w:before="120" w:after="0"/>
        <w:rPr/>
      </w:pPr>
      <w:r>
        <w:rPr>
          <w:rFonts w:eastAsia="arial" w:cs="arial" w:ascii="arial" w:hAnsi="arial"/>
          <w:b w:val="false"/>
          <w:i w:val="false"/>
          <w:color w:val="000000"/>
          <w:sz w:val="20"/>
          <w:u w:val="none"/>
        </w:rPr>
        <w:t>Montant acte(s) de sous-traitance ? HT :  ...........</w:t>
      </w:r>
    </w:p>
    <w:p>
      <w:pPr>
        <w:pStyle w:val="Normal"/>
        <w:spacing w:before="120" w:after="0"/>
        <w:rPr/>
      </w:pPr>
      <w:r>
        <w:rPr>
          <w:rFonts w:eastAsia="arial" w:cs="arial" w:ascii="arial" w:hAnsi="arial"/>
          <w:b w:val="false"/>
          <w:i w:val="false"/>
          <w:color w:val="000000"/>
          <w:sz w:val="20"/>
          <w:u w:val="none"/>
        </w:rPr>
        <w:t>Montant acte(s) de sous-traitance ? TTC : ..........</w:t>
      </w:r>
    </w:p>
    <w:p>
      <w:pPr>
        <w:pStyle w:val="Normal"/>
        <w:spacing w:before="120" w:after="0"/>
        <w:rPr/>
      </w:pPr>
      <w:r>
        <w:rPr>
          <w:rFonts w:eastAsia="arial" w:cs="arial" w:ascii="arial" w:hAnsi="arial"/>
          <w:b w:val="false"/>
          <w:i w:val="false"/>
          <w:color w:val="000000"/>
          <w:sz w:val="20"/>
          <w:u w:val="none"/>
        </w:rPr>
        <w:t xml:space="preserve">Montant maximal de la créance pouvant être présenté en nantissement ? HT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 xml:space="preserve">Montant maximal de la créance pouvant être présenté en nantissement ? TTC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déclarations à remplir par le(les) sous-traitant(s) énumérées ci-dessus sont annexées au présent acte d'engagement.</w:t>
      </w:r>
    </w:p>
    <w:p>
      <w:pPr>
        <w:pStyle w:val="Titre1"/>
        <w:numPr>
          <w:ilvl w:val="0"/>
          <w:numId w:val="2"/>
        </w:numPr>
        <w:rPr/>
      </w:pPr>
      <w:bookmarkStart w:id="14" w:name="_Toc3978"/>
      <w:r>
        <w:rPr/>
        <w:t>AVANCE</w:t>
      </w:r>
      <w:bookmarkEnd w:id="14"/>
    </w:p>
    <w:p>
      <w:pPr>
        <w:pStyle w:val="Normal"/>
        <w:rPr>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120" w:after="0"/>
        <w:rPr>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highlight w:val="none"/>
          <w:shd w:fill="auto" w:val="clear"/>
        </w:rPr>
      </w:pPr>
      <w:r>
        <w:rPr>
          <w:rFonts w:eastAsia="arial" w:cs="arial" w:ascii="arial" w:hAnsi="arial"/>
          <w:b w:val="false"/>
          <w:i w:val="false"/>
          <w:color w:val="000000"/>
          <w:sz w:val="20"/>
          <w:u w:val="none"/>
          <w:shd w:fill="auto" w:val="clear"/>
        </w:rPr>
        <w:t>La durée du présent accord-cadre se définit comme suit :</w:t>
      </w:r>
    </w:p>
    <w:p>
      <w:pPr>
        <w:pStyle w:val="Normal"/>
        <w:rPr>
          <w:highlight w:val="none"/>
          <w:shd w:fill="auto" w:val="clear"/>
        </w:rPr>
      </w:pPr>
      <w:r>
        <w:rPr>
          <w:rFonts w:eastAsia="arial" w:cs="arial" w:ascii="arial" w:hAnsi="arial"/>
          <w:b/>
          <w:i w:val="false"/>
          <w:color w:val="000000"/>
          <w:sz w:val="20"/>
          <w:u w:val="none"/>
          <w:shd w:fill="auto" w:val="clear"/>
        </w:rPr>
        <w:t xml:space="preserve">4 ans ferme  à compter de sa notification.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Cette durée est une durée ferme et ne pourra faire l'objet de reconductions.</w:t>
      </w:r>
    </w:p>
    <w:p>
      <w:pPr>
        <w:pStyle w:val="Normal"/>
        <w:rPr>
          <w:highlight w:val="none"/>
          <w:shd w:fill="auto" w:val="clear"/>
        </w:rPr>
      </w:pPr>
      <w:r>
        <w:rPr>
          <w:rFonts w:eastAsia="arial" w:cs="arial" w:ascii="arial" w:hAnsi="arial"/>
          <w:b w:val="false"/>
          <w:i w:val="false"/>
          <w:color w:val="000000"/>
          <w:sz w:val="20"/>
          <w:u w:val="none"/>
          <w:shd w:fill="auto" w:val="clear"/>
        </w:rPr>
        <w:t>Délai proposé par le candidat pour les contestations de paiement :</w:t>
      </w:r>
    </w:p>
    <w:p>
      <w:pPr>
        <w:pStyle w:val="Normal"/>
        <w:spacing w:before="120" w:after="0"/>
        <w:rPr>
          <w:highlight w:val="none"/>
          <w:shd w:fill="auto" w:val="clear"/>
        </w:rPr>
      </w:pPr>
      <w:r>
        <w:rPr>
          <w:rFonts w:eastAsia="arial" w:cs="arial" w:ascii="arial" w:hAnsi="arial"/>
          <w:b/>
          <w:bCs/>
          <w:i w:val="false"/>
          <w:color w:val="000000"/>
          <w:sz w:val="20"/>
          <w:u w:val="none"/>
          <w:shd w:fill="auto" w:val="clear"/>
        </w:rPr>
        <w:t>Délai de contestation de paiements (cf article I- 9.3.4 partie I du CCTP)</w:t>
      </w:r>
    </w:p>
    <w:p>
      <w:pPr>
        <w:pStyle w:val="ListParagraph"/>
        <w:numPr>
          <w:ilvl w:val="0"/>
          <w:numId w:val="3"/>
        </w:numPr>
        <w:spacing w:before="120" w:after="0"/>
        <w:contextualSpacing/>
        <w:rPr>
          <w:highlight w:val="none"/>
          <w:shd w:fill="auto" w:val="clear"/>
        </w:rPr>
      </w:pPr>
      <w:r>
        <w:rPr>
          <w:rFonts w:eastAsia="arial" w:cs="arial" w:ascii="arial" w:hAnsi="arial"/>
          <w:b w:val="false"/>
          <w:i w:val="false"/>
          <w:color w:val="000000"/>
          <w:sz w:val="20"/>
          <w:u w:val="none"/>
          <w:shd w:fill="auto" w:val="clear"/>
        </w:rPr>
        <w:t xml:space="preserve">la collectivité peut contester toute opération portée au relevé d’opérations bancaires au motif de l'absence et/ou de la non-conformité de la livraison de la commande de biens ou du service, la prestation attendue n'étant pas remplie en tout ou partie. </w:t>
      </w:r>
    </w:p>
    <w:p>
      <w:pPr>
        <w:pStyle w:val="Normal"/>
        <w:spacing w:before="120" w:after="0"/>
        <w:ind w:left="0" w:firstLine="706"/>
        <w:rPr>
          <w:highlight w:val="none"/>
          <w:shd w:fill="auto" w:val="clear"/>
        </w:rPr>
      </w:pPr>
      <w:r>
        <w:rPr>
          <w:rFonts w:eastAsia="arial" w:cs="arial" w:ascii="arial" w:hAnsi="arial"/>
          <w:b w:val="false"/>
          <w:i w:val="false"/>
          <w:color w:val="000000"/>
          <w:sz w:val="20"/>
          <w:u w:val="none"/>
          <w:shd w:fill="auto" w:val="clear"/>
        </w:rPr>
        <w:t>Le délai de contestation afférent à cette absence de service est de</w:t>
      </w:r>
      <w:r>
        <w:rPr>
          <w:rFonts w:eastAsia="arial" w:cs="arial" w:ascii="arial" w:hAnsi="arial"/>
          <w:b/>
          <w:bCs/>
          <w:i w:val="false"/>
          <w:color w:val="000000"/>
          <w:sz w:val="20"/>
          <w:u w:val="none"/>
          <w:shd w:fill="C0C0C0" w:val="clear"/>
        </w:rPr>
        <w:t xml:space="preserve">……………. </w:t>
      </w:r>
      <w:r>
        <w:rPr>
          <w:rFonts w:eastAsia="arial" w:cs="arial" w:ascii="arial" w:hAnsi="arial"/>
          <w:b w:val="false"/>
          <w:i w:val="false"/>
          <w:color w:val="000000"/>
          <w:sz w:val="20"/>
          <w:u w:val="none"/>
          <w:shd w:fill="auto" w:val="clear"/>
        </w:rPr>
        <w:t xml:space="preserve">jours </w:t>
        <w:tab/>
        <w:t>calendaires.</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ListParagraph"/>
        <w:numPr>
          <w:ilvl w:val="0"/>
          <w:numId w:val="4"/>
        </w:numPr>
        <w:spacing w:before="120" w:after="0"/>
        <w:contextualSpacing/>
        <w:rPr>
          <w:highlight w:val="none"/>
          <w:shd w:fill="auto" w:val="clear"/>
        </w:rPr>
      </w:pPr>
      <w:r>
        <w:rPr>
          <w:rFonts w:eastAsia="arial" w:cs="arial" w:ascii="arial" w:hAnsi="arial"/>
          <w:b w:val="false"/>
          <w:i w:val="false"/>
          <w:color w:val="000000"/>
          <w:sz w:val="20"/>
          <w:u w:val="none"/>
          <w:shd w:fill="auto" w:val="clear"/>
        </w:rPr>
        <w:t>la collectivité peut contester toute opération portée au relevé d’opérations bancaires au motif d'une facturation non conforme à la convention de prix du marché exécuté par carte d'achat, de l'absence ou de la non-conformité légale ou réglementaire de la facture résultant d'une créance née d'un marché exécuté par carte d'achat, et/ou de l'absence de commande.</w:t>
      </w:r>
    </w:p>
    <w:p>
      <w:pPr>
        <w:pStyle w:val="Normal"/>
        <w:spacing w:before="120" w:after="0"/>
        <w:ind w:left="0" w:firstLine="706"/>
        <w:rPr>
          <w:highlight w:val="none"/>
          <w:shd w:fill="auto" w:val="clear"/>
        </w:rPr>
      </w:pPr>
      <w:r>
        <w:rPr>
          <w:rFonts w:eastAsia="arial" w:cs="arial" w:ascii="arial" w:hAnsi="arial"/>
          <w:b w:val="false"/>
          <w:i w:val="false"/>
          <w:color w:val="000000"/>
          <w:sz w:val="20"/>
          <w:u w:val="none"/>
          <w:shd w:fill="auto" w:val="clear"/>
        </w:rPr>
        <w:t>Le délai de contestation afférent à ces erreurs de liquidation, absence de facture</w:t>
      </w:r>
      <w:r>
        <w:rPr>
          <w:rFonts w:eastAsia="Times New Roman" w:cs="Times New Roman" w:ascii="Times New Roman" w:hAnsi="Times New Roman"/>
          <w:color w:val="000000"/>
          <w:sz w:val="24"/>
          <w:shd w:fill="auto" w:val="clear"/>
        </w:rPr>
        <w:t xml:space="preserve">   </w:t>
        <w:tab/>
      </w:r>
      <w:r>
        <w:rPr>
          <w:rFonts w:eastAsia="arial" w:cs="arial" w:ascii="arial" w:hAnsi="arial"/>
          <w:b w:val="false"/>
          <w:i w:val="false"/>
          <w:color w:val="000000"/>
          <w:sz w:val="20"/>
          <w:u w:val="none"/>
          <w:shd w:fill="auto" w:val="clear"/>
        </w:rPr>
        <w:t>conforme où paiement non causé est de</w:t>
      </w:r>
      <w:r>
        <w:rPr>
          <w:rFonts w:eastAsia="arial" w:cs="arial" w:ascii="arial" w:hAnsi="arial"/>
          <w:b/>
          <w:bCs/>
          <w:i w:val="false"/>
          <w:color w:val="000000"/>
          <w:sz w:val="20"/>
          <w:u w:val="none"/>
          <w:shd w:fill="C0C0C0" w:val="clear"/>
        </w:rPr>
        <w:t>…………….</w:t>
      </w:r>
      <w:r>
        <w:rPr>
          <w:rFonts w:eastAsia="arial" w:cs="arial" w:ascii="arial" w:hAnsi="arial"/>
          <w:b w:val="false"/>
          <w:i w:val="false"/>
          <w:color w:val="000000"/>
          <w:sz w:val="20"/>
          <w:u w:val="none"/>
          <w:shd w:fill="auto" w:val="clear"/>
        </w:rPr>
        <w:t xml:space="preserve"> jours calendaires.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Toute information complémentaire relative à la durée et/ou aux délais figure au CCAP / CCP.</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auto" w:val="clear"/>
        </w:rPr>
      </w:pPr>
      <w:bookmarkStart w:id="17" w:name="_Toc3981"/>
      <w:r>
        <w:rPr>
          <w:shd w:fill="auto" w:val="clear"/>
        </w:rPr>
        <w:t>DELAI DE VALIDITE DES OFFRES</w:t>
      </w:r>
      <w:bookmarkEnd w:id="17"/>
    </w:p>
    <w:p>
      <w:pPr>
        <w:pStyle w:val="Normal"/>
        <w:rPr>
          <w:highlight w:val="none"/>
          <w:shd w:fill="auto" w:val="clear"/>
        </w:rPr>
      </w:pPr>
      <w:r>
        <w:rPr>
          <w:rFonts w:eastAsia="arial" w:cs="arial" w:ascii="arial" w:hAnsi="arial"/>
          <w:b w:val="false"/>
          <w:i w:val="false"/>
          <w:color w:val="000000"/>
          <w:sz w:val="20"/>
          <w:u w:val="none"/>
          <w:shd w:fill="auto" w:val="clear"/>
        </w:rPr>
        <w:t xml:space="preserve">Le candidat est tenu de maintenir son offre, à compter de la date limite de remise des offres, pendant un délai de : </w:t>
      </w:r>
      <w:r>
        <w:rPr>
          <w:rFonts w:eastAsia="arial" w:cs="arial" w:ascii="arial" w:hAnsi="arial"/>
          <w:b/>
          <w:i w:val="false"/>
          <w:color w:val="000000"/>
          <w:sz w:val="20"/>
          <w:u w:val="none"/>
          <w:shd w:fill="auto" w:val="clear"/>
        </w:rPr>
        <w:t xml:space="preserve">3 </w:t>
      </w:r>
      <w:r>
        <w:rPr>
          <w:rFonts w:eastAsia="arial" w:cs="arial" w:ascii="arial" w:hAnsi="arial"/>
          <w:b w:val="false"/>
          <w:i w:val="false"/>
          <w:color w:val="000000"/>
          <w:sz w:val="20"/>
          <w:u w:val="none"/>
          <w:shd w:fill="auto" w:val="clear"/>
        </w:rPr>
        <w:t>mois.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highlight w:val="none"/>
          <w:shd w:fill="auto" w:val="clear"/>
        </w:rPr>
      </w:pPr>
      <w:bookmarkStart w:id="18" w:name="_Toc3982"/>
      <w:r>
        <w:rPr>
          <w:shd w:fill="auto" w:val="clear"/>
        </w:rPr>
        <w:t>ENGAGEMENT ET SIGNATURE DU CANDIDAT</w:t>
      </w:r>
      <w:bookmarkEnd w:id="18"/>
    </w:p>
    <w:p>
      <w:pPr>
        <w:pStyle w:val="Normal"/>
        <w:rPr>
          <w:highlight w:val="none"/>
          <w:shd w:fill="auto" w:val="clear"/>
        </w:rPr>
      </w:pPr>
      <w:r>
        <w:rPr>
          <w:rFonts w:eastAsia="arial" w:cs="arial" w:ascii="arial" w:hAnsi="arial"/>
          <w:b/>
          <w:i w:val="false"/>
          <w:color w:val="000000"/>
          <w:sz w:val="20"/>
          <w:u w:val="single"/>
          <w:shd w:fill="auto" w:val="clear"/>
        </w:rPr>
        <w:t>Clause de protection des données (RGPD)</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Général sur la protection des données - RGPD»).</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L'ensemble des conditions sont définies dans l'annexe </w:t>
      </w:r>
      <w:r>
        <w:rPr>
          <w:rFonts w:eastAsia="arial" w:cs="arial" w:ascii="arial" w:hAnsi="arial"/>
          <w:b w:val="false"/>
          <w:i w:val="false"/>
          <w:color w:val="000000"/>
          <w:sz w:val="20"/>
          <w:u w:val="none"/>
          <w:shd w:fill="auto" w:val="clear"/>
        </w:rPr>
        <w:t>1</w:t>
      </w:r>
      <w:r>
        <w:rPr>
          <w:rFonts w:eastAsia="arial" w:cs="arial" w:ascii="arial" w:hAnsi="arial"/>
          <w:b w:val="false"/>
          <w:i w:val="false"/>
          <w:color w:val="000000"/>
          <w:sz w:val="20"/>
          <w:u w:val="none"/>
          <w:shd w:fill="auto" w:val="clear"/>
        </w:rPr>
        <w:t xml:space="preserve"> « Protection des données et Politique de sécurité » au présent Acte d'engagement.</w:t>
      </w:r>
    </w:p>
    <w:p>
      <w:pPr>
        <w:pStyle w:val="Normal"/>
        <w:rPr>
          <w:rFonts w:ascii="arial" w:hAnsi="arial" w:eastAsia="arial" w:cs="arial"/>
          <w:b w:val="false"/>
          <w:b w:val="false"/>
          <w:i w:val="false"/>
          <w:i w:val="false"/>
          <w:color w:val="000000"/>
          <w:sz w:val="20"/>
          <w:highlight w:val="none"/>
          <w:u w:val="none"/>
          <w:shd w:fill="D4EDDA" w:val="clear"/>
        </w:rPr>
      </w:pPr>
      <w:r>
        <w:rPr/>
      </w:r>
    </w:p>
    <w:p>
      <w:pPr>
        <w:pStyle w:val="Normal"/>
        <w:rPr>
          <w:highlight w:val="none"/>
          <w:shd w:fill="auto" w:val="clear"/>
        </w:rPr>
      </w:pPr>
      <w:r>
        <w:rPr>
          <w:rFonts w:eastAsia="arial" w:cs="arial" w:ascii="arial" w:hAnsi="arial"/>
          <w:b w:val="false"/>
          <w:i w:val="false"/>
          <w:color w:val="000000"/>
          <w:sz w:val="20"/>
          <w:u w:val="none"/>
          <w:shd w:fill="auto" w:val="clear"/>
        </w:rPr>
        <w:t>Les annexes au présent document sont les suivantes :</w:t>
      </w:r>
    </w:p>
    <w:p>
      <w:pPr>
        <w:pStyle w:val="Normal"/>
        <w:rPr>
          <w:strike/>
          <w:highlight w:val="none"/>
          <w:shd w:fill="FFFF00" w:val="clear"/>
        </w:rPr>
      </w:pPr>
      <w:r>
        <w:rPr>
          <w:strike/>
          <w:shd w:fill="FFFF00" w:val="clear"/>
        </w:rPr>
      </w:r>
    </w:p>
    <w:p>
      <w:pPr>
        <w:pStyle w:val="Normal"/>
        <w:rPr>
          <w:highlight w:val="none"/>
          <w:shd w:fill="auto" w:val="clear"/>
        </w:rPr>
      </w:pPr>
      <w:r>
        <w:rPr>
          <w:rFonts w:eastAsia="arial" w:cs="arial" w:ascii="arial" w:hAnsi="arial"/>
          <w:b w:val="false"/>
          <w:i w:val="false"/>
          <w:color w:val="000000"/>
          <w:sz w:val="20"/>
          <w:szCs w:val="40"/>
          <w:u w:val="none"/>
          <w:shd w:fill="auto" w:val="clear"/>
          <w:lang w:val="fr-FR" w:bidi="hi-IN"/>
        </w:rPr>
        <w:t>- l'annexe 1 à l’AE « Protection des données et Politique de sécurité »</w:t>
      </w:r>
    </w:p>
    <w:p>
      <w:pPr>
        <w:pStyle w:val="Normal"/>
        <w:rPr>
          <w:highlight w:val="none"/>
          <w:shd w:fill="auto" w:val="clear"/>
        </w:rPr>
      </w:pPr>
      <w:r>
        <w:rPr>
          <w:rFonts w:eastAsia="arial" w:cs="arial" w:ascii="arial" w:hAnsi="arial"/>
          <w:b w:val="false"/>
          <w:i w:val="false"/>
          <w:color w:val="000000"/>
          <w:sz w:val="20"/>
          <w:u w:val="none"/>
          <w:shd w:fill="auto" w:val="clear"/>
        </w:rPr>
        <w:t xml:space="preserve">- l’annexe 2 à l’AE : le Bordereau des Prix Forfaitaires (BPF) (poste 1) </w:t>
      </w:r>
    </w:p>
    <w:p>
      <w:pPr>
        <w:pStyle w:val="Normal"/>
        <w:rPr>
          <w:highlight w:val="none"/>
          <w:shd w:fill="auto" w:val="clear"/>
        </w:rPr>
      </w:pPr>
      <w:r>
        <w:rPr>
          <w:rFonts w:eastAsia="arial" w:cs="arial" w:ascii="arial" w:hAnsi="arial"/>
          <w:b w:val="false"/>
          <w:i w:val="false"/>
          <w:color w:val="000000"/>
          <w:sz w:val="20"/>
          <w:u w:val="none"/>
          <w:shd w:fill="auto" w:val="clear"/>
        </w:rPr>
        <w:t>- l’annexe 3 à l’AE : le Bordereau de Prix  (poste 2)</w:t>
      </w:r>
    </w:p>
    <w:p>
      <w:pPr>
        <w:pStyle w:val="Normal"/>
        <w:rPr>
          <w:highlight w:val="none"/>
          <w:shd w:fill="auto" w:val="clear"/>
        </w:rPr>
      </w:pPr>
      <w:r>
        <w:rPr>
          <w:rFonts w:eastAsia="arial" w:cs="arial" w:ascii="arial" w:hAnsi="arial"/>
          <w:b w:val="false"/>
          <w:i w:val="false"/>
          <w:color w:val="000000"/>
          <w:sz w:val="20"/>
          <w:szCs w:val="40"/>
          <w:u w:val="none"/>
          <w:shd w:fill="auto" w:val="clear"/>
          <w:lang w:val="fr-FR" w:bidi="hi-IN"/>
        </w:rPr>
        <w:t xml:space="preserve"> </w:t>
      </w:r>
    </w:p>
    <w:p>
      <w:pPr>
        <w:pStyle w:val="Normal"/>
        <w:rPr>
          <w:highlight w:val="none"/>
          <w:shd w:fill="FFFF00" w:val="clear"/>
        </w:rPr>
      </w:pPr>
      <w:r>
        <w:rPr>
          <w:shd w:fill="FFFF00" w:val="clear"/>
        </w:rPr>
      </w:r>
    </w:p>
    <w:p>
      <w:pPr>
        <w:pStyle w:val="Normal"/>
        <w:rPr>
          <w:rFonts w:ascii="arial" w:hAnsi="arial" w:eastAsia="arial" w:cs="arial"/>
          <w:b w:val="false"/>
          <w:b w:val="false"/>
          <w:i w:val="false"/>
          <w:i w:val="false"/>
          <w:color w:val="000000"/>
          <w:sz w:val="20"/>
          <w:highlight w:val="none"/>
          <w:u w:val="none"/>
          <w:shd w:fill="FFFF00" w:val="clear"/>
        </w:rPr>
      </w:pPr>
      <w:r>
        <w:rPr>
          <w:rFonts w:eastAsia="arial" w:cs="arial" w:ascii="arial" w:hAnsi="arial"/>
          <w:b w:val="false"/>
          <w:i w:val="false"/>
          <w:color w:val="000000"/>
          <w:sz w:val="20"/>
          <w:u w:val="none"/>
          <w:shd w:fill="FFFF00" w:val="clear"/>
        </w:rPr>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présente offre est acceptée.</w:t>
      </w:r>
    </w:p>
    <w:p>
      <w:pPr>
        <w:pStyle w:val="Normal"/>
        <w:rPr>
          <w:highlight w:val="none"/>
          <w:shd w:fill="auto" w:val="clear"/>
        </w:rPr>
      </w:pPr>
      <w:r>
        <w:rPr>
          <w:shd w:fill="auto" w:val="clear"/>
        </w:rPr>
      </w:r>
    </w:p>
    <w:p>
      <w:pPr>
        <w:pStyle w:val="Normal"/>
        <w:rPr>
          <w:b/>
          <w:b/>
          <w:bCs/>
        </w:rPr>
      </w:pPr>
      <w:r>
        <w:rPr>
          <w:rFonts w:eastAsia="arial" w:cs="arial" w:ascii="arial" w:hAnsi="arial"/>
          <w:b/>
          <w:bCs/>
          <w:i w:val="false"/>
          <w:color w:val="000000"/>
          <w:sz w:val="20"/>
          <w:u w:val="none"/>
          <w:shd w:fill="auto" w:val="clear"/>
        </w:rPr>
        <w:t xml:space="preserve">L’option / PSE est levée :   oui / non </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Signature</w:t>
      </w:r>
    </w:p>
    <w:p>
      <w:pPr>
        <w:pStyle w:val="Normal"/>
        <w:spacing w:before="120" w:after="0"/>
        <w:rPr>
          <w:highlight w:val="none"/>
          <w:shd w:fill="auto" w:val="clear"/>
        </w:rPr>
      </w:pPr>
      <w:r>
        <w:rPr>
          <w:rFonts w:eastAsia="arial" w:cs="arial" w:ascii="arial" w:hAnsi="arial"/>
          <w:b w:val="false"/>
          <w:i/>
          <w:color w:val="000000"/>
          <w:sz w:val="20"/>
          <w:u w:val="none"/>
          <w:shd w:fill="auto" w:val="clear"/>
        </w:rPr>
        <w:t>(Représentant du pouvoir adjudicateur habilité à signer)</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Pour Le Maire et par délégation</w:t>
      </w:r>
    </w:p>
    <w:p>
      <w:pPr>
        <w:pStyle w:val="Normal"/>
        <w:spacing w:before="120" w:after="0"/>
        <w:rPr>
          <w:highlight w:val="none"/>
          <w:shd w:fill="auto" w:val="clear"/>
        </w:rPr>
      </w:pPr>
      <w:r>
        <w:rPr>
          <w:rFonts w:eastAsia="arial" w:cs="arial" w:ascii="arial" w:hAnsi="arial"/>
          <w:b/>
          <w:i w:val="false"/>
          <w:color w:val="000000"/>
          <w:sz w:val="20"/>
          <w:u w:val="none"/>
          <w:shd w:fill="auto" w:val="clear"/>
        </w:rPr>
        <w:t>MONSIEUR LE DIRECTEUR GÉNÉRAL DES SERVICES</w:t>
      </w:r>
    </w:p>
    <w:p>
      <w:pPr>
        <w:pStyle w:val="Normal"/>
        <w:spacing w:before="120" w:after="0"/>
        <w:rPr>
          <w:highlight w:val="none"/>
          <w:shd w:fill="auto" w:val="clear"/>
        </w:rPr>
      </w:pPr>
      <w:r>
        <w:rPr>
          <w:rFonts w:eastAsia="arial" w:cs="arial" w:ascii="arial" w:hAnsi="arial"/>
          <w:b/>
          <w:i w:val="false"/>
          <w:color w:val="000000"/>
          <w:sz w:val="20"/>
          <w:u w:val="none"/>
          <w:shd w:fill="auto" w:val="clear"/>
        </w:rPr>
        <w:t>Didier OSTRE</w:t>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DIRECTION DES MARCHES ET PROCEDURES D ACHATS PUBLICS</w:t>
      </w:r>
    </w:p>
    <w:p>
      <w:pPr>
        <w:pStyle w:val="Normal"/>
        <w:rPr>
          <w:highlight w:val="none"/>
          <w:shd w:fill="auto" w:val="clear"/>
        </w:rPr>
      </w:pPr>
      <w:r>
        <w:rPr>
          <w:rFonts w:eastAsia="arial" w:cs="arial" w:ascii="arial" w:hAnsi="arial"/>
          <w:b w:val="false"/>
          <w:i w:val="false"/>
          <w:color w:val="000000"/>
          <w:sz w:val="20"/>
          <w:u w:val="none"/>
          <w:shd w:fill="auto" w:val="clear"/>
        </w:rPr>
        <w:t>A l'attention de : Monsieur le Directeur de l’Achat et de la Commande Publique - Cédric HERITIER</w:t>
      </w:r>
    </w:p>
    <w:p>
      <w:pPr>
        <w:pStyle w:val="Normal"/>
        <w:rPr>
          <w:highlight w:val="none"/>
          <w:shd w:fill="auto" w:val="clear"/>
        </w:rPr>
      </w:pPr>
      <w:r>
        <w:rPr>
          <w:rFonts w:eastAsia="arial" w:cs="arial" w:ascii="arial" w:hAnsi="arial"/>
          <w:b w:val="false"/>
          <w:i w:val="false"/>
          <w:color w:val="000000"/>
          <w:sz w:val="20"/>
          <w:u w:val="none"/>
          <w:shd w:fill="auto" w:val="clear"/>
        </w:rPr>
        <w:t xml:space="preserve">Adresse : 39b Rue Sainte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Code postal : 13001 Ville :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Tél :04 91 55 19 30</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Courriel : cheritier@marseille.fr</w:t>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Arial Gras">
    <w:charset w:val="00"/>
    <w:family w:val="roman"/>
    <w:pitch w:val="variable"/>
  </w:font>
  <w:font w:name="Calibri Light">
    <w:charset w:val="00"/>
    <w:family w:val="roman"/>
    <w:pitch w:val="variable"/>
  </w:font>
  <w:font w:name="Calibri">
    <w:charset w:val="00"/>
    <w:family w:val="roman"/>
    <w:pitch w:val="variable"/>
  </w:font>
  <w:font w:name="Garamond">
    <w:charset w:val="00"/>
    <w:family w:val="roman"/>
    <w:pitch w:val="variable"/>
  </w:font>
  <w:font w:name="Trebuchet MS">
    <w:charset w:val="00"/>
    <w:family w:val="roman"/>
    <w:pitch w:val="variable"/>
  </w:font>
  <w:font w:name="arial">
    <w:charset w:val="00"/>
    <w:family w:val="roman"/>
    <w:pitch w:val="variable"/>
  </w:font>
  <w:font w:name="Verdana">
    <w:altName w:val="Geneva"/>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color w:val="4472C4"/>
      </w:rPr>
    </w:pPr>
    <w:r>
      <w:rPr>
        <w:color w:val="4472C4" w:themeColor="accent1"/>
      </w:rPr>
      <w:t>AE_Emission de cartes d'achat</w:t>
    </w:r>
    <w:r>
      <w:rPr/>
      <w:tab/>
      <w:tab/>
    </w:r>
    <w:r>
      <w:rPr/>
      <w:fldChar w:fldCharType="begin"/>
    </w:r>
    <w:r>
      <w:rPr/>
      <w:instrText> PAGE </w:instrText>
    </w:r>
    <w:r>
      <w:rPr/>
      <w:fldChar w:fldCharType="separate"/>
    </w:r>
    <w:r>
      <w:rPr/>
      <w:t>14</w:t>
    </w:r>
    <w:r>
      <w:rPr/>
      <w:fldChar w:fldCharType="end"/>
    </w:r>
    <w:r>
      <w:rPr/>
      <w:t>/</w:t>
    </w:r>
    <w:r>
      <w:rPr/>
      <w:fldChar w:fldCharType="begin"/>
    </w:r>
    <w:r>
      <w:rPr/>
      <w:instrText> NUMPAGES </w:instrText>
    </w:r>
    <w:r>
      <w:rPr/>
      <w:fldChar w:fldCharType="separate"/>
    </w:r>
    <w:r>
      <w:rPr/>
      <w:t>14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val="false"/>
        <w:iCs w:val="false"/>
        <w:strike w:val="false"/>
        <w:dstrike w:val="false"/>
        <w:color w:val="auto"/>
        <w:sz w:val="18"/>
        <w:szCs w:val="24"/>
        <w:highlight w:val="white"/>
        <w:lang w:val="fr-FR"/>
      </w:rPr>
      <w:t>2</w:t>
    </w:r>
    <w:r>
      <w:rPr>
        <w:rFonts w:cs="Arial"/>
        <w:i w:val="false"/>
        <w:iCs w:val="false"/>
        <w:strike w:val="false"/>
        <w:dstrike w:val="false"/>
        <w:color w:val="auto"/>
        <w:szCs w:val="24"/>
      </w:rPr>
      <w:t>3_0554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4">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68"/>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69"/>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70"/>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71"/>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72"/>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73"/>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74"/>
    <w:qFormat/>
    <w:pPr>
      <w:numPr>
        <w:ilvl w:val="6"/>
        <w:numId w:val="1"/>
      </w:numPr>
      <w:spacing w:before="283" w:after="57"/>
      <w:jc w:val="both"/>
      <w:outlineLvl w:val="6"/>
    </w:pPr>
    <w:rPr>
      <w:bCs/>
      <w:sz w:val="22"/>
    </w:rPr>
  </w:style>
  <w:style w:type="paragraph" w:styleId="Titre8">
    <w:name w:val="Heading 8"/>
    <w:basedOn w:val="Titre"/>
    <w:link w:val="875"/>
    <w:qFormat/>
    <w:pPr>
      <w:numPr>
        <w:ilvl w:val="7"/>
        <w:numId w:val="1"/>
      </w:numPr>
      <w:spacing w:before="283" w:after="57"/>
      <w:jc w:val="both"/>
      <w:outlineLvl w:val="7"/>
    </w:pPr>
    <w:rPr>
      <w:bCs/>
      <w:sz w:val="21"/>
    </w:rPr>
  </w:style>
  <w:style w:type="paragraph" w:styleId="Titre9">
    <w:name w:val="Heading 9"/>
    <w:basedOn w:val="Titre"/>
    <w:link w:val="876"/>
    <w:qFormat/>
    <w:pPr>
      <w:numPr>
        <w:ilvl w:val="8"/>
        <w:numId w:val="1"/>
      </w:numPr>
      <w:spacing w:before="283" w:after="57"/>
      <w:jc w:val="both"/>
      <w:outlineLvl w:val="8"/>
    </w:pPr>
    <w:rPr>
      <w:bCs/>
      <w:sz w:val="21"/>
    </w:rPr>
  </w:style>
  <w:style w:type="character" w:styleId="Heading1Char">
    <w:name w:val="Heading 1 Char"/>
    <w:basedOn w:val="DefaultParagraphFont"/>
    <w:link w:val="858"/>
    <w:uiPriority w:val="9"/>
    <w:qFormat/>
    <w:rPr>
      <w:rFonts w:ascii="Arial" w:hAnsi="Arial" w:eastAsia="Arial" w:cs="Arial"/>
      <w:sz w:val="40"/>
      <w:szCs w:val="40"/>
    </w:rPr>
  </w:style>
  <w:style w:type="character" w:styleId="Heading2Char">
    <w:name w:val="Heading 2 Char"/>
    <w:basedOn w:val="DefaultParagraphFont"/>
    <w:link w:val="859"/>
    <w:uiPriority w:val="9"/>
    <w:qFormat/>
    <w:rPr>
      <w:rFonts w:ascii="Arial" w:hAnsi="Arial" w:eastAsia="Arial" w:cs="Arial"/>
      <w:sz w:val="34"/>
    </w:rPr>
  </w:style>
  <w:style w:type="character" w:styleId="Heading3Char">
    <w:name w:val="Heading 3 Char"/>
    <w:basedOn w:val="DefaultParagraphFont"/>
    <w:link w:val="860"/>
    <w:uiPriority w:val="9"/>
    <w:qFormat/>
    <w:rPr>
      <w:rFonts w:ascii="Arial" w:hAnsi="Arial" w:eastAsia="Arial" w:cs="Arial"/>
      <w:sz w:val="30"/>
      <w:szCs w:val="30"/>
    </w:rPr>
  </w:style>
  <w:style w:type="character" w:styleId="Heading4Char">
    <w:name w:val="Heading 4 Char"/>
    <w:basedOn w:val="DefaultParagraphFont"/>
    <w:link w:val="861"/>
    <w:uiPriority w:val="9"/>
    <w:qFormat/>
    <w:rPr>
      <w:rFonts w:ascii="Arial" w:hAnsi="Arial" w:eastAsia="Arial" w:cs="Arial"/>
      <w:b/>
      <w:bCs/>
      <w:sz w:val="26"/>
      <w:szCs w:val="26"/>
    </w:rPr>
  </w:style>
  <w:style w:type="character" w:styleId="Heading5Char">
    <w:name w:val="Heading 5 Char"/>
    <w:basedOn w:val="DefaultParagraphFont"/>
    <w:link w:val="862"/>
    <w:uiPriority w:val="9"/>
    <w:qFormat/>
    <w:rPr>
      <w:rFonts w:ascii="Arial" w:hAnsi="Arial" w:eastAsia="Arial" w:cs="Arial"/>
      <w:b/>
      <w:bCs/>
      <w:sz w:val="24"/>
      <w:szCs w:val="24"/>
    </w:rPr>
  </w:style>
  <w:style w:type="character" w:styleId="Heading6Char">
    <w:name w:val="Heading 6 Char"/>
    <w:basedOn w:val="DefaultParagraphFont"/>
    <w:link w:val="863"/>
    <w:uiPriority w:val="9"/>
    <w:qFormat/>
    <w:rPr>
      <w:rFonts w:ascii="Arial" w:hAnsi="Arial" w:eastAsia="Arial" w:cs="Arial"/>
      <w:b/>
      <w:bCs/>
      <w:sz w:val="22"/>
      <w:szCs w:val="22"/>
    </w:rPr>
  </w:style>
  <w:style w:type="character" w:styleId="Heading7Char">
    <w:name w:val="Heading 7 Char"/>
    <w:basedOn w:val="DefaultParagraphFont"/>
    <w:link w:val="864"/>
    <w:uiPriority w:val="9"/>
    <w:qFormat/>
    <w:rPr>
      <w:rFonts w:ascii="Arial" w:hAnsi="Arial" w:eastAsia="Arial" w:cs="Arial"/>
      <w:b/>
      <w:bCs/>
      <w:i/>
      <w:iCs/>
      <w:sz w:val="22"/>
      <w:szCs w:val="22"/>
    </w:rPr>
  </w:style>
  <w:style w:type="character" w:styleId="Heading8Char">
    <w:name w:val="Heading 8 Char"/>
    <w:basedOn w:val="DefaultParagraphFont"/>
    <w:link w:val="865"/>
    <w:uiPriority w:val="9"/>
    <w:qFormat/>
    <w:rPr>
      <w:rFonts w:ascii="Arial" w:hAnsi="Arial" w:eastAsia="Arial" w:cs="Arial"/>
      <w:i/>
      <w:iCs/>
      <w:sz w:val="22"/>
      <w:szCs w:val="22"/>
    </w:rPr>
  </w:style>
  <w:style w:type="character" w:styleId="Heading9Char">
    <w:name w:val="Heading 9 Char"/>
    <w:basedOn w:val="DefaultParagraphFont"/>
    <w:link w:val="866"/>
    <w:uiPriority w:val="9"/>
    <w:qFormat/>
    <w:rPr>
      <w:rFonts w:ascii="Arial" w:hAnsi="Arial" w:eastAsia="Arial" w:cs="Arial"/>
      <w:i/>
      <w:iCs/>
      <w:sz w:val="21"/>
      <w:szCs w:val="21"/>
    </w:rPr>
  </w:style>
  <w:style w:type="character" w:styleId="TitleChar">
    <w:name w:val="Title Char"/>
    <w:basedOn w:val="DefaultParagraphFont"/>
    <w:link w:val="901"/>
    <w:uiPriority w:val="10"/>
    <w:qFormat/>
    <w:rPr>
      <w:sz w:val="48"/>
      <w:szCs w:val="48"/>
    </w:rPr>
  </w:style>
  <w:style w:type="character" w:styleId="SubtitleChar">
    <w:name w:val="Subtitle Char"/>
    <w:basedOn w:val="DefaultParagraphFont"/>
    <w:link w:val="902"/>
    <w:uiPriority w:val="11"/>
    <w:qFormat/>
    <w:rPr>
      <w:sz w:val="24"/>
      <w:szCs w:val="24"/>
    </w:rPr>
  </w:style>
  <w:style w:type="character" w:styleId="QuoteChar">
    <w:name w:val="Quote Char"/>
    <w:link w:val="903"/>
    <w:uiPriority w:val="29"/>
    <w:qFormat/>
    <w:rPr>
      <w:i/>
    </w:rPr>
  </w:style>
  <w:style w:type="character" w:styleId="IntenseQuoteChar">
    <w:name w:val="Intense Quote Char"/>
    <w:link w:val="904"/>
    <w:uiPriority w:val="30"/>
    <w:qFormat/>
    <w:rPr>
      <w:i/>
    </w:rPr>
  </w:style>
  <w:style w:type="character" w:styleId="HeaderChar">
    <w:name w:val="Header Char"/>
    <w:basedOn w:val="DefaultParagraphFont"/>
    <w:link w:val="919"/>
    <w:uiPriority w:val="99"/>
    <w:qFormat/>
    <w:rPr/>
  </w:style>
  <w:style w:type="character" w:styleId="CaptionChar">
    <w:name w:val="Caption Char"/>
    <w:link w:val="927"/>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905"/>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906"/>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58"/>
    <w:uiPriority w:val="9"/>
    <w:qFormat/>
    <w:rPr>
      <w:rFonts w:ascii="Arial" w:hAnsi="Arial" w:eastAsia="Arial" w:cs="Arial"/>
      <w:sz w:val="40"/>
      <w:szCs w:val="40"/>
    </w:rPr>
  </w:style>
  <w:style w:type="character" w:styleId="Titre2Car" w:customStyle="1">
    <w:name w:val="Titre 2 Car"/>
    <w:basedOn w:val="DefaultParagraphFont"/>
    <w:link w:val="859"/>
    <w:uiPriority w:val="9"/>
    <w:qFormat/>
    <w:rPr>
      <w:rFonts w:ascii="Arial" w:hAnsi="Arial"/>
      <w:b/>
      <w:bCs/>
      <w:iCs/>
      <w:color w:val="666699"/>
      <w:sz w:val="22"/>
      <w:szCs w:val="28"/>
      <w:u w:val="single"/>
    </w:rPr>
  </w:style>
  <w:style w:type="character" w:styleId="Titre3Car" w:customStyle="1">
    <w:name w:val="Titre 3 Car"/>
    <w:basedOn w:val="DefaultParagraphFont"/>
    <w:link w:val="860"/>
    <w:uiPriority w:val="9"/>
    <w:qFormat/>
    <w:rPr>
      <w:rFonts w:ascii="Arial" w:hAnsi="Arial" w:eastAsia="Arial" w:cs="Arial"/>
      <w:sz w:val="30"/>
      <w:szCs w:val="30"/>
    </w:rPr>
  </w:style>
  <w:style w:type="character" w:styleId="Titre4Car" w:customStyle="1">
    <w:name w:val="Titre 4 Car"/>
    <w:basedOn w:val="DefaultParagraphFont"/>
    <w:link w:val="861"/>
    <w:uiPriority w:val="9"/>
    <w:qFormat/>
    <w:rPr>
      <w:rFonts w:ascii="Arial" w:hAnsi="Arial" w:eastAsia="Arial" w:cs="Arial"/>
      <w:b/>
      <w:bCs/>
      <w:sz w:val="26"/>
      <w:szCs w:val="26"/>
    </w:rPr>
  </w:style>
  <w:style w:type="character" w:styleId="Titre5Car" w:customStyle="1">
    <w:name w:val="Titre 5 Car"/>
    <w:basedOn w:val="DefaultParagraphFont"/>
    <w:link w:val="862"/>
    <w:uiPriority w:val="9"/>
    <w:qFormat/>
    <w:rPr>
      <w:rFonts w:ascii="Arial" w:hAnsi="Arial" w:eastAsia="Arial" w:cs="Arial"/>
      <w:b/>
      <w:bCs/>
      <w:sz w:val="24"/>
      <w:szCs w:val="24"/>
    </w:rPr>
  </w:style>
  <w:style w:type="character" w:styleId="Titre6Car" w:customStyle="1">
    <w:name w:val="Titre 6 Car"/>
    <w:basedOn w:val="DefaultParagraphFont"/>
    <w:link w:val="863"/>
    <w:uiPriority w:val="9"/>
    <w:qFormat/>
    <w:rPr>
      <w:rFonts w:ascii="Arial" w:hAnsi="Arial" w:eastAsia="Arial" w:cs="Arial"/>
      <w:b/>
      <w:bCs/>
      <w:sz w:val="22"/>
      <w:szCs w:val="22"/>
    </w:rPr>
  </w:style>
  <w:style w:type="character" w:styleId="Titre7Car" w:customStyle="1">
    <w:name w:val="Titre 7 Car"/>
    <w:basedOn w:val="DefaultParagraphFont"/>
    <w:link w:val="864"/>
    <w:uiPriority w:val="9"/>
    <w:qFormat/>
    <w:rPr>
      <w:rFonts w:ascii="Arial" w:hAnsi="Arial" w:eastAsia="Arial" w:cs="Arial"/>
      <w:b/>
      <w:bCs/>
      <w:i/>
      <w:iCs/>
      <w:sz w:val="22"/>
      <w:szCs w:val="22"/>
    </w:rPr>
  </w:style>
  <w:style w:type="character" w:styleId="Titre8Car" w:customStyle="1">
    <w:name w:val="Titre 8 Car"/>
    <w:basedOn w:val="DefaultParagraphFont"/>
    <w:link w:val="865"/>
    <w:uiPriority w:val="9"/>
    <w:qFormat/>
    <w:rPr>
      <w:rFonts w:ascii="Arial" w:hAnsi="Arial" w:eastAsia="Arial" w:cs="Arial"/>
      <w:i/>
      <w:iCs/>
      <w:sz w:val="22"/>
      <w:szCs w:val="22"/>
    </w:rPr>
  </w:style>
  <w:style w:type="character" w:styleId="Titre9Car" w:customStyle="1">
    <w:name w:val="Titre 9 Car"/>
    <w:basedOn w:val="DefaultParagraphFont"/>
    <w:link w:val="866"/>
    <w:uiPriority w:val="9"/>
    <w:qFormat/>
    <w:rPr>
      <w:rFonts w:ascii="Arial" w:hAnsi="Arial" w:eastAsia="Arial" w:cs="Arial"/>
      <w:i/>
      <w:iCs/>
      <w:sz w:val="21"/>
      <w:szCs w:val="21"/>
    </w:rPr>
  </w:style>
  <w:style w:type="character" w:styleId="TitreCar" w:customStyle="1">
    <w:name w:val="Titre Car"/>
    <w:basedOn w:val="DefaultParagraphFont"/>
    <w:link w:val="894"/>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27"/>
    <w:uiPriority w:val="99"/>
    <w:qFormat/>
    <w:rPr/>
  </w:style>
  <w:style w:type="character" w:styleId="NotedebasdepageCar" w:customStyle="1">
    <w:name w:val="Note de bas de page Car"/>
    <w:link w:val="905"/>
    <w:uiPriority w:val="99"/>
    <w:qFormat/>
    <w:rPr>
      <w:sz w:val="18"/>
    </w:rPr>
  </w:style>
  <w:style w:type="character" w:styleId="NotedefinCar" w:customStyle="1">
    <w:name w:val="Note de fin Car"/>
    <w:link w:val="906"/>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913"/>
    <w:qFormat/>
    <w:rPr>
      <w:rFonts w:ascii="Arial" w:hAnsi="Arial"/>
      <w:sz w:val="20"/>
    </w:rPr>
  </w:style>
  <w:style w:type="character" w:styleId="Policepardfaut">
    <w:name w:val="Police par défaut"/>
    <w:qFormat/>
    <w:rPr/>
  </w:style>
  <w:style w:type="character" w:styleId="WW8Num2z4">
    <w:name w:val="WW8Num2z4"/>
    <w:qFormat/>
    <w:rPr>
      <w:rFonts w:ascii="Courier New" w:hAnsi="Courier New" w:cs="Courier New"/>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color w:val="000000"/>
    </w:rPr>
  </w:style>
  <w:style w:type="character" w:styleId="WW8Num2z0">
    <w:name w:val="WW8Num2z0"/>
    <w:qFormat/>
    <w:rPr>
      <w:rFonts w:ascii="Symbol" w:hAnsi="Symbol" w:cs="Symbol"/>
      <w:color w:val="000000"/>
    </w:rPr>
  </w:style>
  <w:style w:type="character" w:styleId="WWCharLFO1LVL9">
    <w:name w:val="WW_CharLFO1LVL9"/>
    <w:qFormat/>
    <w:rPr>
      <w:rFonts w:ascii="Wingdings" w:hAnsi="Wingdings"/>
    </w:rPr>
  </w:style>
  <w:style w:type="character" w:styleId="WWCharLFO1LVL8">
    <w:name w:val="WW_CharLFO1LVL8"/>
    <w:qFormat/>
    <w:rPr>
      <w:rFonts w:ascii="Courier New" w:hAnsi="Courier New" w:cs="Courier New"/>
    </w:rPr>
  </w:style>
  <w:style w:type="character" w:styleId="WWCharLFO1LVL7">
    <w:name w:val="WW_CharLFO1LVL7"/>
    <w:qFormat/>
    <w:rPr>
      <w:rFonts w:ascii="Symbol" w:hAnsi="Symbol"/>
    </w:rPr>
  </w:style>
  <w:style w:type="character" w:styleId="WWCharLFO1LVL6">
    <w:name w:val="WW_CharLFO1LVL6"/>
    <w:qFormat/>
    <w:rPr>
      <w:rFonts w:ascii="Wingdings" w:hAnsi="Wingdings"/>
    </w:rPr>
  </w:style>
  <w:style w:type="character" w:styleId="WWCharLFO1LVL5">
    <w:name w:val="WW_CharLFO1LVL5"/>
    <w:qFormat/>
    <w:rPr>
      <w:rFonts w:ascii="Courier New" w:hAnsi="Courier New" w:cs="Courier New"/>
    </w:rPr>
  </w:style>
  <w:style w:type="character" w:styleId="WWCharLFO1LVL4">
    <w:name w:val="WW_CharLFO1LVL4"/>
    <w:qFormat/>
    <w:rPr>
      <w:rFonts w:ascii="Symbol" w:hAnsi="Symbol"/>
    </w:rPr>
  </w:style>
  <w:style w:type="character" w:styleId="WWCharLFO1LVL3">
    <w:name w:val="WW_CharLFO1LVL3"/>
    <w:qFormat/>
    <w:rPr>
      <w:rFonts w:ascii="Wingdings" w:hAnsi="Wingdings"/>
    </w:rPr>
  </w:style>
  <w:style w:type="character" w:styleId="WWCharLFO1LVL2">
    <w:name w:val="WW_CharLFO1LVL2"/>
    <w:qFormat/>
    <w:rPr>
      <w:rFonts w:ascii="Courier New" w:hAnsi="Courier New" w:cs="Courier New"/>
    </w:rPr>
  </w:style>
  <w:style w:type="character" w:styleId="WWCharLFO1LVL1">
    <w:name w:val="WW_CharLFO1LVL1"/>
    <w:qFormat/>
    <w:rPr>
      <w:rFonts w:ascii="Wingdings" w:hAnsi="Wingdings"/>
    </w:rPr>
  </w:style>
  <w:style w:type="character" w:styleId="CorpsdetexteCar">
    <w:name w:val="Corps de texte Car"/>
    <w:qFormat/>
    <w:rPr>
      <w:rFonts w:ascii="Arial" w:hAnsi="Arial" w:eastAsia="Arial"/>
    </w:rPr>
  </w:style>
  <w:style w:type="character" w:styleId="RTFNum49">
    <w:name w:val="RTF_Num 4 9"/>
    <w:qFormat/>
    <w:rPr>
      <w:rFonts w:ascii="Wingdings" w:hAnsi="Wingdings" w:eastAsia="Wingdings" w:cs="Wingdings"/>
    </w:rPr>
  </w:style>
  <w:style w:type="character" w:styleId="RTFNum48">
    <w:name w:val="RTF_Num 4 8"/>
    <w:qFormat/>
    <w:rPr>
      <w:rFonts w:ascii="Courier New" w:hAnsi="Courier New" w:eastAsia="Courier New" w:cs="Courier New"/>
    </w:rPr>
  </w:style>
  <w:style w:type="character" w:styleId="RTFNum47">
    <w:name w:val="RTF_Num 4 7"/>
    <w:qFormat/>
    <w:rPr>
      <w:rFonts w:ascii="Symbol" w:hAnsi="Symbol" w:eastAsia="Symbol" w:cs="Symbol"/>
    </w:rPr>
  </w:style>
  <w:style w:type="character" w:styleId="RTFNum46">
    <w:name w:val="RTF_Num 4 6"/>
    <w:qFormat/>
    <w:rPr>
      <w:rFonts w:ascii="Wingdings" w:hAnsi="Wingdings" w:eastAsia="Wingdings" w:cs="Wingdings"/>
    </w:rPr>
  </w:style>
  <w:style w:type="character" w:styleId="RTFNum45">
    <w:name w:val="RTF_Num 4 5"/>
    <w:qFormat/>
    <w:rPr>
      <w:rFonts w:ascii="Courier New" w:hAnsi="Courier New" w:eastAsia="Courier New" w:cs="Courier New"/>
    </w:rPr>
  </w:style>
  <w:style w:type="character" w:styleId="RTFNum44">
    <w:name w:val="RTF_Num 4 4"/>
    <w:qFormat/>
    <w:rPr>
      <w:rFonts w:ascii="Symbol" w:hAnsi="Symbol" w:eastAsia="Symbol" w:cs="Symbol"/>
    </w:rPr>
  </w:style>
  <w:style w:type="character" w:styleId="RTFNum43">
    <w:name w:val="RTF_Num 4 3"/>
    <w:qFormat/>
    <w:rPr>
      <w:rFonts w:ascii="Wingdings" w:hAnsi="Wingdings" w:eastAsia="Wingdings" w:cs="Wingdings"/>
    </w:rPr>
  </w:style>
  <w:style w:type="character" w:styleId="RTFNum42">
    <w:name w:val="RTF_Num 4 2"/>
    <w:qFormat/>
    <w:rPr>
      <w:rFonts w:ascii="Courier New" w:hAnsi="Courier New" w:eastAsia="Courier New" w:cs="Courier New"/>
    </w:rPr>
  </w:style>
  <w:style w:type="character" w:styleId="RTFNum41">
    <w:name w:val="RTF_Num 4 1"/>
    <w:qFormat/>
    <w:rPr>
      <w:rFonts w:ascii="Wingdings" w:hAnsi="Wingdings" w:eastAsia="Wingdings" w:cs="Wingdings"/>
      <w:sz w:val="20"/>
      <w:szCs w:val="20"/>
    </w:rPr>
  </w:style>
  <w:style w:type="character" w:styleId="RTFNum39">
    <w:name w:val="RTF_Num 3 9"/>
    <w:qFormat/>
    <w:rPr>
      <w:rFonts w:cs="Times New Roman"/>
    </w:rPr>
  </w:style>
  <w:style w:type="character" w:styleId="RTFNum38">
    <w:name w:val="RTF_Num 3 8"/>
    <w:qFormat/>
    <w:rPr>
      <w:rFonts w:cs="Times New Roman"/>
    </w:rPr>
  </w:style>
  <w:style w:type="character" w:styleId="RTFNum37">
    <w:name w:val="RTF_Num 3 7"/>
    <w:qFormat/>
    <w:rPr>
      <w:rFonts w:cs="Times New Roman"/>
    </w:rPr>
  </w:style>
  <w:style w:type="character" w:styleId="RTFNum36">
    <w:name w:val="RTF_Num 3 6"/>
    <w:qFormat/>
    <w:rPr>
      <w:rFonts w:cs="Times New Roman"/>
    </w:rPr>
  </w:style>
  <w:style w:type="character" w:styleId="RTFNum35">
    <w:name w:val="RTF_Num 3 5"/>
    <w:qFormat/>
    <w:rPr>
      <w:rFonts w:cs="Times New Roman"/>
    </w:rPr>
  </w:style>
  <w:style w:type="character" w:styleId="RTFNum34">
    <w:name w:val="RTF_Num 3 4"/>
    <w:qFormat/>
    <w:rPr>
      <w:rFonts w:cs="Times New Roman"/>
    </w:rPr>
  </w:style>
  <w:style w:type="character" w:styleId="RTFNum33">
    <w:name w:val="RTF_Num 3 3"/>
    <w:qFormat/>
    <w:rPr>
      <w:rFonts w:cs="Times New Roman"/>
    </w:rPr>
  </w:style>
  <w:style w:type="character" w:styleId="RTFNum32">
    <w:name w:val="RTF_Num 3 2"/>
    <w:qFormat/>
    <w:rPr>
      <w:rFonts w:cs="Times New Roman"/>
    </w:rPr>
  </w:style>
  <w:style w:type="character" w:styleId="RTFNum31">
    <w:name w:val="RTF_Num 3 1"/>
    <w:qFormat/>
    <w:rPr>
      <w:rFonts w:cs="Times New Roman"/>
    </w:rPr>
  </w:style>
  <w:style w:type="character" w:styleId="RTFNum21">
    <w:name w:val="RTF_Num 2 1"/>
    <w:qFormat/>
    <w:rPr>
      <w:rFonts w:ascii="Wingdings" w:hAnsi="Wingding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77"/>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79"/>
    <w:uiPriority w:val="29"/>
    <w:qFormat/>
    <w:pPr>
      <w:ind w:left="720" w:right="720" w:hanging="0"/>
    </w:pPr>
    <w:rPr>
      <w:i/>
    </w:rPr>
  </w:style>
  <w:style w:type="paragraph" w:styleId="IntenseQuote">
    <w:name w:val="Intense Quote"/>
    <w:basedOn w:val="Normal"/>
    <w:link w:val="880"/>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84"/>
    <w:uiPriority w:val="99"/>
    <w:semiHidden/>
    <w:unhideWhenUsed/>
    <w:qFormat/>
    <w:pPr>
      <w:spacing w:before="120" w:after="40"/>
    </w:pPr>
    <w:rPr>
      <w:sz w:val="18"/>
    </w:rPr>
  </w:style>
  <w:style w:type="paragraph" w:styleId="Notedefin">
    <w:name w:val="Endnote Text"/>
    <w:basedOn w:val="Normal"/>
    <w:link w:val="887"/>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92"/>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83"/>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Sansinterligne">
    <w:name w:val="Sans interligne"/>
    <w:qFormat/>
    <w:pPr>
      <w:widowControl/>
      <w:suppressAutoHyphens w:val="true"/>
      <w:bidi w:val="0"/>
      <w:spacing w:before="0" w:after="0"/>
      <w:jc w:val="left"/>
    </w:pPr>
    <w:rPr>
      <w:rFonts w:ascii="Calibri" w:hAnsi="Calibri" w:eastAsia="Calibri" w:cs="Calibri"/>
      <w:color w:val="auto"/>
      <w:kern w:val="0"/>
      <w:sz w:val="22"/>
      <w:szCs w:val="22"/>
      <w:lang w:val="fr-FR" w:eastAsia="ja-JP" w:bidi="ar-SA"/>
    </w:rPr>
  </w:style>
  <w:style w:type="paragraph" w:styleId="Puceronde">
    <w:name w:val="Puce ronde"/>
    <w:basedOn w:val="Normal"/>
    <w:qFormat/>
    <w:pPr>
      <w:ind w:left="357" w:hanging="357"/>
    </w:pPr>
    <w:rPr>
      <w:rFonts w:ascii="Garamond" w:hAnsi="Garamond" w:cs="Garamond"/>
      <w:sz w:val="22"/>
      <w:szCs w:val="22"/>
    </w:rPr>
  </w:style>
  <w:style w:type="paragraph" w:styleId="Paragraphedeliste">
    <w:name w:val="Paragraphe de liste"/>
    <w:qFormat/>
    <w:pPr>
      <w:widowControl/>
      <w:suppressAutoHyphens w:val="true"/>
      <w:bidi w:val="0"/>
      <w:spacing w:before="0" w:after="0"/>
      <w:ind w:left="720" w:hanging="0"/>
      <w:jc w:val="left"/>
    </w:pPr>
    <w:rPr>
      <w:rFonts w:ascii="Times New Roman" w:hAnsi="Times New Roman" w:eastAsia="Andale Sans UI" w:cs="Tahoma"/>
      <w:color w:val="auto"/>
      <w:kern w:val="0"/>
      <w:sz w:val="24"/>
      <w:szCs w:val="24"/>
      <w:lang w:val="fr-FR" w:eastAsia="ja-JP" w:bidi="fa-IR"/>
    </w:rPr>
  </w:style>
  <w:style w:type="paragraph" w:styleId="LONormal">
    <w:name w:val="LO-Normal"/>
    <w:qFormat/>
    <w:pPr>
      <w:widowControl w:val="false"/>
      <w:suppressAutoHyphens w:val="true"/>
      <w:bidi w:val="0"/>
      <w:spacing w:before="0" w:after="0"/>
      <w:jc w:val="left"/>
    </w:pPr>
    <w:rPr>
      <w:rFonts w:ascii="Times New Roman" w:hAnsi="Times New Roman" w:eastAsia="Andale Sans UI" w:cs="Tahoma"/>
      <w:color w:val="auto"/>
      <w:kern w:val="0"/>
      <w:sz w:val="24"/>
      <w:szCs w:val="24"/>
      <w:lang w:val="fr-FR" w:eastAsia="ja-JP" w:bidi="fa-IR"/>
    </w:rPr>
  </w:style>
  <w:style w:type="paragraph" w:styleId="Intitule2">
    <w:name w:val="Intitule2"/>
    <w:qFormat/>
    <w:pPr>
      <w:widowControl/>
      <w:pBdr>
        <w:top w:val="single" w:sz="20" w:space="1" w:color="000000"/>
        <w:left w:val="single" w:sz="20" w:space="4" w:color="000000"/>
        <w:bottom w:val="single" w:sz="20" w:space="1" w:color="000000"/>
        <w:right w:val="single" w:sz="20" w:space="16" w:color="000000"/>
      </w:pBdr>
      <w:tabs>
        <w:tab w:val="clear" w:pos="706"/>
        <w:tab w:val="left" w:pos="0" w:leader="none"/>
      </w:tabs>
      <w:suppressAutoHyphens w:val="true"/>
      <w:bidi w:val="0"/>
      <w:spacing w:before="0" w:after="0"/>
      <w:jc w:val="center"/>
    </w:pPr>
    <w:rPr>
      <w:rFonts w:ascii="Arial" w:hAnsi="Arial" w:eastAsia="Andale Sans UI" w:cs="Tahoma"/>
      <w:color w:val="000000"/>
      <w:kern w:val="0"/>
      <w:sz w:val="36"/>
      <w:szCs w:val="24"/>
      <w:lang w:val="fr-FR" w:eastAsia="ja-JP" w:bidi="fa-IR"/>
    </w:rPr>
  </w:style>
  <w:style w:type="paragraph" w:styleId="TypeDocument3">
    <w:name w:val="TypeDocument3"/>
    <w:qFormat/>
    <w:pPr>
      <w:widowControl/>
      <w:suppressAutoHyphens w:val="true"/>
      <w:bidi w:val="0"/>
      <w:spacing w:lineRule="auto" w:line="240" w:before="0" w:after="0"/>
      <w:jc w:val="center"/>
    </w:pPr>
    <w:rPr>
      <w:rFonts w:ascii="Arial" w:hAnsi="Arial" w:eastAsia="Andale Sans UI" w:cs="Tahoma"/>
      <w:bCs w:val="false"/>
      <w:i w:val="false"/>
      <w:iCs w:val="false"/>
      <w:color w:val="auto"/>
      <w:kern w:val="0"/>
      <w:sz w:val="44"/>
      <w:szCs w:val="22"/>
      <w:lang w:val="fr-FR" w:eastAsia="ja-JP" w:bidi="fa-IR"/>
    </w:rPr>
  </w:style>
  <w:style w:type="paragraph" w:styleId="TypeDocument2">
    <w:name w:val="TypeDocument2"/>
    <w:qFormat/>
    <w:pPr>
      <w:widowControl/>
      <w:suppressAutoHyphens w:val="true"/>
      <w:bidi w:val="0"/>
      <w:spacing w:lineRule="auto" w:line="240" w:before="0" w:after="0"/>
      <w:jc w:val="center"/>
    </w:pPr>
    <w:rPr>
      <w:rFonts w:ascii="Arial" w:hAnsi="Arial" w:eastAsia="Andale Sans UI" w:cs="Tahoma"/>
      <w:bCs w:val="false"/>
      <w:i w:val="false"/>
      <w:iCs w:val="false"/>
      <w:color w:val="auto"/>
      <w:kern w:val="0"/>
      <w:sz w:val="44"/>
      <w:szCs w:val="22"/>
      <w:lang w:val="fr-FR" w:eastAsia="ja-JP" w:bidi="fa-IR"/>
    </w:rPr>
  </w:style>
  <w:style w:type="paragraph" w:styleId="DateLimite">
    <w:name w:val="DateLimite"/>
    <w:basedOn w:val="Normal"/>
    <w:qFormat/>
    <w:pPr>
      <w:tabs>
        <w:tab w:val="clear" w:pos="706"/>
        <w:tab w:val="left" w:pos="3600" w:leader="none"/>
      </w:tabs>
      <w:ind w:left="3600" w:hanging="3600"/>
      <w:jc w:val="center"/>
    </w:pPr>
    <w:rPr>
      <w:rFonts w:ascii="Arial" w:hAnsi="Arial"/>
      <w:color w:val="000000"/>
      <w:szCs w:val="20"/>
    </w:rPr>
  </w:style>
  <w:style w:type="paragraph" w:styleId="Procedure">
    <w:name w:val="Procedure"/>
    <w:basedOn w:val="Normal"/>
    <w:qFormat/>
    <w:pPr>
      <w:tabs>
        <w:tab w:val="clear" w:pos="706"/>
        <w:tab w:val="left" w:pos="3600" w:leader="none"/>
      </w:tabs>
      <w:ind w:left="3600" w:hanging="3600"/>
      <w:jc w:val="center"/>
    </w:pPr>
    <w:rPr>
      <w:rFonts w:ascii="Arial" w:hAnsi="Arial"/>
      <w:color w:val="000000"/>
      <w:szCs w:val="20"/>
    </w:rPr>
  </w:style>
  <w:style w:type="paragraph" w:styleId="NumeroConsultation">
    <w:name w:val="NumeroConsultation"/>
    <w:basedOn w:val="Normal"/>
    <w:qFormat/>
    <w:pPr>
      <w:tabs>
        <w:tab w:val="clear" w:pos="706"/>
        <w:tab w:val="left" w:pos="3600" w:leader="none"/>
      </w:tabs>
      <w:ind w:left="3600" w:hanging="3600"/>
      <w:jc w:val="center"/>
    </w:pPr>
    <w:rPr>
      <w:rFonts w:ascii="Arial" w:hAnsi="Arial"/>
      <w:color w:val="000000"/>
      <w:szCs w:val="20"/>
    </w:rPr>
  </w:style>
  <w:style w:type="paragraph" w:styleId="TypeDocument">
    <w:name w:val="TypeDocument"/>
    <w:qFormat/>
    <w:pPr>
      <w:widowControl/>
      <w:pBdr>
        <w:top w:val="single" w:sz="20" w:space="1" w:color="000000"/>
        <w:left w:val="single" w:sz="20" w:space="4" w:color="000000"/>
        <w:bottom w:val="single" w:sz="20" w:space="1" w:color="000000"/>
        <w:right w:val="single" w:sz="20" w:space="16" w:color="000000"/>
      </w:pBdr>
      <w:suppressAutoHyphens w:val="true"/>
      <w:bidi w:val="0"/>
      <w:spacing w:before="0" w:after="0"/>
      <w:jc w:val="center"/>
    </w:pPr>
    <w:rPr>
      <w:rFonts w:ascii="Arial" w:hAnsi="Arial" w:eastAsia="Andale Sans UI" w:cs="Tahoma"/>
      <w:color w:val="000000"/>
      <w:kern w:val="0"/>
      <w:sz w:val="44"/>
      <w:szCs w:val="44"/>
      <w:lang w:val="fr-FR" w:eastAsia="ja-JP" w:bidi="fa-IR"/>
    </w:rPr>
  </w:style>
  <w:style w:type="paragraph" w:styleId="Direction">
    <w:name w:val="Direction"/>
    <w:basedOn w:val="Normal"/>
    <w:qFormat/>
    <w:pPr>
      <w:jc w:val="center"/>
    </w:pPr>
    <w:rPr>
      <w:rFonts w:ascii="Arial" w:hAnsi="Arial"/>
      <w:b w:val="false"/>
      <w:bCs w:val="false"/>
      <w:sz w:val="36"/>
      <w:szCs w:val="28"/>
    </w:rPr>
  </w:style>
  <w:style w:type="paragraph" w:styleId="PA">
    <w:name w:val="PA"/>
    <w:basedOn w:val="Normal"/>
    <w:qFormat/>
    <w:pPr>
      <w:jc w:val="center"/>
    </w:pPr>
    <w:rPr>
      <w:rFonts w:ascii="Arial" w:hAnsi="Arial"/>
      <w:sz w:val="40"/>
      <w:szCs w:val="40"/>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jc w:val="center"/>
    </w:pPr>
    <w:rPr>
      <w:rFonts w:ascii="Arial" w:hAnsi="Arial"/>
      <w:color w:val="000000"/>
      <w:sz w:val="36"/>
      <w:shd w:fill="FFFFFF" w:val="clear"/>
    </w:rPr>
  </w:style>
  <w:style w:type="paragraph" w:styleId="Standard20">
    <w:name w:val="Standard 20"/>
    <w:basedOn w:val="Normal"/>
    <w:qFormat/>
    <w:pPr/>
    <w:rPr>
      <w:sz w:val="40"/>
      <w:szCs w:val="40"/>
    </w:rPr>
  </w:style>
  <w:style w:type="paragraph" w:styleId="Numration1lamarge">
    <w:name w:val="énumération 1  à la marge"/>
    <w:basedOn w:val="Normal"/>
    <w:qFormat/>
    <w:pPr>
      <w:tabs>
        <w:tab w:val="clear" w:pos="706"/>
        <w:tab w:val="left" w:pos="360" w:leader="none"/>
      </w:tabs>
      <w:spacing w:before="120" w:after="120"/>
      <w:ind w:left="360" w:hanging="360"/>
      <w:jc w:val="both"/>
    </w:pPr>
    <w:rPr>
      <w:rFonts w:ascii="Trebuchet MS" w:hAnsi="Trebuchet MS"/>
      <w:sz w:val="21"/>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c71ff19c679047d187395e50898b70ed"/>
        <w:types>
          <w:type w:val="none"/>
        </w:types>
        <w:behaviors>
          <w:behavior w:val="content"/>
        </w:behaviors>
      </w:docPartPr>
      <w:docPartBody>
        <w:p>
          <w:r>
            <w:t xml:space="preserve">    </w:t>
          </w:r>
          <w:r/>
        </w:p>
      </w:docPartBody>
    </w:docPart>
    <w:docPart>
      <w:docPartPr>
        <w:name w:val="b509d1623d6e4d32b2f39bf9d3386dad"/>
        <w:types>
          <w:type w:val="none"/>
        </w:types>
        <w:behaviors>
          <w:behavior w:val="content"/>
        </w:behaviors>
      </w:docPartPr>
      <w:docPartBody>
        <w:p>
          <w:r>
            <w:t xml:space="preserve">    </w:t>
          </w:r>
          <w:r/>
        </w:p>
      </w:docPartBody>
    </w:docPart>
    <w:docPart>
      <w:docPartPr>
        <w:name w:val="c81a792dd2714c68aeaec4a683df2791"/>
        <w:types>
          <w:type w:val="none"/>
        </w:types>
        <w:behaviors>
          <w:behavior w:val="content"/>
        </w:behaviors>
      </w:docPartPr>
      <w:docPartBody>
        <w:p>
          <w:r>
            <w:t xml:space="preserve">    </w:t>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525" w:default="1">
    <w:name w:val="Normal"/>
    <w:qFormat/>
  </w:style>
  <w:style w:type="character" w:styleId="1526" w:default="1">
    <w:name w:val="Default Paragraph Font"/>
    <w:uiPriority w:val="1"/>
    <w:semiHidden/>
    <w:unhideWhenUsed/>
  </w:style>
  <w:style w:type="numbering" w:styleId="1527" w:default="1">
    <w:name w:val="No List"/>
    <w:uiPriority w:val="99"/>
    <w:semiHidden/>
    <w:unhideWhenUsed/>
  </w:style>
  <w:style w:type="paragraph" w:styleId="1528">
    <w:name w:val="Heading 1"/>
    <w:basedOn w:val="1525"/>
    <w:next w:val="1525"/>
    <w:link w:val="1529"/>
    <w:qFormat/>
    <w:uiPriority w:val="9"/>
    <w:rPr>
      <w:rFonts w:ascii="Arial" w:hAnsi="Arial" w:cs="Arial" w:eastAsia="Arial"/>
      <w:sz w:val="40"/>
      <w:szCs w:val="40"/>
    </w:rPr>
    <w:pPr>
      <w:keepLines/>
      <w:keepNext/>
      <w:spacing w:after="200" w:before="480"/>
      <w:outlineLvl w:val="0"/>
    </w:pPr>
  </w:style>
  <w:style w:type="character" w:styleId="1529">
    <w:name w:val="Heading 1 Char"/>
    <w:basedOn w:val="1526"/>
    <w:link w:val="1528"/>
    <w:uiPriority w:val="9"/>
    <w:rPr>
      <w:rFonts w:ascii="Arial" w:hAnsi="Arial" w:cs="Arial" w:eastAsia="Arial"/>
      <w:sz w:val="40"/>
      <w:szCs w:val="40"/>
    </w:rPr>
  </w:style>
  <w:style w:type="paragraph" w:styleId="1530">
    <w:name w:val="Heading 2"/>
    <w:basedOn w:val="1525"/>
    <w:next w:val="1525"/>
    <w:link w:val="1531"/>
    <w:qFormat/>
    <w:uiPriority w:val="9"/>
    <w:unhideWhenUsed/>
    <w:rPr>
      <w:rFonts w:ascii="Arial" w:hAnsi="Arial" w:cs="Arial" w:eastAsia="Arial"/>
      <w:sz w:val="34"/>
    </w:rPr>
    <w:pPr>
      <w:keepLines/>
      <w:keepNext/>
      <w:spacing w:after="200" w:before="360"/>
      <w:outlineLvl w:val="1"/>
    </w:pPr>
  </w:style>
  <w:style w:type="character" w:styleId="1531">
    <w:name w:val="Heading 2 Char"/>
    <w:basedOn w:val="1526"/>
    <w:link w:val="1530"/>
    <w:uiPriority w:val="9"/>
    <w:rPr>
      <w:rFonts w:ascii="Arial" w:hAnsi="Arial" w:cs="Arial" w:eastAsia="Arial"/>
      <w:sz w:val="34"/>
    </w:rPr>
  </w:style>
  <w:style w:type="paragraph" w:styleId="1532">
    <w:name w:val="Heading 3"/>
    <w:basedOn w:val="1525"/>
    <w:next w:val="1525"/>
    <w:link w:val="1533"/>
    <w:qFormat/>
    <w:uiPriority w:val="9"/>
    <w:unhideWhenUsed/>
    <w:rPr>
      <w:rFonts w:ascii="Arial" w:hAnsi="Arial" w:cs="Arial" w:eastAsia="Arial"/>
      <w:sz w:val="30"/>
      <w:szCs w:val="30"/>
    </w:rPr>
    <w:pPr>
      <w:keepLines/>
      <w:keepNext/>
      <w:spacing w:after="200" w:before="320"/>
      <w:outlineLvl w:val="2"/>
    </w:pPr>
  </w:style>
  <w:style w:type="character" w:styleId="1533">
    <w:name w:val="Heading 3 Char"/>
    <w:basedOn w:val="1526"/>
    <w:link w:val="1532"/>
    <w:uiPriority w:val="9"/>
    <w:rPr>
      <w:rFonts w:ascii="Arial" w:hAnsi="Arial" w:cs="Arial" w:eastAsia="Arial"/>
      <w:sz w:val="30"/>
      <w:szCs w:val="30"/>
    </w:rPr>
  </w:style>
  <w:style w:type="paragraph" w:styleId="1534">
    <w:name w:val="Heading 4"/>
    <w:basedOn w:val="1525"/>
    <w:next w:val="1525"/>
    <w:link w:val="1535"/>
    <w:qFormat/>
    <w:uiPriority w:val="9"/>
    <w:unhideWhenUsed/>
    <w:rPr>
      <w:rFonts w:ascii="Arial" w:hAnsi="Arial" w:cs="Arial" w:eastAsia="Arial"/>
      <w:b/>
      <w:bCs/>
      <w:sz w:val="26"/>
      <w:szCs w:val="26"/>
    </w:rPr>
    <w:pPr>
      <w:keepLines/>
      <w:keepNext/>
      <w:spacing w:after="200" w:before="320"/>
      <w:outlineLvl w:val="3"/>
    </w:pPr>
  </w:style>
  <w:style w:type="character" w:styleId="1535">
    <w:name w:val="Heading 4 Char"/>
    <w:basedOn w:val="1526"/>
    <w:link w:val="1534"/>
    <w:uiPriority w:val="9"/>
    <w:rPr>
      <w:rFonts w:ascii="Arial" w:hAnsi="Arial" w:cs="Arial" w:eastAsia="Arial"/>
      <w:b/>
      <w:bCs/>
      <w:sz w:val="26"/>
      <w:szCs w:val="26"/>
    </w:rPr>
  </w:style>
  <w:style w:type="paragraph" w:styleId="1536">
    <w:name w:val="Heading 5"/>
    <w:basedOn w:val="1525"/>
    <w:next w:val="1525"/>
    <w:link w:val="1537"/>
    <w:qFormat/>
    <w:uiPriority w:val="9"/>
    <w:unhideWhenUsed/>
    <w:rPr>
      <w:rFonts w:ascii="Arial" w:hAnsi="Arial" w:cs="Arial" w:eastAsia="Arial"/>
      <w:b/>
      <w:bCs/>
      <w:sz w:val="24"/>
      <w:szCs w:val="24"/>
    </w:rPr>
    <w:pPr>
      <w:keepLines/>
      <w:keepNext/>
      <w:spacing w:after="200" w:before="320"/>
      <w:outlineLvl w:val="4"/>
    </w:pPr>
  </w:style>
  <w:style w:type="character" w:styleId="1537">
    <w:name w:val="Heading 5 Char"/>
    <w:basedOn w:val="1526"/>
    <w:link w:val="1536"/>
    <w:uiPriority w:val="9"/>
    <w:rPr>
      <w:rFonts w:ascii="Arial" w:hAnsi="Arial" w:cs="Arial" w:eastAsia="Arial"/>
      <w:b/>
      <w:bCs/>
      <w:sz w:val="24"/>
      <w:szCs w:val="24"/>
    </w:rPr>
  </w:style>
  <w:style w:type="paragraph" w:styleId="1538">
    <w:name w:val="Heading 6"/>
    <w:basedOn w:val="1525"/>
    <w:next w:val="1525"/>
    <w:link w:val="1539"/>
    <w:qFormat/>
    <w:uiPriority w:val="9"/>
    <w:unhideWhenUsed/>
    <w:rPr>
      <w:rFonts w:ascii="Arial" w:hAnsi="Arial" w:cs="Arial" w:eastAsia="Arial"/>
      <w:b/>
      <w:bCs/>
      <w:sz w:val="22"/>
      <w:szCs w:val="22"/>
    </w:rPr>
    <w:pPr>
      <w:keepLines/>
      <w:keepNext/>
      <w:spacing w:after="200" w:before="320"/>
      <w:outlineLvl w:val="5"/>
    </w:pPr>
  </w:style>
  <w:style w:type="character" w:styleId="1539">
    <w:name w:val="Heading 6 Char"/>
    <w:basedOn w:val="1526"/>
    <w:link w:val="1538"/>
    <w:uiPriority w:val="9"/>
    <w:rPr>
      <w:rFonts w:ascii="Arial" w:hAnsi="Arial" w:cs="Arial" w:eastAsia="Arial"/>
      <w:b/>
      <w:bCs/>
      <w:sz w:val="22"/>
      <w:szCs w:val="22"/>
    </w:rPr>
  </w:style>
  <w:style w:type="paragraph" w:styleId="1540">
    <w:name w:val="Heading 7"/>
    <w:basedOn w:val="1525"/>
    <w:next w:val="1525"/>
    <w:link w:val="1541"/>
    <w:qFormat/>
    <w:uiPriority w:val="9"/>
    <w:unhideWhenUsed/>
    <w:rPr>
      <w:rFonts w:ascii="Arial" w:hAnsi="Arial" w:cs="Arial" w:eastAsia="Arial"/>
      <w:b/>
      <w:bCs/>
      <w:i/>
      <w:iCs/>
      <w:sz w:val="22"/>
      <w:szCs w:val="22"/>
    </w:rPr>
    <w:pPr>
      <w:keepLines/>
      <w:keepNext/>
      <w:spacing w:after="200" w:before="320"/>
      <w:outlineLvl w:val="6"/>
    </w:pPr>
  </w:style>
  <w:style w:type="character" w:styleId="1541">
    <w:name w:val="Heading 7 Char"/>
    <w:basedOn w:val="1526"/>
    <w:link w:val="1540"/>
    <w:uiPriority w:val="9"/>
    <w:rPr>
      <w:rFonts w:ascii="Arial" w:hAnsi="Arial" w:cs="Arial" w:eastAsia="Arial"/>
      <w:b/>
      <w:bCs/>
      <w:i/>
      <w:iCs/>
      <w:sz w:val="22"/>
      <w:szCs w:val="22"/>
    </w:rPr>
  </w:style>
  <w:style w:type="paragraph" w:styleId="1542">
    <w:name w:val="Heading 8"/>
    <w:basedOn w:val="1525"/>
    <w:next w:val="1525"/>
    <w:link w:val="1543"/>
    <w:qFormat/>
    <w:uiPriority w:val="9"/>
    <w:unhideWhenUsed/>
    <w:rPr>
      <w:rFonts w:ascii="Arial" w:hAnsi="Arial" w:cs="Arial" w:eastAsia="Arial"/>
      <w:i/>
      <w:iCs/>
      <w:sz w:val="22"/>
      <w:szCs w:val="22"/>
    </w:rPr>
    <w:pPr>
      <w:keepLines/>
      <w:keepNext/>
      <w:spacing w:after="200" w:before="320"/>
      <w:outlineLvl w:val="7"/>
    </w:pPr>
  </w:style>
  <w:style w:type="character" w:styleId="1543">
    <w:name w:val="Heading 8 Char"/>
    <w:basedOn w:val="1526"/>
    <w:link w:val="1542"/>
    <w:uiPriority w:val="9"/>
    <w:rPr>
      <w:rFonts w:ascii="Arial" w:hAnsi="Arial" w:cs="Arial" w:eastAsia="Arial"/>
      <w:i/>
      <w:iCs/>
      <w:sz w:val="22"/>
      <w:szCs w:val="22"/>
    </w:rPr>
  </w:style>
  <w:style w:type="paragraph" w:styleId="1544">
    <w:name w:val="Heading 9"/>
    <w:basedOn w:val="1525"/>
    <w:next w:val="1525"/>
    <w:link w:val="1545"/>
    <w:qFormat/>
    <w:uiPriority w:val="9"/>
    <w:unhideWhenUsed/>
    <w:rPr>
      <w:rFonts w:ascii="Arial" w:hAnsi="Arial" w:cs="Arial" w:eastAsia="Arial"/>
      <w:i/>
      <w:iCs/>
      <w:sz w:val="21"/>
      <w:szCs w:val="21"/>
    </w:rPr>
    <w:pPr>
      <w:keepLines/>
      <w:keepNext/>
      <w:spacing w:after="200" w:before="320"/>
      <w:outlineLvl w:val="8"/>
    </w:pPr>
  </w:style>
  <w:style w:type="character" w:styleId="1545">
    <w:name w:val="Heading 9 Char"/>
    <w:basedOn w:val="1526"/>
    <w:link w:val="1544"/>
    <w:uiPriority w:val="9"/>
    <w:rPr>
      <w:rFonts w:ascii="Arial" w:hAnsi="Arial" w:cs="Arial" w:eastAsia="Arial"/>
      <w:i/>
      <w:iCs/>
      <w:sz w:val="21"/>
      <w:szCs w:val="21"/>
    </w:rPr>
  </w:style>
  <w:style w:type="paragraph" w:styleId="1546">
    <w:name w:val="List Paragraph"/>
    <w:basedOn w:val="1525"/>
    <w:qFormat/>
    <w:uiPriority w:val="34"/>
    <w:pPr>
      <w:contextualSpacing w:val="true"/>
      <w:ind w:left="720"/>
    </w:pPr>
  </w:style>
  <w:style w:type="table" w:styleId="1547" w:default="1">
    <w:name w:val="Normal Table"/>
    <w:uiPriority w:val="99"/>
    <w:semiHidden/>
    <w:unhideWhenUsed/>
    <w:tblPr>
      <w:tblInd w:w="0" w:type="dxa"/>
      <w:tblCellMar>
        <w:left w:w="108" w:type="dxa"/>
        <w:top w:w="0" w:type="dxa"/>
        <w:right w:w="108" w:type="dxa"/>
        <w:bottom w:w="0" w:type="dxa"/>
      </w:tblCellMar>
    </w:tblPr>
  </w:style>
  <w:style w:type="paragraph" w:styleId="1548">
    <w:name w:val="No Spacing"/>
    <w:qFormat/>
    <w:uiPriority w:val="1"/>
    <w:pPr>
      <w:spacing w:lineRule="auto" w:line="240" w:after="0" w:before="0"/>
    </w:pPr>
  </w:style>
  <w:style w:type="paragraph" w:styleId="1549">
    <w:name w:val="Title"/>
    <w:basedOn w:val="1525"/>
    <w:next w:val="1525"/>
    <w:link w:val="1550"/>
    <w:qFormat/>
    <w:uiPriority w:val="10"/>
    <w:rPr>
      <w:sz w:val="48"/>
      <w:szCs w:val="48"/>
    </w:rPr>
    <w:pPr>
      <w:contextualSpacing w:val="true"/>
      <w:spacing w:after="200" w:before="300"/>
    </w:pPr>
  </w:style>
  <w:style w:type="character" w:styleId="1550">
    <w:name w:val="Title Char"/>
    <w:basedOn w:val="1526"/>
    <w:link w:val="1549"/>
    <w:uiPriority w:val="10"/>
    <w:rPr>
      <w:sz w:val="48"/>
      <w:szCs w:val="48"/>
    </w:rPr>
  </w:style>
  <w:style w:type="paragraph" w:styleId="1551">
    <w:name w:val="Subtitle"/>
    <w:basedOn w:val="1525"/>
    <w:next w:val="1525"/>
    <w:link w:val="1552"/>
    <w:qFormat/>
    <w:uiPriority w:val="11"/>
    <w:rPr>
      <w:sz w:val="24"/>
      <w:szCs w:val="24"/>
    </w:rPr>
    <w:pPr>
      <w:spacing w:after="200" w:before="200"/>
    </w:pPr>
  </w:style>
  <w:style w:type="character" w:styleId="1552">
    <w:name w:val="Subtitle Char"/>
    <w:basedOn w:val="1526"/>
    <w:link w:val="1551"/>
    <w:uiPriority w:val="11"/>
    <w:rPr>
      <w:sz w:val="24"/>
      <w:szCs w:val="24"/>
    </w:rPr>
  </w:style>
  <w:style w:type="paragraph" w:styleId="1553">
    <w:name w:val="Quote"/>
    <w:basedOn w:val="1525"/>
    <w:next w:val="1525"/>
    <w:link w:val="1554"/>
    <w:qFormat/>
    <w:uiPriority w:val="29"/>
    <w:rPr>
      <w:i/>
    </w:rPr>
    <w:pPr>
      <w:ind w:left="720" w:right="720"/>
    </w:pPr>
  </w:style>
  <w:style w:type="character" w:styleId="1554">
    <w:name w:val="Quote Char"/>
    <w:link w:val="1553"/>
    <w:uiPriority w:val="29"/>
    <w:rPr>
      <w:i/>
    </w:rPr>
  </w:style>
  <w:style w:type="paragraph" w:styleId="1555">
    <w:name w:val="Intense Quote"/>
    <w:basedOn w:val="1525"/>
    <w:next w:val="1525"/>
    <w:link w:val="1556"/>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1556">
    <w:name w:val="Intense Quote Char"/>
    <w:link w:val="1555"/>
    <w:uiPriority w:val="30"/>
    <w:rPr>
      <w:i/>
    </w:rPr>
  </w:style>
  <w:style w:type="paragraph" w:styleId="1557">
    <w:name w:val="Header"/>
    <w:basedOn w:val="1525"/>
    <w:link w:val="1558"/>
    <w:uiPriority w:val="99"/>
    <w:unhideWhenUsed/>
    <w:pPr>
      <w:spacing w:lineRule="auto" w:line="240" w:after="0"/>
      <w:tabs>
        <w:tab w:val="center" w:pos="7143" w:leader="none"/>
        <w:tab w:val="right" w:pos="14287" w:leader="none"/>
      </w:tabs>
    </w:pPr>
  </w:style>
  <w:style w:type="character" w:styleId="1558">
    <w:name w:val="Header Char"/>
    <w:basedOn w:val="1526"/>
    <w:link w:val="1557"/>
    <w:uiPriority w:val="99"/>
  </w:style>
  <w:style w:type="paragraph" w:styleId="1559">
    <w:name w:val="Footer"/>
    <w:basedOn w:val="1525"/>
    <w:link w:val="1562"/>
    <w:uiPriority w:val="99"/>
    <w:unhideWhenUsed/>
    <w:pPr>
      <w:spacing w:lineRule="auto" w:line="240" w:after="0"/>
      <w:tabs>
        <w:tab w:val="center" w:pos="7143" w:leader="none"/>
        <w:tab w:val="right" w:pos="14287" w:leader="none"/>
      </w:tabs>
    </w:pPr>
  </w:style>
  <w:style w:type="character" w:styleId="1560">
    <w:name w:val="Footer Char"/>
    <w:basedOn w:val="1526"/>
    <w:link w:val="1559"/>
    <w:uiPriority w:val="99"/>
  </w:style>
  <w:style w:type="paragraph" w:styleId="1561">
    <w:name w:val="Caption"/>
    <w:basedOn w:val="1525"/>
    <w:next w:val="1525"/>
    <w:qFormat/>
    <w:uiPriority w:val="35"/>
    <w:semiHidden/>
    <w:unhideWhenUsed/>
    <w:rPr>
      <w:b/>
      <w:bCs/>
      <w:color w:val="4F81BD" w:themeColor="accent1"/>
      <w:sz w:val="18"/>
      <w:szCs w:val="18"/>
    </w:rPr>
    <w:pPr>
      <w:spacing w:lineRule="auto" w:line="276"/>
    </w:pPr>
  </w:style>
  <w:style w:type="character" w:styleId="1562">
    <w:name w:val="Caption Char"/>
    <w:basedOn w:val="1561"/>
    <w:link w:val="1559"/>
    <w:uiPriority w:val="99"/>
  </w:style>
  <w:style w:type="table" w:styleId="1563">
    <w:name w:val="Table Grid"/>
    <w:basedOn w:val="154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564">
    <w:name w:val="Table Grid Light"/>
    <w:basedOn w:val="154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1565">
    <w:name w:val="Plain Table 1"/>
    <w:basedOn w:val="154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566">
    <w:name w:val="Plain Table 2"/>
    <w:basedOn w:val="154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567">
    <w:name w:val="Plain Table 3"/>
    <w:basedOn w:val="154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1568">
    <w:name w:val="Plain Table 4"/>
    <w:basedOn w:val="154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569">
    <w:name w:val="Plain Table 5"/>
    <w:basedOn w:val="154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1570">
    <w:name w:val="Grid Table 1 Light"/>
    <w:basedOn w:val="154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1571">
    <w:name w:val="Grid Table 1 Light - Accent 1"/>
    <w:basedOn w:val="154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1572">
    <w:name w:val="Grid Table 1 Light - Accent 2"/>
    <w:basedOn w:val="154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1573">
    <w:name w:val="Grid Table 1 Light - Accent 3"/>
    <w:basedOn w:val="154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1574">
    <w:name w:val="Grid Table 1 Light - Accent 4"/>
    <w:basedOn w:val="154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1575">
    <w:name w:val="Grid Table 1 Light - Accent 5"/>
    <w:basedOn w:val="154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1576">
    <w:name w:val="Grid Table 1 Light - Accent 6"/>
    <w:basedOn w:val="154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1577">
    <w:name w:val="Grid Table 2"/>
    <w:basedOn w:val="154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1578">
    <w:name w:val="Grid Table 2 - Accent 1"/>
    <w:basedOn w:val="154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1579">
    <w:name w:val="Grid Table 2 - Accent 2"/>
    <w:basedOn w:val="154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1580">
    <w:name w:val="Grid Table 2 - Accent 3"/>
    <w:basedOn w:val="154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1581">
    <w:name w:val="Grid Table 2 - Accent 4"/>
    <w:basedOn w:val="154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1582">
    <w:name w:val="Grid Table 2 - Accent 5"/>
    <w:basedOn w:val="154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1583">
    <w:name w:val="Grid Table 2 - Accent 6"/>
    <w:basedOn w:val="154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1584">
    <w:name w:val="Grid Table 3"/>
    <w:basedOn w:val="154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85">
    <w:name w:val="Grid Table 3 - Accent 1"/>
    <w:basedOn w:val="154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86">
    <w:name w:val="Grid Table 3 - Accent 2"/>
    <w:basedOn w:val="154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87">
    <w:name w:val="Grid Table 3 - Accent 3"/>
    <w:basedOn w:val="154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88">
    <w:name w:val="Grid Table 3 - Accent 4"/>
    <w:basedOn w:val="154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89">
    <w:name w:val="Grid Table 3 - Accent 5"/>
    <w:basedOn w:val="154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90">
    <w:name w:val="Grid Table 3 - Accent 6"/>
    <w:basedOn w:val="154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91">
    <w:name w:val="Grid Table 4"/>
    <w:basedOn w:val="154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1592">
    <w:name w:val="Grid Table 4 - Accent 1"/>
    <w:basedOn w:val="154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1593">
    <w:name w:val="Grid Table 4 - Accent 2"/>
    <w:basedOn w:val="154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1594">
    <w:name w:val="Grid Table 4 - Accent 3"/>
    <w:basedOn w:val="154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1595">
    <w:name w:val="Grid Table 4 - Accent 4"/>
    <w:basedOn w:val="154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1596">
    <w:name w:val="Grid Table 4 - Accent 5"/>
    <w:basedOn w:val="154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1597">
    <w:name w:val="Grid Table 4 - Accent 6"/>
    <w:basedOn w:val="154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1598">
    <w:name w:val="Grid Table 5 Dark"/>
    <w:basedOn w:val="15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1599">
    <w:name w:val="Grid Table 5 Dark- Accent 1"/>
    <w:basedOn w:val="15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1600">
    <w:name w:val="Grid Table 5 Dark - Accent 2"/>
    <w:basedOn w:val="15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1601">
    <w:name w:val="Grid Table 5 Dark - Accent 3"/>
    <w:basedOn w:val="15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1602">
    <w:name w:val="Grid Table 5 Dark- Accent 4"/>
    <w:basedOn w:val="15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1603">
    <w:name w:val="Grid Table 5 Dark - Accent 5"/>
    <w:basedOn w:val="15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1604">
    <w:name w:val="Grid Table 5 Dark - Accent 6"/>
    <w:basedOn w:val="154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1605">
    <w:name w:val="Grid Table 6 Colorful"/>
    <w:basedOn w:val="154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606">
    <w:name w:val="Grid Table 6 Colorful - Accent 1"/>
    <w:basedOn w:val="154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1607">
    <w:name w:val="Grid Table 6 Colorful - Accent 2"/>
    <w:basedOn w:val="154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608">
    <w:name w:val="Grid Table 6 Colorful - Accent 3"/>
    <w:basedOn w:val="154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609">
    <w:name w:val="Grid Table 6 Colorful - Accent 4"/>
    <w:basedOn w:val="154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610">
    <w:name w:val="Grid Table 6 Colorful - Accent 5"/>
    <w:basedOn w:val="154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611">
    <w:name w:val="Grid Table 6 Colorful - Accent 6"/>
    <w:basedOn w:val="154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612">
    <w:name w:val="Grid Table 7 Colorful"/>
    <w:basedOn w:val="154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1613">
    <w:name w:val="Grid Table 7 Colorful - Accent 1"/>
    <w:basedOn w:val="154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1614">
    <w:name w:val="Grid Table 7 Colorful - Accent 2"/>
    <w:basedOn w:val="154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1615">
    <w:name w:val="Grid Table 7 Colorful - Accent 3"/>
    <w:basedOn w:val="154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1616">
    <w:name w:val="Grid Table 7 Colorful - Accent 4"/>
    <w:basedOn w:val="154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1617">
    <w:name w:val="Grid Table 7 Colorful - Accent 5"/>
    <w:basedOn w:val="154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1618">
    <w:name w:val="Grid Table 7 Colorful - Accent 6"/>
    <w:basedOn w:val="154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1619">
    <w:name w:val="List Table 1 Light"/>
    <w:basedOn w:val="1547"/>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620">
    <w:name w:val="List Table 1 Light - Accent 1"/>
    <w:basedOn w:val="1547"/>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621">
    <w:name w:val="List Table 1 Light - Accent 2"/>
    <w:basedOn w:val="1547"/>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622">
    <w:name w:val="List Table 1 Light - Accent 3"/>
    <w:basedOn w:val="1547"/>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623">
    <w:name w:val="List Table 1 Light - Accent 4"/>
    <w:basedOn w:val="1547"/>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624">
    <w:name w:val="List Table 1 Light - Accent 5"/>
    <w:basedOn w:val="1547"/>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625">
    <w:name w:val="List Table 1 Light - Accent 6"/>
    <w:basedOn w:val="1547"/>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626">
    <w:name w:val="List Table 2"/>
    <w:basedOn w:val="154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627">
    <w:name w:val="List Table 2 - Accent 1"/>
    <w:basedOn w:val="154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628">
    <w:name w:val="List Table 2 - Accent 2"/>
    <w:basedOn w:val="154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629">
    <w:name w:val="List Table 2 - Accent 3"/>
    <w:basedOn w:val="154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630">
    <w:name w:val="List Table 2 - Accent 4"/>
    <w:basedOn w:val="154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631">
    <w:name w:val="List Table 2 - Accent 5"/>
    <w:basedOn w:val="154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632">
    <w:name w:val="List Table 2 - Accent 6"/>
    <w:basedOn w:val="154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633">
    <w:name w:val="List Table 3"/>
    <w:basedOn w:val="154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634">
    <w:name w:val="List Table 3 - Accent 1"/>
    <w:basedOn w:val="154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635">
    <w:name w:val="List Table 3 - Accent 2"/>
    <w:basedOn w:val="154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636">
    <w:name w:val="List Table 3 - Accent 3"/>
    <w:basedOn w:val="154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637">
    <w:name w:val="List Table 3 - Accent 4"/>
    <w:basedOn w:val="154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638">
    <w:name w:val="List Table 3 - Accent 5"/>
    <w:basedOn w:val="154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639">
    <w:name w:val="List Table 3 - Accent 6"/>
    <w:basedOn w:val="154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640">
    <w:name w:val="List Table 4"/>
    <w:basedOn w:val="154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641">
    <w:name w:val="List Table 4 - Accent 1"/>
    <w:basedOn w:val="154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642">
    <w:name w:val="List Table 4 - Accent 2"/>
    <w:basedOn w:val="154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643">
    <w:name w:val="List Table 4 - Accent 3"/>
    <w:basedOn w:val="154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644">
    <w:name w:val="List Table 4 - Accent 4"/>
    <w:basedOn w:val="154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645">
    <w:name w:val="List Table 4 - Accent 5"/>
    <w:basedOn w:val="154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646">
    <w:name w:val="List Table 4 - Accent 6"/>
    <w:basedOn w:val="154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647">
    <w:name w:val="List Table 5 Dark"/>
    <w:basedOn w:val="154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48">
    <w:name w:val="List Table 5 Dark - Accent 1"/>
    <w:basedOn w:val="154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49">
    <w:name w:val="List Table 5 Dark - Accent 2"/>
    <w:basedOn w:val="154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50">
    <w:name w:val="List Table 5 Dark - Accent 3"/>
    <w:basedOn w:val="154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51">
    <w:name w:val="List Table 5 Dark - Accent 4"/>
    <w:basedOn w:val="154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52">
    <w:name w:val="List Table 5 Dark - Accent 5"/>
    <w:basedOn w:val="154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53">
    <w:name w:val="List Table 5 Dark - Accent 6"/>
    <w:basedOn w:val="154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54">
    <w:name w:val="List Table 6 Colorful"/>
    <w:basedOn w:val="154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655">
    <w:name w:val="List Table 6 Colorful - Accent 1"/>
    <w:basedOn w:val="154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656">
    <w:name w:val="List Table 6 Colorful - Accent 2"/>
    <w:basedOn w:val="154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657">
    <w:name w:val="List Table 6 Colorful - Accent 3"/>
    <w:basedOn w:val="154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658">
    <w:name w:val="List Table 6 Colorful - Accent 4"/>
    <w:basedOn w:val="154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659">
    <w:name w:val="List Table 6 Colorful - Accent 5"/>
    <w:basedOn w:val="154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660">
    <w:name w:val="List Table 6 Colorful - Accent 6"/>
    <w:basedOn w:val="154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661">
    <w:name w:val="List Table 7 Colorful"/>
    <w:basedOn w:val="154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1662">
    <w:name w:val="List Table 7 Colorful - Accent 1"/>
    <w:basedOn w:val="154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1663">
    <w:name w:val="List Table 7 Colorful - Accent 2"/>
    <w:basedOn w:val="154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1664">
    <w:name w:val="List Table 7 Colorful - Accent 3"/>
    <w:basedOn w:val="154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1665">
    <w:name w:val="List Table 7 Colorful - Accent 4"/>
    <w:basedOn w:val="154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1666">
    <w:name w:val="List Table 7 Colorful - Accent 5"/>
    <w:basedOn w:val="154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1667">
    <w:name w:val="List Table 7 Colorful - Accent 6"/>
    <w:basedOn w:val="154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1668">
    <w:name w:val="Lined - Accent"/>
    <w:basedOn w:val="15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669">
    <w:name w:val="Lined - Accent 1"/>
    <w:basedOn w:val="15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70">
    <w:name w:val="Lined - Accent 2"/>
    <w:basedOn w:val="15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71">
    <w:name w:val="Lined - Accent 3"/>
    <w:basedOn w:val="15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72">
    <w:name w:val="Lined - Accent 4"/>
    <w:basedOn w:val="15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73">
    <w:name w:val="Lined - Accent 5"/>
    <w:basedOn w:val="15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74">
    <w:name w:val="Lined - Accent 6"/>
    <w:basedOn w:val="154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75">
    <w:name w:val="Bordered &amp; Lined - Accent"/>
    <w:basedOn w:val="154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676">
    <w:name w:val="Bordered &amp; Lined - Accent 1"/>
    <w:basedOn w:val="154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77">
    <w:name w:val="Bordered &amp; Lined - Accent 2"/>
    <w:basedOn w:val="154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78">
    <w:name w:val="Bordered &amp; Lined - Accent 3"/>
    <w:basedOn w:val="154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79">
    <w:name w:val="Bordered &amp; Lined - Accent 4"/>
    <w:basedOn w:val="154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80">
    <w:name w:val="Bordered &amp; Lined - Accent 5"/>
    <w:basedOn w:val="154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81">
    <w:name w:val="Bordered &amp; Lined - Accent 6"/>
    <w:basedOn w:val="154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82">
    <w:name w:val="Bordered"/>
    <w:basedOn w:val="154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83">
    <w:name w:val="Bordered - Accent 1"/>
    <w:basedOn w:val="154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84">
    <w:name w:val="Bordered - Accent 2"/>
    <w:basedOn w:val="154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5">
    <w:name w:val="Bordered - Accent 3"/>
    <w:basedOn w:val="154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86">
    <w:name w:val="Bordered - Accent 4"/>
    <w:basedOn w:val="154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7">
    <w:name w:val="Bordered - Accent 5"/>
    <w:basedOn w:val="154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88">
    <w:name w:val="Bordered - Accent 6"/>
    <w:basedOn w:val="154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689">
    <w:name w:val="Hyperlink"/>
    <w:uiPriority w:val="99"/>
    <w:unhideWhenUsed/>
    <w:rPr>
      <w:color w:val="0000FF" w:themeColor="hyperlink"/>
      <w:u w:val="single"/>
    </w:rPr>
  </w:style>
  <w:style w:type="paragraph" w:styleId="1690">
    <w:name w:val="footnote text"/>
    <w:basedOn w:val="1525"/>
    <w:link w:val="1691"/>
    <w:uiPriority w:val="99"/>
    <w:semiHidden/>
    <w:unhideWhenUsed/>
    <w:rPr>
      <w:sz w:val="18"/>
    </w:rPr>
    <w:pPr>
      <w:spacing w:lineRule="auto" w:line="240" w:after="40"/>
    </w:pPr>
  </w:style>
  <w:style w:type="character" w:styleId="1691">
    <w:name w:val="Footnote Text Char"/>
    <w:link w:val="1690"/>
    <w:uiPriority w:val="99"/>
    <w:rPr>
      <w:sz w:val="18"/>
    </w:rPr>
  </w:style>
  <w:style w:type="character" w:styleId="1692">
    <w:name w:val="footnote reference"/>
    <w:basedOn w:val="1526"/>
    <w:uiPriority w:val="99"/>
    <w:unhideWhenUsed/>
    <w:rPr>
      <w:vertAlign w:val="superscript"/>
    </w:rPr>
  </w:style>
  <w:style w:type="paragraph" w:styleId="1693">
    <w:name w:val="endnote text"/>
    <w:basedOn w:val="1525"/>
    <w:link w:val="1694"/>
    <w:uiPriority w:val="99"/>
    <w:semiHidden/>
    <w:unhideWhenUsed/>
    <w:rPr>
      <w:sz w:val="20"/>
    </w:rPr>
    <w:pPr>
      <w:spacing w:lineRule="auto" w:line="240" w:after="0"/>
    </w:pPr>
  </w:style>
  <w:style w:type="character" w:styleId="1694">
    <w:name w:val="Endnote Text Char"/>
    <w:link w:val="1693"/>
    <w:uiPriority w:val="99"/>
    <w:rPr>
      <w:sz w:val="20"/>
    </w:rPr>
  </w:style>
  <w:style w:type="character" w:styleId="1695">
    <w:name w:val="endnote reference"/>
    <w:basedOn w:val="1526"/>
    <w:uiPriority w:val="99"/>
    <w:semiHidden/>
    <w:unhideWhenUsed/>
    <w:rPr>
      <w:vertAlign w:val="superscript"/>
    </w:rPr>
  </w:style>
  <w:style w:type="paragraph" w:styleId="1696">
    <w:name w:val="toc 1"/>
    <w:basedOn w:val="1525"/>
    <w:next w:val="1525"/>
    <w:uiPriority w:val="39"/>
    <w:unhideWhenUsed/>
    <w:pPr>
      <w:ind w:left="0" w:right="0" w:firstLine="0"/>
      <w:spacing w:after="57"/>
    </w:pPr>
  </w:style>
  <w:style w:type="paragraph" w:styleId="1697">
    <w:name w:val="toc 2"/>
    <w:basedOn w:val="1525"/>
    <w:next w:val="1525"/>
    <w:uiPriority w:val="39"/>
    <w:unhideWhenUsed/>
    <w:pPr>
      <w:ind w:left="283" w:right="0" w:firstLine="0"/>
      <w:spacing w:after="57"/>
    </w:pPr>
  </w:style>
  <w:style w:type="paragraph" w:styleId="1698">
    <w:name w:val="toc 3"/>
    <w:basedOn w:val="1525"/>
    <w:next w:val="1525"/>
    <w:uiPriority w:val="39"/>
    <w:unhideWhenUsed/>
    <w:pPr>
      <w:ind w:left="567" w:right="0" w:firstLine="0"/>
      <w:spacing w:after="57"/>
    </w:pPr>
  </w:style>
  <w:style w:type="paragraph" w:styleId="1699">
    <w:name w:val="toc 4"/>
    <w:basedOn w:val="1525"/>
    <w:next w:val="1525"/>
    <w:uiPriority w:val="39"/>
    <w:unhideWhenUsed/>
    <w:pPr>
      <w:ind w:left="850" w:right="0" w:firstLine="0"/>
      <w:spacing w:after="57"/>
    </w:pPr>
  </w:style>
  <w:style w:type="paragraph" w:styleId="1700">
    <w:name w:val="toc 5"/>
    <w:basedOn w:val="1525"/>
    <w:next w:val="1525"/>
    <w:uiPriority w:val="39"/>
    <w:unhideWhenUsed/>
    <w:pPr>
      <w:ind w:left="1134" w:right="0" w:firstLine="0"/>
      <w:spacing w:after="57"/>
    </w:pPr>
  </w:style>
  <w:style w:type="paragraph" w:styleId="1701">
    <w:name w:val="toc 6"/>
    <w:basedOn w:val="1525"/>
    <w:next w:val="1525"/>
    <w:uiPriority w:val="39"/>
    <w:unhideWhenUsed/>
    <w:pPr>
      <w:ind w:left="1417" w:right="0" w:firstLine="0"/>
      <w:spacing w:after="57"/>
    </w:pPr>
  </w:style>
  <w:style w:type="paragraph" w:styleId="1702">
    <w:name w:val="toc 7"/>
    <w:basedOn w:val="1525"/>
    <w:next w:val="1525"/>
    <w:uiPriority w:val="39"/>
    <w:unhideWhenUsed/>
    <w:pPr>
      <w:ind w:left="1701" w:right="0" w:firstLine="0"/>
      <w:spacing w:after="57"/>
    </w:pPr>
  </w:style>
  <w:style w:type="paragraph" w:styleId="1703">
    <w:name w:val="toc 8"/>
    <w:basedOn w:val="1525"/>
    <w:next w:val="1525"/>
    <w:uiPriority w:val="39"/>
    <w:unhideWhenUsed/>
    <w:pPr>
      <w:ind w:left="1984" w:right="0" w:firstLine="0"/>
      <w:spacing w:after="57"/>
    </w:pPr>
  </w:style>
  <w:style w:type="paragraph" w:styleId="1704">
    <w:name w:val="toc 9"/>
    <w:basedOn w:val="1525"/>
    <w:next w:val="1525"/>
    <w:uiPriority w:val="39"/>
    <w:unhideWhenUsed/>
    <w:pPr>
      <w:ind w:left="2268" w:right="0" w:firstLine="0"/>
      <w:spacing w:after="57"/>
    </w:pPr>
  </w:style>
  <w:style w:type="paragraph" w:styleId="1705">
    <w:name w:val="TOC Heading"/>
    <w:uiPriority w:val="39"/>
    <w:unhideWhenUsed/>
  </w:style>
  <w:style w:type="paragraph" w:styleId="1706">
    <w:name w:val="table of figures"/>
    <w:basedOn w:val="1525"/>
    <w:next w:val="1525"/>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LibreOffice/7.2.7.2$Windows_X86_64 LibreOffice_project/8d71d29d553c0f7dcbfa38fbfda25ee34cce99a2</Application>
  <AppVersion>15.0000</AppVersion>
  <Pages>14</Pages>
  <Words>4080</Words>
  <Characters>18695</Characters>
  <CharactersWithSpaces>21338</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description/>
  <dc:language>fr-FR</dc:language>
  <cp:lastModifiedBy/>
  <dcterms:modified xsi:type="dcterms:W3CDTF">2023-02-28T11:38:18Z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