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160"/>
        <w:rPr>
          <w:b/>
          <w:b/>
          <w:bCs/>
          <w:color w:val="000000"/>
          <w:szCs w:val="20"/>
          <w:u w:val="single"/>
        </w:rPr>
      </w:pPr>
      <w:r>
        <w:rPr>
          <w:b/>
          <w:bCs/>
          <w:color w:val="000000"/>
          <w:szCs w:val="20"/>
          <w:u w:val="single"/>
        </w:rPr>
        <w:drawing>
          <wp:anchor behindDoc="0" distT="0" distB="0" distL="0" distR="0" simplePos="0" locked="0" layoutInCell="0" allowOverlap="1" relativeHeight="2">
            <wp:simplePos x="0" y="0"/>
            <wp:positionH relativeFrom="column">
              <wp:posOffset>1901190</wp:posOffset>
            </wp:positionH>
            <wp:positionV relativeFrom="paragraph">
              <wp:posOffset>40005</wp:posOffset>
            </wp:positionV>
            <wp:extent cx="1527810" cy="1004570"/>
            <wp:effectExtent l="0" t="0" r="0" b="0"/>
            <wp:wrapSquare wrapText="bothSides"/>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527810" cy="1004570"/>
                    </a:xfrm>
                    <a:prstGeom prst="rect">
                      <a:avLst/>
                    </a:prstGeom>
                  </pic:spPr>
                </pic:pic>
              </a:graphicData>
            </a:graphic>
          </wp:anchor>
        </w:drawing>
      </w:r>
    </w:p>
    <w:p>
      <w:pPr>
        <w:pStyle w:val="Standard"/>
        <w:rPr>
          <w:b/>
          <w:b/>
          <w:bCs/>
          <w:color w:val="000000"/>
          <w:szCs w:val="20"/>
          <w:u w:val="single"/>
        </w:rPr>
      </w:pPr>
      <w:r>
        <w:rPr>
          <w:b/>
          <w:bCs/>
          <w:color w:val="000000"/>
          <w:szCs w:val="20"/>
          <w:u w:val="single"/>
        </w:rPr>
      </w:r>
    </w:p>
    <w:p>
      <w:pPr>
        <w:pStyle w:val="Standard"/>
        <w:rPr>
          <w:b/>
          <w:b/>
          <w:bCs/>
          <w:color w:val="000000"/>
          <w:szCs w:val="20"/>
          <w:u w:val="single"/>
        </w:rPr>
      </w:pPr>
      <w:r>
        <w:rPr>
          <w:b/>
          <w:bCs/>
          <w:color w:val="000000"/>
          <w:szCs w:val="20"/>
          <w:u w:val="single"/>
        </w:rPr>
      </w:r>
    </w:p>
    <w:p>
      <w:pPr>
        <w:pStyle w:val="Standard"/>
        <w:jc w:val="center"/>
        <w:rPr>
          <w:color w:val="4472C4"/>
          <w:sz w:val="36"/>
          <w:szCs w:val="36"/>
        </w:rPr>
      </w:pPr>
      <w:r>
        <w:rPr>
          <w:color w:val="4472C4"/>
          <w:sz w:val="36"/>
          <w:szCs w:val="36"/>
        </w:rPr>
      </w:r>
    </w:p>
    <w:p>
      <w:pPr>
        <w:pStyle w:val="Standard"/>
        <w:jc w:val="center"/>
        <w:rPr>
          <w:sz w:val="36"/>
          <w:szCs w:val="36"/>
        </w:rPr>
      </w:pPr>
      <w:r>
        <w:rPr>
          <w:color w:val="4472C4" w:themeColor="accent1"/>
          <w:sz w:val="36"/>
          <w:szCs w:val="36"/>
        </w:rPr>
        <w:t>Mairie de Marseille</w:t>
      </w:r>
    </w:p>
    <w:p>
      <w:pPr>
        <w:pStyle w:val="Standard"/>
        <w:jc w:val="center"/>
        <w:rPr/>
      </w:pPr>
      <w:r>
        <w:rPr>
          <w:color w:val="4472C4" w:themeColor="accent1"/>
          <w:sz w:val="36"/>
          <w:szCs w:val="36"/>
        </w:rPr>
        <w:t>MISSION JO ET GRANDS EVENEMENTS</w:t>
      </w:r>
    </w:p>
    <w:p>
      <w:pPr>
        <w:pStyle w:val="Standard"/>
        <w:rPr>
          <w:szCs w:val="20"/>
        </w:rPr>
      </w:pPr>
      <w:r>
        <w:rPr>
          <w:szCs w:val="20"/>
        </w:rPr>
      </w:r>
    </w:p>
    <w:p>
      <w:pPr>
        <w:pStyle w:val="Titre11"/>
        <w:jc w:val="left"/>
        <w:rPr>
          <w:color w:val="5B9BD5"/>
          <w:sz w:val="44"/>
          <w:szCs w:val="44"/>
          <w:highlight w:val="white"/>
        </w:rPr>
      </w:pPr>
      <w:r>
        <w:rPr>
          <w:color w:val="5B9BD5"/>
          <w:sz w:val="44"/>
          <w:szCs w:val="44"/>
          <w:highlight w:val="white"/>
        </w:rPr>
      </w:r>
    </w:p>
    <w:p>
      <w:pPr>
        <w:pStyle w:val="Titre11"/>
        <w:rPr/>
      </w:pPr>
      <w:r>
        <w:rPr>
          <w:rFonts w:cs="Arial"/>
          <w:color w:val="5B9BD5" w:themeColor="accent5"/>
          <w:sz w:val="44"/>
          <w:szCs w:val="44"/>
          <w:shd w:fill="FFFFFF" w:val="clear"/>
        </w:rPr>
        <w:t>Cahier des clauses administratives particulières</w:t>
      </w:r>
    </w:p>
    <w:p>
      <w:pPr>
        <w:pStyle w:val="Titre11"/>
        <w:jc w:val="left"/>
        <w:rPr>
          <w:color w:val="5B9BD5"/>
          <w:sz w:val="44"/>
          <w:szCs w:val="44"/>
          <w:highlight w:val="white"/>
        </w:rPr>
      </w:pPr>
      <w:r>
        <w:rPr>
          <w:color w:val="5B9BD5"/>
          <w:sz w:val="44"/>
          <w:szCs w:val="44"/>
          <w:highlight w:val="white"/>
        </w:rPr>
      </w:r>
    </w:p>
    <w:p>
      <w:pPr>
        <w:pStyle w:val="Standard"/>
        <w:rPr>
          <w:szCs w:val="20"/>
        </w:rPr>
      </w:pPr>
      <w:r>
        <w:rPr>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Normal"/>
        <w:pBdr>
          <w:top w:val="single" w:sz="18" w:space="1" w:color="000001"/>
          <w:left w:val="single" w:sz="18" w:space="4" w:color="000001"/>
          <w:bottom w:val="single" w:sz="18" w:space="1" w:color="000001"/>
          <w:right w:val="single" w:sz="18" w:space="16" w:color="000001"/>
        </w:pBdr>
        <w:shd w:val="clear" w:color="auto" w:fill="FFFFFF"/>
        <w:suppressAutoHyphens w:val="true"/>
        <w:spacing w:lineRule="auto" w:line="240" w:before="0" w:after="0"/>
        <w:jc w:val="center"/>
        <w:rPr>
          <w:rFonts w:ascii="Arial" w:hAnsi="Arial" w:eastAsia="simsun, 宋体" w:cs="Times New Roman"/>
          <w:b/>
          <w:b/>
          <w:color w:val="00000A"/>
          <w:sz w:val="40"/>
          <w:szCs w:val="24"/>
          <w:lang w:eastAsia="zh-CN" w:bidi="ar-SA"/>
        </w:rPr>
      </w:pPr>
      <w:r>
        <w:rPr>
          <w:rFonts w:eastAsia="simsun, 宋体" w:cs="Arial" w:ascii="Arial" w:hAnsi="Arial"/>
          <w:b/>
          <w:color w:val="5B9BD5"/>
          <w:sz w:val="36"/>
          <w:szCs w:val="36"/>
          <w:shd w:fill="FFFFFF" w:val="clear"/>
          <w:lang w:eastAsia="zh-CN" w:bidi="ar-SA"/>
        </w:rPr>
        <w:t>Prestations de conception, aménagement et exploitation des zones de célébrations Rugby de Marseille – 2 Lots</w:t>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Standard"/>
        <w:rPr>
          <w:szCs w:val="20"/>
        </w:rPr>
      </w:pPr>
      <w:r>
        <w:rPr>
          <w:szCs w:val="20"/>
        </w:rPr>
      </w:r>
    </w:p>
    <w:p>
      <w:pPr>
        <w:pStyle w:val="Standard"/>
        <w:rPr>
          <w:szCs w:val="20"/>
        </w:rPr>
      </w:pPr>
      <w:r>
        <w:rPr>
          <w:szCs w:val="20"/>
        </w:rPr>
      </w:r>
    </w:p>
    <w:p>
      <w:pPr>
        <w:pStyle w:val="Standard"/>
        <w:tabs>
          <w:tab w:val="clear" w:pos="706"/>
          <w:tab w:val="left" w:pos="3600" w:leader="none"/>
        </w:tabs>
        <w:ind w:left="3600" w:hanging="3600"/>
        <w:rPr>
          <w:sz w:val="24"/>
        </w:rPr>
      </w:pPr>
      <w:r>
        <w:rPr>
          <w:b/>
          <w:bCs/>
          <w:color w:val="000000"/>
          <w:sz w:val="24"/>
          <w:u w:val="single"/>
        </w:rPr>
        <w:t>Numéro de la consultation :</w:t>
      </w:r>
      <w:r>
        <w:rPr>
          <w:color w:val="4472C4" w:themeColor="accent1"/>
          <w:sz w:val="24"/>
        </w:rPr>
        <w:t xml:space="preserve"> </w:t>
      </w:r>
      <w:bookmarkStart w:id="0" w:name="__DdeLink__57_1273219247"/>
      <w:bookmarkEnd w:id="0"/>
      <w:r>
        <w:rPr>
          <w:color w:val="4472C4" w:themeColor="accent1"/>
          <w:sz w:val="24"/>
        </w:rPr>
        <w:t>23_0159</w:t>
      </w:r>
    </w:p>
    <w:p>
      <w:pPr>
        <w:pStyle w:val="Standard"/>
        <w:rPr>
          <w:color w:val="000000"/>
          <w:sz w:val="24"/>
        </w:rPr>
      </w:pPr>
      <w:r>
        <w:rPr>
          <w:color w:val="000000"/>
          <w:sz w:val="24"/>
        </w:rPr>
      </w:r>
    </w:p>
    <w:p>
      <w:pPr>
        <w:pStyle w:val="Standard"/>
        <w:tabs>
          <w:tab w:val="clear" w:pos="706"/>
          <w:tab w:val="left" w:pos="3600" w:leader="none"/>
        </w:tabs>
        <w:ind w:left="3600" w:hanging="3600"/>
        <w:rPr>
          <w:rFonts w:eastAsia="andale sans ui" w:cs="Tahoma"/>
          <w:szCs w:val="24"/>
        </w:rPr>
      </w:pPr>
      <w:r>
        <w:rPr>
          <w:b/>
          <w:bCs/>
          <w:color w:val="000000"/>
          <w:sz w:val="24"/>
          <w:u w:val="single"/>
        </w:rPr>
        <w:t>Procédure de passation :</w:t>
      </w:r>
      <w:r>
        <w:rPr>
          <w:color w:val="4472C4" w:themeColor="accent1"/>
          <w:sz w:val="24"/>
        </w:rPr>
        <w:t xml:space="preserve"> </w:t>
      </w:r>
      <w:r>
        <w:rPr>
          <w:rFonts w:eastAsia="andale sans ui"/>
          <w:color w:val="4472C4"/>
          <w:sz w:val="24"/>
          <w:szCs w:val="24"/>
        </w:rPr>
        <w:t>MAPA services sociaux et spécifiques</w:t>
      </w:r>
    </w:p>
    <w:p>
      <w:pPr>
        <w:pStyle w:val="Standard"/>
        <w:tabs>
          <w:tab w:val="clear" w:pos="706"/>
          <w:tab w:val="left" w:pos="3600" w:leader="none"/>
        </w:tabs>
        <w:ind w:left="3600" w:hanging="3600"/>
        <w:rPr>
          <w:sz w:val="24"/>
        </w:rPr>
      </w:pPr>
      <w:r>
        <w:rPr>
          <w:sz w:val="24"/>
        </w:rPr>
      </w:r>
    </w:p>
    <w:p>
      <w:pPr>
        <w:pStyle w:val="Standard"/>
        <w:tabs>
          <w:tab w:val="clear" w:pos="706"/>
          <w:tab w:val="left" w:pos="3600" w:leader="none"/>
        </w:tabs>
        <w:rPr>
          <w:b/>
          <w:b/>
          <w:color w:val="000000"/>
          <w:sz w:val="24"/>
          <w:u w:val="single"/>
        </w:rPr>
      </w:pPr>
      <w:r>
        <w:rPr>
          <w:b/>
          <w:color w:val="000000"/>
          <w:sz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tabs>
          <w:tab w:val="clear" w:pos="706"/>
          <w:tab w:val="left" w:pos="3600" w:leader="none"/>
        </w:tabs>
        <w:ind w:left="3600" w:hanging="3600"/>
        <w:rPr>
          <w:color w:val="000000"/>
          <w:szCs w:val="20"/>
        </w:rPr>
      </w:pPr>
      <w:r>
        <w:rPr>
          <w:color w:val="000000"/>
          <w:szCs w:val="20"/>
        </w:rPr>
      </w:r>
    </w:p>
    <w:p>
      <w:pPr>
        <w:pStyle w:val="Standard"/>
        <w:tabs>
          <w:tab w:val="clear" w:pos="706"/>
          <w:tab w:val="left" w:pos="3600" w:leader="none"/>
        </w:tabs>
        <w:ind w:left="3600" w:hanging="3600"/>
        <w:rPr>
          <w:color w:val="000000"/>
          <w:szCs w:val="20"/>
        </w:rPr>
      </w:pPr>
      <w:r>
        <w:rPr>
          <w:color w:val="000000"/>
          <w:szCs w:val="20"/>
        </w:rPr>
      </w:r>
    </w:p>
    <w:p>
      <w:pPr>
        <w:pStyle w:val="Standard"/>
        <w:tabs>
          <w:tab w:val="clear" w:pos="706"/>
          <w:tab w:val="left" w:pos="3600" w:leader="none"/>
        </w:tabs>
        <w:ind w:left="3600" w:hanging="3600"/>
        <w:rPr>
          <w:color w:val="000000"/>
          <w:szCs w:val="20"/>
        </w:rPr>
      </w:pPr>
      <w:r>
        <w:rPr>
          <w:color w:val="000000"/>
          <w:szCs w:val="20"/>
        </w:rPr>
      </w:r>
    </w:p>
    <w:sdt>
      <w:sdtPr>
        <w:docPartObj>
          <w:docPartGallery w:val="Table of Contents"/>
          <w:docPartUnique w:val="true"/>
        </w:docPartObj>
      </w:sdtPr>
      <w:sdtContent>
        <w:p>
          <w:pPr>
            <w:pStyle w:val="Titredetabledesmatires"/>
            <w:rPr/>
          </w:pPr>
          <w:r>
            <w:rPr/>
            <w:t>Table des matières</w:t>
          </w:r>
        </w:p>
        <w:p>
          <w:pPr>
            <w:pStyle w:val="Tabledesmatiresniveau1"/>
            <w:tabs>
              <w:tab w:val="clear" w:pos="9637"/>
              <w:tab w:val="right" w:pos="9072" w:leader="dot"/>
            </w:tabs>
            <w:rPr/>
          </w:pPr>
          <w:r>
            <w:fldChar w:fldCharType="begin"/>
          </w:r>
          <w:r>
            <w:rPr>
              <w:webHidden/>
              <w:rStyle w:val="Sautdindex"/>
              <w:vanish w:val="false"/>
            </w:rPr>
            <w:instrText> TOC \z \o "1-3" \u \h</w:instrText>
          </w:r>
          <w:r>
            <w:rPr>
              <w:webHidden/>
              <w:rStyle w:val="Sautdindex"/>
              <w:vanish w:val="false"/>
            </w:rPr>
            <w:fldChar w:fldCharType="separate"/>
          </w:r>
          <w:hyperlink w:anchor="__RefHeading___Toc10302_2418032983">
            <w:r>
              <w:rPr>
                <w:webHidden/>
                <w:rStyle w:val="Sautdindex"/>
                <w:vanish w:val="false"/>
              </w:rPr>
              <w:t>Article 1 -  OBJET ET DURÉE DU MARCHE</w:t>
              <w:tab/>
              <w:t>4</w:t>
            </w:r>
          </w:hyperlink>
        </w:p>
        <w:p>
          <w:pPr>
            <w:pStyle w:val="Tabledesmatiresniveau2"/>
            <w:tabs>
              <w:tab w:val="clear" w:pos="706"/>
              <w:tab w:val="right" w:pos="9072" w:leader="dot"/>
            </w:tabs>
            <w:rPr/>
          </w:pPr>
          <w:hyperlink w:anchor="__RefHeading___Toc10304_2418032983">
            <w:r>
              <w:rPr>
                <w:webHidden/>
                <w:rStyle w:val="Sautdindex"/>
                <w:vanish w:val="false"/>
              </w:rPr>
              <w:t xml:space="preserve">1.1  </w:t>
            </w:r>
            <w:r>
              <w:rPr>
                <w:rStyle w:val="Sautdindex"/>
                <w:iCs/>
              </w:rPr>
              <w:t>Intitulé et Objet des prestations</w:t>
            </w:r>
            <w:r>
              <w:rPr>
                <w:rStyle w:val="Sautdindex"/>
              </w:rPr>
              <w:tab/>
              <w:t>4</w:t>
            </w:r>
          </w:hyperlink>
        </w:p>
        <w:p>
          <w:pPr>
            <w:pStyle w:val="Tabledesmatiresniveau2"/>
            <w:tabs>
              <w:tab w:val="clear" w:pos="706"/>
              <w:tab w:val="right" w:pos="9072" w:leader="dot"/>
            </w:tabs>
            <w:rPr/>
          </w:pPr>
          <w:hyperlink w:anchor="__RefHeading___Toc10306_2418032983">
            <w:r>
              <w:rPr>
                <w:webHidden/>
                <w:rStyle w:val="Sautdindex"/>
                <w:vanish w:val="false"/>
              </w:rPr>
              <w:t xml:space="preserve">1.2  </w:t>
            </w:r>
            <w:r>
              <w:rPr>
                <w:rStyle w:val="Sautdindex"/>
                <w:iCs/>
              </w:rPr>
              <w:t>Procédure</w:t>
            </w:r>
            <w:r>
              <w:rPr>
                <w:rStyle w:val="Sautdindex"/>
              </w:rPr>
              <w:tab/>
              <w:t>4</w:t>
            </w:r>
          </w:hyperlink>
        </w:p>
        <w:p>
          <w:pPr>
            <w:pStyle w:val="Tabledesmatiresniveau2"/>
            <w:tabs>
              <w:tab w:val="clear" w:pos="706"/>
              <w:tab w:val="right" w:pos="9072" w:leader="dot"/>
            </w:tabs>
            <w:rPr/>
          </w:pPr>
          <w:hyperlink w:anchor="__RefHeading___Toc10308_2418032983">
            <w:r>
              <w:rPr>
                <w:webHidden/>
                <w:rStyle w:val="Sautdindex"/>
                <w:vanish w:val="false"/>
              </w:rPr>
              <w:t xml:space="preserve">1.3  </w:t>
            </w:r>
            <w:r>
              <w:rPr>
                <w:rStyle w:val="Sautdindex"/>
                <w:iCs/>
              </w:rPr>
              <w:t>Décomposition en Lots, Tranches et postes</w:t>
            </w:r>
            <w:r>
              <w:rPr>
                <w:rStyle w:val="Sautdindex"/>
              </w:rPr>
              <w:tab/>
              <w:t>4</w:t>
            </w:r>
          </w:hyperlink>
        </w:p>
        <w:p>
          <w:pPr>
            <w:pStyle w:val="Tabledesmatiresniveau3"/>
            <w:tabs>
              <w:tab w:val="clear" w:pos="9241"/>
              <w:tab w:val="right" w:pos="9072" w:leader="dot"/>
            </w:tabs>
            <w:rPr/>
          </w:pPr>
          <w:hyperlink w:anchor="__RefHeading___Toc10310_2418032983">
            <w:r>
              <w:rPr>
                <w:webHidden/>
                <w:rStyle w:val="Sautdindex"/>
                <w:vanish w:val="false"/>
              </w:rPr>
              <w:t>1.3.1  Décomposition en lots</w:t>
              <w:tab/>
              <w:t>4</w:t>
            </w:r>
          </w:hyperlink>
        </w:p>
        <w:p>
          <w:pPr>
            <w:pStyle w:val="Tabledesmatiresniveau3"/>
            <w:tabs>
              <w:tab w:val="clear" w:pos="9241"/>
              <w:tab w:val="right" w:pos="9072" w:leader="dot"/>
            </w:tabs>
            <w:rPr/>
          </w:pPr>
          <w:hyperlink w:anchor="__RefHeading___Toc10312_2418032983">
            <w:r>
              <w:rPr>
                <w:webHidden/>
                <w:rStyle w:val="Sautdindex"/>
                <w:vanish w:val="false"/>
              </w:rPr>
              <w:t>1.3.2  Décomposition en tranches</w:t>
              <w:tab/>
              <w:t>4</w:t>
            </w:r>
          </w:hyperlink>
        </w:p>
        <w:p>
          <w:pPr>
            <w:pStyle w:val="Tabledesmatiresniveau3"/>
            <w:tabs>
              <w:tab w:val="clear" w:pos="9241"/>
              <w:tab w:val="right" w:pos="9072" w:leader="dot"/>
            </w:tabs>
            <w:rPr/>
          </w:pPr>
          <w:hyperlink w:anchor="__RefHeading___Toc10314_2418032983">
            <w:r>
              <w:rPr>
                <w:webHidden/>
                <w:rStyle w:val="Sautdindex"/>
                <w:vanish w:val="false"/>
              </w:rPr>
              <w:t>1.3.3  Décomposition en postes</w:t>
              <w:tab/>
              <w:t>4</w:t>
            </w:r>
          </w:hyperlink>
        </w:p>
        <w:p>
          <w:pPr>
            <w:pStyle w:val="Tabledesmatiresniveau2"/>
            <w:tabs>
              <w:tab w:val="clear" w:pos="706"/>
              <w:tab w:val="right" w:pos="9072" w:leader="dot"/>
            </w:tabs>
            <w:rPr/>
          </w:pPr>
          <w:hyperlink w:anchor="__RefHeading___Toc10316_2418032983">
            <w:r>
              <w:rPr>
                <w:webHidden/>
                <w:rStyle w:val="Sautdindex"/>
                <w:vanish w:val="false"/>
              </w:rPr>
              <w:t xml:space="preserve">1.4  </w:t>
            </w:r>
            <w:r>
              <w:rPr>
                <w:rStyle w:val="Sautdindex"/>
                <w:iCs/>
              </w:rPr>
              <w:t>Modalités d'exécution des tranches optionnelles</w:t>
            </w:r>
            <w:r>
              <w:rPr>
                <w:rStyle w:val="Sautdindex"/>
              </w:rPr>
              <w:tab/>
              <w:t>4</w:t>
            </w:r>
          </w:hyperlink>
        </w:p>
        <w:p>
          <w:pPr>
            <w:pStyle w:val="Tabledesmatiresniveau2"/>
            <w:tabs>
              <w:tab w:val="clear" w:pos="706"/>
              <w:tab w:val="right" w:pos="9072" w:leader="dot"/>
            </w:tabs>
            <w:rPr/>
          </w:pPr>
          <w:hyperlink w:anchor="__RefHeading___Toc10318_2418032983">
            <w:r>
              <w:rPr>
                <w:webHidden/>
                <w:rStyle w:val="Sautdindex"/>
                <w:vanish w:val="false"/>
              </w:rPr>
              <w:t xml:space="preserve">1.5  </w:t>
            </w:r>
            <w:r>
              <w:rPr>
                <w:rStyle w:val="Sautdindex"/>
                <w:iCs/>
              </w:rPr>
              <w:t>Accord-cadre à bons de commande</w:t>
            </w:r>
            <w:r>
              <w:rPr>
                <w:rStyle w:val="Sautdindex"/>
              </w:rPr>
              <w:tab/>
              <w:t>5</w:t>
            </w:r>
          </w:hyperlink>
        </w:p>
        <w:p>
          <w:pPr>
            <w:pStyle w:val="Tabledesmatiresniveau2"/>
            <w:tabs>
              <w:tab w:val="clear" w:pos="706"/>
              <w:tab w:val="right" w:pos="9072" w:leader="dot"/>
            </w:tabs>
            <w:rPr/>
          </w:pPr>
          <w:hyperlink w:anchor="__RefHeading___Toc10320_2418032983">
            <w:r>
              <w:rPr>
                <w:webHidden/>
                <w:rStyle w:val="Sautdindex"/>
                <w:vanish w:val="false"/>
              </w:rPr>
              <w:t xml:space="preserve">1.6  </w:t>
            </w:r>
            <w:r>
              <w:rPr>
                <w:rStyle w:val="Sautdindex"/>
                <w:iCs/>
              </w:rPr>
              <w:t>Date d'effet du marché</w:t>
            </w:r>
            <w:r>
              <w:rPr>
                <w:rStyle w:val="Sautdindex"/>
              </w:rPr>
              <w:tab/>
              <w:t>5</w:t>
            </w:r>
          </w:hyperlink>
        </w:p>
        <w:p>
          <w:pPr>
            <w:pStyle w:val="Tabledesmatiresniveau2"/>
            <w:tabs>
              <w:tab w:val="clear" w:pos="706"/>
              <w:tab w:val="right" w:pos="9072" w:leader="dot"/>
            </w:tabs>
            <w:rPr/>
          </w:pPr>
          <w:hyperlink w:anchor="__RefHeading___Toc10322_2418032983">
            <w:r>
              <w:rPr>
                <w:webHidden/>
                <w:rStyle w:val="Sautdindex"/>
                <w:vanish w:val="false"/>
              </w:rPr>
              <w:t xml:space="preserve">1.7  </w:t>
            </w:r>
            <w:r>
              <w:rPr>
                <w:rStyle w:val="Sautdindex"/>
                <w:iCs/>
              </w:rPr>
              <w:t>Durée du marché - Période de validité</w:t>
            </w:r>
            <w:r>
              <w:rPr>
                <w:rStyle w:val="Sautdindex"/>
              </w:rPr>
              <w:tab/>
              <w:t>5</w:t>
            </w:r>
          </w:hyperlink>
        </w:p>
        <w:p>
          <w:pPr>
            <w:pStyle w:val="Tabledesmatiresniveau2"/>
            <w:tabs>
              <w:tab w:val="clear" w:pos="706"/>
              <w:tab w:val="right" w:pos="9072" w:leader="dot"/>
            </w:tabs>
            <w:rPr/>
          </w:pPr>
          <w:hyperlink w:anchor="__RefHeading___Toc10324_2418032983">
            <w:r>
              <w:rPr>
                <w:webHidden/>
                <w:rStyle w:val="Sautdindex"/>
                <w:vanish w:val="false"/>
              </w:rPr>
              <w:t xml:space="preserve">1.8  </w:t>
            </w:r>
            <w:r>
              <w:rPr>
                <w:rStyle w:val="Sautdindex"/>
                <w:iCs/>
              </w:rPr>
              <w:t>Clause obligatoire d'insertion par l'activité économique</w:t>
            </w:r>
            <w:r>
              <w:rPr>
                <w:rStyle w:val="Sautdindex"/>
              </w:rPr>
              <w:tab/>
              <w:t>5</w:t>
            </w:r>
          </w:hyperlink>
        </w:p>
        <w:p>
          <w:pPr>
            <w:pStyle w:val="Tabledesmatiresniveau3"/>
            <w:tabs>
              <w:tab w:val="clear" w:pos="9241"/>
              <w:tab w:val="right" w:pos="9072" w:leader="dot"/>
            </w:tabs>
            <w:rPr/>
          </w:pPr>
          <w:hyperlink w:anchor="__RefHeading___Toc10326_2418032983">
            <w:r>
              <w:rPr>
                <w:webHidden/>
                <w:rStyle w:val="Sautdindex"/>
                <w:vanish w:val="false"/>
              </w:rPr>
              <w:t>1.8.1   Insertion par l'activité économique</w:t>
              <w:tab/>
              <w:t>5</w:t>
            </w:r>
          </w:hyperlink>
        </w:p>
        <w:p>
          <w:pPr>
            <w:pStyle w:val="Tabledesmatiresniveau3"/>
            <w:tabs>
              <w:tab w:val="clear" w:pos="9241"/>
              <w:tab w:val="right" w:pos="9072" w:leader="dot"/>
            </w:tabs>
            <w:rPr/>
          </w:pPr>
          <w:hyperlink w:anchor="__RefHeading___Toc10328_2418032983">
            <w:r>
              <w:rPr>
                <w:webHidden/>
                <w:rStyle w:val="Sautdindex"/>
                <w:vanish w:val="false"/>
              </w:rPr>
              <w:t>1.8.2  Les publics visés</w:t>
              <w:tab/>
              <w:t>6</w:t>
            </w:r>
          </w:hyperlink>
        </w:p>
        <w:p>
          <w:pPr>
            <w:pStyle w:val="Tabledesmatiresniveau3"/>
            <w:tabs>
              <w:tab w:val="clear" w:pos="9241"/>
              <w:tab w:val="right" w:pos="9072" w:leader="dot"/>
            </w:tabs>
            <w:rPr/>
          </w:pPr>
          <w:hyperlink w:anchor="__RefHeading___Toc10330_2418032983">
            <w:r>
              <w:rPr>
                <w:webHidden/>
                <w:rStyle w:val="Sautdindex"/>
                <w:vanish w:val="false"/>
              </w:rPr>
              <w:t>1.8.3  Les choix de mise en œuvre</w:t>
              <w:tab/>
              <w:t>7</w:t>
            </w:r>
          </w:hyperlink>
        </w:p>
        <w:p>
          <w:pPr>
            <w:pStyle w:val="Tabledesmatiresniveau3"/>
            <w:tabs>
              <w:tab w:val="clear" w:pos="9241"/>
              <w:tab w:val="right" w:pos="9072" w:leader="dot"/>
            </w:tabs>
            <w:rPr/>
          </w:pPr>
          <w:hyperlink w:anchor="__RefHeading___Toc10332_2418032983">
            <w:r>
              <w:rPr>
                <w:webHidden/>
                <w:rStyle w:val="Sautdindex"/>
                <w:vanish w:val="false"/>
              </w:rPr>
              <w:t>1.8.4  Pénalités pour non-respect de l'engagement d'insertion par l'activité économique</w:t>
              <w:tab/>
              <w:t>7</w:t>
            </w:r>
          </w:hyperlink>
        </w:p>
        <w:p>
          <w:pPr>
            <w:pStyle w:val="Tabledesmatiresniveau3"/>
            <w:tabs>
              <w:tab w:val="clear" w:pos="9241"/>
              <w:tab w:val="right" w:pos="9072" w:leader="dot"/>
            </w:tabs>
            <w:rPr/>
          </w:pPr>
          <w:hyperlink w:anchor="__RefHeading___Toc10334_2418032983">
            <w:r>
              <w:rPr>
                <w:webHidden/>
                <w:rStyle w:val="Sautdindex"/>
                <w:vanish w:val="false"/>
              </w:rPr>
              <w:t>1.8.5  Réemploi, réutilisation ou intégration de matières recyclées</w:t>
              <w:tab/>
              <w:t>7</w:t>
            </w:r>
          </w:hyperlink>
        </w:p>
        <w:p>
          <w:pPr>
            <w:pStyle w:val="Tabledesmatiresniveau1"/>
            <w:tabs>
              <w:tab w:val="clear" w:pos="9637"/>
              <w:tab w:val="right" w:pos="9072" w:leader="dot"/>
            </w:tabs>
            <w:rPr/>
          </w:pPr>
          <w:hyperlink w:anchor="__RefHeading___Toc10336_2418032983">
            <w:r>
              <w:rPr>
                <w:webHidden/>
                <w:rStyle w:val="Sautdindex"/>
                <w:vanish w:val="false"/>
              </w:rPr>
              <w:t>Article 2 -  DOCUMENTS CONTRACTUELS</w:t>
              <w:tab/>
              <w:t>7</w:t>
            </w:r>
          </w:hyperlink>
        </w:p>
        <w:p>
          <w:pPr>
            <w:pStyle w:val="Tabledesmatiresniveau1"/>
            <w:tabs>
              <w:tab w:val="clear" w:pos="9637"/>
              <w:tab w:val="right" w:pos="9072" w:leader="dot"/>
            </w:tabs>
            <w:rPr/>
          </w:pPr>
          <w:hyperlink w:anchor="__RefHeading___Toc10338_2418032983">
            <w:r>
              <w:rPr>
                <w:webHidden/>
                <w:rStyle w:val="Sautdindex"/>
                <w:vanish w:val="false"/>
              </w:rPr>
              <w:t>Article 3 -  DÉLAIS DE LIVRAISON ET/OU D’EXÉCUTION</w:t>
              <w:tab/>
              <w:t>8</w:t>
            </w:r>
          </w:hyperlink>
        </w:p>
        <w:p>
          <w:pPr>
            <w:pStyle w:val="Tabledesmatiresniveau2"/>
            <w:tabs>
              <w:tab w:val="clear" w:pos="706"/>
              <w:tab w:val="right" w:pos="9072" w:leader="dot"/>
            </w:tabs>
            <w:rPr/>
          </w:pPr>
          <w:hyperlink w:anchor="__RefHeading___Toc10340_2418032983">
            <w:r>
              <w:rPr>
                <w:webHidden/>
                <w:rStyle w:val="Sautdindex"/>
                <w:vanish w:val="false"/>
              </w:rPr>
              <w:t xml:space="preserve">3.1  </w:t>
            </w:r>
            <w:r>
              <w:rPr>
                <w:rStyle w:val="Sautdindex"/>
                <w:iCs/>
              </w:rPr>
              <w:t>Délais d’exécutions</w:t>
            </w:r>
            <w:r>
              <w:rPr>
                <w:rStyle w:val="Sautdindex"/>
              </w:rPr>
              <w:tab/>
              <w:t>8</w:t>
            </w:r>
          </w:hyperlink>
        </w:p>
        <w:p>
          <w:pPr>
            <w:pStyle w:val="Tabledesmatiresniveau2"/>
            <w:tabs>
              <w:tab w:val="clear" w:pos="706"/>
              <w:tab w:val="right" w:pos="9072" w:leader="dot"/>
            </w:tabs>
            <w:rPr/>
          </w:pPr>
          <w:hyperlink w:anchor="__RefHeading___Toc10342_2418032983">
            <w:r>
              <w:rPr>
                <w:webHidden/>
                <w:rStyle w:val="Sautdindex"/>
                <w:vanish w:val="false"/>
              </w:rPr>
              <w:t xml:space="preserve">3.2  </w:t>
            </w:r>
            <w:r>
              <w:rPr>
                <w:rStyle w:val="Sautdindex"/>
                <w:iCs/>
              </w:rPr>
              <w:t>Mise en œuvre du marché</w:t>
            </w:r>
            <w:r>
              <w:rPr>
                <w:rStyle w:val="Sautdindex"/>
              </w:rPr>
              <w:tab/>
              <w:t>8</w:t>
            </w:r>
          </w:hyperlink>
        </w:p>
        <w:p>
          <w:pPr>
            <w:pStyle w:val="Tabledesmatiresniveau2"/>
            <w:tabs>
              <w:tab w:val="clear" w:pos="706"/>
              <w:tab w:val="right" w:pos="9072" w:leader="dot"/>
            </w:tabs>
            <w:rPr/>
          </w:pPr>
          <w:hyperlink w:anchor="__RefHeading___Toc10344_2418032983">
            <w:r>
              <w:rPr>
                <w:webHidden/>
                <w:rStyle w:val="Sautdindex"/>
                <w:vanish w:val="false"/>
              </w:rPr>
              <w:t xml:space="preserve">3.3  </w:t>
            </w:r>
            <w:r>
              <w:rPr>
                <w:rStyle w:val="Sautdindex"/>
                <w:iCs/>
              </w:rPr>
              <w:t>Émission des bons de commande</w:t>
            </w:r>
            <w:r>
              <w:rPr>
                <w:rStyle w:val="Sautdindex"/>
              </w:rPr>
              <w:tab/>
              <w:t>8</w:t>
            </w:r>
          </w:hyperlink>
        </w:p>
        <w:p>
          <w:pPr>
            <w:pStyle w:val="Tabledesmatiresniveau1"/>
            <w:tabs>
              <w:tab w:val="clear" w:pos="9637"/>
              <w:tab w:val="right" w:pos="9072" w:leader="dot"/>
            </w:tabs>
            <w:rPr/>
          </w:pPr>
          <w:hyperlink w:anchor="__RefHeading___Toc10346_2418032983">
            <w:r>
              <w:rPr>
                <w:webHidden/>
                <w:rStyle w:val="Sautdindex"/>
                <w:vanish w:val="false"/>
              </w:rPr>
              <w:t>Article 4 -  ENTREPRISES GROUPEES</w:t>
              <w:tab/>
              <w:t>9</w:t>
            </w:r>
          </w:hyperlink>
        </w:p>
        <w:p>
          <w:pPr>
            <w:pStyle w:val="Tabledesmatiresniveau1"/>
            <w:tabs>
              <w:tab w:val="clear" w:pos="9637"/>
              <w:tab w:val="right" w:pos="9072" w:leader="dot"/>
            </w:tabs>
            <w:rPr/>
          </w:pPr>
          <w:hyperlink w:anchor="__RefHeading___Toc10348_2418032983">
            <w:r>
              <w:rPr>
                <w:webHidden/>
                <w:rStyle w:val="Sautdindex"/>
                <w:vanish w:val="false"/>
              </w:rPr>
              <w:t>Article 5 -  CONDITIONS DE LIVRAISON ET D'EXECUTION</w:t>
              <w:tab/>
              <w:t>9</w:t>
            </w:r>
          </w:hyperlink>
        </w:p>
        <w:p>
          <w:pPr>
            <w:pStyle w:val="Tabledesmatiresniveau2"/>
            <w:tabs>
              <w:tab w:val="clear" w:pos="706"/>
              <w:tab w:val="right" w:pos="9072" w:leader="dot"/>
            </w:tabs>
            <w:rPr/>
          </w:pPr>
          <w:hyperlink w:anchor="__RefHeading___Toc10350_2418032983">
            <w:r>
              <w:rPr>
                <w:webHidden/>
                <w:rStyle w:val="Sautdindex"/>
                <w:vanish w:val="false"/>
              </w:rPr>
              <w:t xml:space="preserve">5.1  </w:t>
            </w:r>
            <w:r>
              <w:rPr>
                <w:rStyle w:val="Sautdindex"/>
                <w:iCs/>
              </w:rPr>
              <w:t>Transport - Emballages</w:t>
            </w:r>
            <w:r>
              <w:rPr>
                <w:rStyle w:val="Sautdindex"/>
              </w:rPr>
              <w:tab/>
              <w:t>9</w:t>
            </w:r>
          </w:hyperlink>
        </w:p>
        <w:p>
          <w:pPr>
            <w:pStyle w:val="Tabledesmatiresniveau2"/>
            <w:tabs>
              <w:tab w:val="clear" w:pos="706"/>
              <w:tab w:val="right" w:pos="9072" w:leader="dot"/>
            </w:tabs>
            <w:rPr/>
          </w:pPr>
          <w:hyperlink w:anchor="__RefHeading___Toc10352_2418032983">
            <w:r>
              <w:rPr>
                <w:webHidden/>
                <w:rStyle w:val="Sautdindex"/>
                <w:vanish w:val="false"/>
              </w:rPr>
              <w:t xml:space="preserve">5.2  </w:t>
            </w:r>
            <w:r>
              <w:rPr>
                <w:rStyle w:val="Sautdindex"/>
                <w:iCs/>
              </w:rPr>
              <w:t>Lieux d'exécution ou de livraison</w:t>
            </w:r>
            <w:r>
              <w:rPr>
                <w:rStyle w:val="Sautdindex"/>
              </w:rPr>
              <w:tab/>
              <w:t>9</w:t>
            </w:r>
          </w:hyperlink>
        </w:p>
        <w:p>
          <w:pPr>
            <w:pStyle w:val="Tabledesmatiresniveau1"/>
            <w:tabs>
              <w:tab w:val="clear" w:pos="9637"/>
              <w:tab w:val="right" w:pos="9072" w:leader="dot"/>
            </w:tabs>
            <w:rPr/>
          </w:pPr>
          <w:hyperlink w:anchor="__RefHeading___Toc10354_2418032983">
            <w:r>
              <w:rPr>
                <w:webHidden/>
                <w:rStyle w:val="Sautdindex"/>
                <w:vanish w:val="false"/>
              </w:rPr>
              <w:t>Article 6 -  CONDITIONS PARTICULIERES D'EXECUTION</w:t>
              <w:tab/>
              <w:t>9</w:t>
            </w:r>
          </w:hyperlink>
        </w:p>
        <w:p>
          <w:pPr>
            <w:pStyle w:val="Tabledesmatiresniveau1"/>
            <w:tabs>
              <w:tab w:val="clear" w:pos="9637"/>
              <w:tab w:val="right" w:pos="9072" w:leader="dot"/>
            </w:tabs>
            <w:rPr/>
          </w:pPr>
          <w:hyperlink w:anchor="__RefHeading___Toc10356_2418032983">
            <w:r>
              <w:rPr>
                <w:webHidden/>
                <w:rStyle w:val="Sautdindex"/>
                <w:vanish w:val="false"/>
              </w:rPr>
              <w:t>Article 7 -  OPERATIONS DE VERIFICATIONS / ADMISSION</w:t>
              <w:tab/>
              <w:t>10</w:t>
            </w:r>
          </w:hyperlink>
        </w:p>
        <w:p>
          <w:pPr>
            <w:pStyle w:val="Tabledesmatiresniveau2"/>
            <w:tabs>
              <w:tab w:val="clear" w:pos="706"/>
              <w:tab w:val="right" w:pos="9072" w:leader="dot"/>
            </w:tabs>
            <w:rPr/>
          </w:pPr>
          <w:hyperlink w:anchor="__RefHeading___Toc10358_2418032983">
            <w:r>
              <w:rPr>
                <w:webHidden/>
                <w:rStyle w:val="Sautdindex"/>
                <w:vanish w:val="false"/>
              </w:rPr>
              <w:t xml:space="preserve">7.1  </w:t>
            </w:r>
            <w:r>
              <w:rPr>
                <w:rStyle w:val="Sautdindex"/>
                <w:iCs/>
              </w:rPr>
              <w:t>Vérifications</w:t>
            </w:r>
            <w:r>
              <w:rPr>
                <w:rStyle w:val="Sautdindex"/>
              </w:rPr>
              <w:tab/>
              <w:t>10</w:t>
            </w:r>
          </w:hyperlink>
        </w:p>
        <w:p>
          <w:pPr>
            <w:pStyle w:val="Tabledesmatiresniveau2"/>
            <w:tabs>
              <w:tab w:val="clear" w:pos="706"/>
              <w:tab w:val="right" w:pos="9072" w:leader="dot"/>
            </w:tabs>
            <w:rPr/>
          </w:pPr>
          <w:hyperlink w:anchor="__RefHeading___Toc10360_2418032983">
            <w:r>
              <w:rPr>
                <w:webHidden/>
                <w:rStyle w:val="Sautdindex"/>
                <w:vanish w:val="false"/>
              </w:rPr>
              <w:t xml:space="preserve">7.2  </w:t>
            </w:r>
            <w:r>
              <w:rPr>
                <w:rStyle w:val="Sautdindex"/>
                <w:iCs/>
              </w:rPr>
              <w:t>Admission</w:t>
            </w:r>
            <w:r>
              <w:rPr>
                <w:rStyle w:val="Sautdindex"/>
              </w:rPr>
              <w:tab/>
              <w:t>10</w:t>
            </w:r>
          </w:hyperlink>
        </w:p>
        <w:p>
          <w:pPr>
            <w:pStyle w:val="Tabledesmatiresniveau1"/>
            <w:tabs>
              <w:tab w:val="clear" w:pos="9637"/>
              <w:tab w:val="right" w:pos="9072" w:leader="dot"/>
            </w:tabs>
            <w:rPr/>
          </w:pPr>
          <w:hyperlink w:anchor="__RefHeading___Toc10362_2418032983">
            <w:r>
              <w:rPr>
                <w:webHidden/>
                <w:rStyle w:val="Sautdindex"/>
                <w:vanish w:val="false"/>
              </w:rPr>
              <w:t>Article 8 -  GARANTIE CONTRACTUELLE</w:t>
              <w:tab/>
              <w:t>10</w:t>
            </w:r>
          </w:hyperlink>
        </w:p>
        <w:p>
          <w:pPr>
            <w:pStyle w:val="Tabledesmatiresniveau2"/>
            <w:tabs>
              <w:tab w:val="clear" w:pos="706"/>
              <w:tab w:val="right" w:pos="9072" w:leader="dot"/>
            </w:tabs>
            <w:rPr/>
          </w:pPr>
          <w:hyperlink w:anchor="__RefHeading___Toc10364_2418032983">
            <w:r>
              <w:rPr>
                <w:webHidden/>
                <w:rStyle w:val="Sautdindex"/>
                <w:vanish w:val="false"/>
              </w:rPr>
              <w:t xml:space="preserve">8.1  </w:t>
            </w:r>
            <w:r>
              <w:rPr>
                <w:rStyle w:val="Sautdindex"/>
                <w:iCs/>
              </w:rPr>
              <w:t>Durée de garantie</w:t>
            </w:r>
            <w:r>
              <w:rPr>
                <w:rStyle w:val="Sautdindex"/>
              </w:rPr>
              <w:tab/>
              <w:t>10</w:t>
            </w:r>
          </w:hyperlink>
        </w:p>
        <w:p>
          <w:pPr>
            <w:pStyle w:val="Tabledesmatiresniveau2"/>
            <w:tabs>
              <w:tab w:val="clear" w:pos="706"/>
              <w:tab w:val="right" w:pos="9072" w:leader="dot"/>
            </w:tabs>
            <w:rPr/>
          </w:pPr>
          <w:hyperlink w:anchor="__RefHeading___Toc10366_2418032983">
            <w:r>
              <w:rPr>
                <w:webHidden/>
                <w:rStyle w:val="Sautdindex"/>
                <w:vanish w:val="false"/>
              </w:rPr>
              <w:t xml:space="preserve">8.2  </w:t>
            </w:r>
            <w:r>
              <w:rPr>
                <w:rStyle w:val="Sautdindex"/>
                <w:iCs/>
              </w:rPr>
              <w:t>Point de départ de la garantie</w:t>
            </w:r>
            <w:r>
              <w:rPr>
                <w:rStyle w:val="Sautdindex"/>
              </w:rPr>
              <w:tab/>
              <w:t>10</w:t>
            </w:r>
          </w:hyperlink>
        </w:p>
        <w:p>
          <w:pPr>
            <w:pStyle w:val="Tabledesmatiresniveau1"/>
            <w:tabs>
              <w:tab w:val="clear" w:pos="9637"/>
              <w:tab w:val="right" w:pos="9072" w:leader="dot"/>
            </w:tabs>
            <w:rPr/>
          </w:pPr>
          <w:hyperlink w:anchor="__RefHeading___Toc10368_2418032983">
            <w:r>
              <w:rPr>
                <w:webHidden/>
                <w:rStyle w:val="Sautdindex"/>
                <w:vanish w:val="false"/>
              </w:rPr>
              <w:t>Article 9 -  PROPRIETE INTELLECTUELLE ET UTILISATION DES RESULTATS</w:t>
              <w:tab/>
              <w:t>10</w:t>
            </w:r>
          </w:hyperlink>
        </w:p>
        <w:p>
          <w:pPr>
            <w:pStyle w:val="Tabledesmatiresniveau1"/>
            <w:tabs>
              <w:tab w:val="clear" w:pos="9637"/>
              <w:tab w:val="right" w:pos="9072" w:leader="dot"/>
            </w:tabs>
            <w:rPr/>
          </w:pPr>
          <w:hyperlink w:anchor="__RefHeading___Toc10370_2418032983">
            <w:r>
              <w:rPr>
                <w:webHidden/>
                <w:rStyle w:val="Sautdindex"/>
                <w:vanish w:val="false"/>
              </w:rPr>
              <w:t>Article 10 -  CONFIDENTIALITE ET MESURES DE SECURITE</w:t>
              <w:tab/>
              <w:t>10</w:t>
            </w:r>
          </w:hyperlink>
        </w:p>
        <w:p>
          <w:pPr>
            <w:pStyle w:val="Tabledesmatiresniveau1"/>
            <w:tabs>
              <w:tab w:val="clear" w:pos="9637"/>
              <w:tab w:val="right" w:pos="9072" w:leader="dot"/>
            </w:tabs>
            <w:rPr/>
          </w:pPr>
          <w:hyperlink w:anchor="__RefHeading___Toc10372_2418032983">
            <w:r>
              <w:rPr>
                <w:webHidden/>
                <w:rStyle w:val="Sautdindex"/>
                <w:vanish w:val="false"/>
              </w:rPr>
              <w:t>Article 11 -  MODALITES DE DETERMINATION DES PRIX</w:t>
              <w:tab/>
              <w:t>11</w:t>
            </w:r>
          </w:hyperlink>
        </w:p>
        <w:p>
          <w:pPr>
            <w:pStyle w:val="Tabledesmatiresniveau2"/>
            <w:tabs>
              <w:tab w:val="clear" w:pos="706"/>
              <w:tab w:val="right" w:pos="9072" w:leader="dot"/>
            </w:tabs>
            <w:rPr/>
          </w:pPr>
          <w:hyperlink w:anchor="__RefHeading___Toc10374_2418032983">
            <w:r>
              <w:rPr>
                <w:webHidden/>
                <w:rStyle w:val="Sautdindex"/>
                <w:vanish w:val="false"/>
              </w:rPr>
              <w:t xml:space="preserve">11.1  </w:t>
            </w:r>
            <w:r>
              <w:rPr>
                <w:rStyle w:val="Sautdindex"/>
                <w:iCs/>
              </w:rPr>
              <w:t>Nature du prix</w:t>
            </w:r>
            <w:r>
              <w:rPr>
                <w:rStyle w:val="Sautdindex"/>
              </w:rPr>
              <w:tab/>
              <w:t>11</w:t>
            </w:r>
          </w:hyperlink>
        </w:p>
        <w:p>
          <w:pPr>
            <w:pStyle w:val="Tabledesmatiresniveau2"/>
            <w:tabs>
              <w:tab w:val="clear" w:pos="706"/>
              <w:tab w:val="right" w:pos="9072" w:leader="dot"/>
            </w:tabs>
            <w:rPr/>
          </w:pPr>
          <w:hyperlink w:anchor="__RefHeading___Toc10376_2418032983">
            <w:r>
              <w:rPr>
                <w:webHidden/>
                <w:rStyle w:val="Sautdindex"/>
                <w:vanish w:val="false"/>
              </w:rPr>
              <w:t xml:space="preserve">11.2  </w:t>
            </w:r>
            <w:r>
              <w:rPr>
                <w:rStyle w:val="Sautdindex"/>
                <w:iCs/>
              </w:rPr>
              <w:t>Variations de prix et clause de réexamen</w:t>
            </w:r>
            <w:r>
              <w:rPr>
                <w:rStyle w:val="Sautdindex"/>
              </w:rPr>
              <w:tab/>
              <w:t>11</w:t>
            </w:r>
          </w:hyperlink>
        </w:p>
        <w:p>
          <w:pPr>
            <w:pStyle w:val="Tabledesmatiresniveau2"/>
            <w:tabs>
              <w:tab w:val="clear" w:pos="706"/>
              <w:tab w:val="right" w:pos="9072" w:leader="dot"/>
            </w:tabs>
            <w:rPr/>
          </w:pPr>
          <w:hyperlink w:anchor="__RefHeading___Toc10378_2418032983">
            <w:r>
              <w:rPr>
                <w:webHidden/>
                <w:rStyle w:val="Sautdindex"/>
                <w:vanish w:val="false"/>
              </w:rPr>
              <w:t xml:space="preserve">11.3  </w:t>
            </w:r>
            <w:r>
              <w:rPr>
                <w:rStyle w:val="Sautdindex"/>
                <w:iCs/>
              </w:rPr>
              <w:t>Disparition d'indice</w:t>
            </w:r>
            <w:r>
              <w:rPr>
                <w:rStyle w:val="Sautdindex"/>
              </w:rPr>
              <w:tab/>
              <w:t>12</w:t>
            </w:r>
          </w:hyperlink>
        </w:p>
        <w:p>
          <w:pPr>
            <w:pStyle w:val="Tabledesmatiresniveau1"/>
            <w:tabs>
              <w:tab w:val="clear" w:pos="9637"/>
              <w:tab w:val="right" w:pos="9072" w:leader="dot"/>
            </w:tabs>
            <w:rPr/>
          </w:pPr>
          <w:hyperlink w:anchor="__RefHeading___Toc10380_2418032983">
            <w:r>
              <w:rPr>
                <w:webHidden/>
                <w:rStyle w:val="Sautdindex"/>
                <w:vanish w:val="false"/>
              </w:rPr>
              <w:t>Article 12 -  AVANCE</w:t>
              <w:tab/>
              <w:t>12</w:t>
            </w:r>
          </w:hyperlink>
        </w:p>
        <w:p>
          <w:pPr>
            <w:pStyle w:val="Tabledesmatiresniveau2"/>
            <w:tabs>
              <w:tab w:val="clear" w:pos="706"/>
              <w:tab w:val="right" w:pos="9072" w:leader="dot"/>
            </w:tabs>
            <w:rPr/>
          </w:pPr>
          <w:hyperlink w:anchor="__RefHeading___Toc10382_2418032983">
            <w:r>
              <w:rPr>
                <w:webHidden/>
                <w:rStyle w:val="Sautdindex"/>
                <w:vanish w:val="false"/>
              </w:rPr>
              <w:t xml:space="preserve">12.1  </w:t>
            </w:r>
            <w:r>
              <w:rPr>
                <w:rStyle w:val="Sautdindex"/>
                <w:iCs/>
              </w:rPr>
              <w:t>Régime de l'avance</w:t>
            </w:r>
            <w:r>
              <w:rPr>
                <w:rStyle w:val="Sautdindex"/>
              </w:rPr>
              <w:tab/>
              <w:t>12</w:t>
            </w:r>
          </w:hyperlink>
        </w:p>
        <w:p>
          <w:pPr>
            <w:pStyle w:val="Tabledesmatiresniveau2"/>
            <w:tabs>
              <w:tab w:val="clear" w:pos="706"/>
              <w:tab w:val="right" w:pos="9072" w:leader="dot"/>
            </w:tabs>
            <w:rPr/>
          </w:pPr>
          <w:hyperlink w:anchor="__RefHeading___Toc10384_2418032983">
            <w:r>
              <w:rPr>
                <w:webHidden/>
                <w:rStyle w:val="Sautdindex"/>
                <w:vanish w:val="false"/>
              </w:rPr>
              <w:t xml:space="preserve">12.2  </w:t>
            </w:r>
            <w:r>
              <w:rPr>
                <w:rStyle w:val="Sautdindex"/>
                <w:iCs/>
              </w:rPr>
              <w:t>Dispositions complémentaires</w:t>
            </w:r>
            <w:r>
              <w:rPr>
                <w:rStyle w:val="Sautdindex"/>
              </w:rPr>
              <w:tab/>
              <w:t>12</w:t>
            </w:r>
          </w:hyperlink>
        </w:p>
        <w:p>
          <w:pPr>
            <w:pStyle w:val="Tabledesmatiresniveau1"/>
            <w:tabs>
              <w:tab w:val="clear" w:pos="9637"/>
              <w:tab w:val="right" w:pos="9072" w:leader="dot"/>
            </w:tabs>
            <w:rPr/>
          </w:pPr>
          <w:hyperlink w:anchor="__RefHeading___Toc10386_2418032983">
            <w:r>
              <w:rPr>
                <w:webHidden/>
                <w:rStyle w:val="Sautdindex"/>
                <w:vanish w:val="false"/>
              </w:rPr>
              <w:t>Article 13 -  MODALITÉS DE RÈGLEMENT</w:t>
              <w:tab/>
              <w:t>12</w:t>
            </w:r>
          </w:hyperlink>
        </w:p>
        <w:p>
          <w:pPr>
            <w:pStyle w:val="Tabledesmatiresniveau1"/>
            <w:tabs>
              <w:tab w:val="clear" w:pos="9637"/>
              <w:tab w:val="right" w:pos="9072" w:leader="dot"/>
            </w:tabs>
            <w:rPr/>
          </w:pPr>
          <w:hyperlink w:anchor="__RefHeading___Toc10388_2418032983">
            <w:r>
              <w:rPr>
                <w:webHidden/>
                <w:rStyle w:val="Sautdindex"/>
                <w:vanish w:val="false"/>
              </w:rPr>
              <w:t>Article 14 -  PAIEMENT ET ÉTABLISSEMENT DE LA FACTURE</w:t>
              <w:tab/>
              <w:t>13</w:t>
            </w:r>
          </w:hyperlink>
        </w:p>
        <w:p>
          <w:pPr>
            <w:pStyle w:val="Tabledesmatiresniveau2"/>
            <w:tabs>
              <w:tab w:val="clear" w:pos="706"/>
              <w:tab w:val="right" w:pos="9072" w:leader="dot"/>
            </w:tabs>
            <w:rPr/>
          </w:pPr>
          <w:hyperlink w:anchor="__RefHeading___Toc10390_2418032983">
            <w:r>
              <w:rPr>
                <w:webHidden/>
                <w:rStyle w:val="Sautdindex"/>
                <w:vanish w:val="false"/>
              </w:rPr>
              <w:t xml:space="preserve">14.1  </w:t>
            </w:r>
            <w:r>
              <w:rPr>
                <w:rStyle w:val="Sautdindex"/>
                <w:iCs/>
              </w:rPr>
              <w:t>Délais de paiements</w:t>
            </w:r>
            <w:r>
              <w:rPr>
                <w:rStyle w:val="Sautdindex"/>
              </w:rPr>
              <w:tab/>
              <w:t>13</w:t>
            </w:r>
          </w:hyperlink>
        </w:p>
        <w:p>
          <w:pPr>
            <w:pStyle w:val="Tabledesmatiresniveau2"/>
            <w:tabs>
              <w:tab w:val="clear" w:pos="706"/>
              <w:tab w:val="right" w:pos="9072" w:leader="dot"/>
            </w:tabs>
            <w:rPr/>
          </w:pPr>
          <w:hyperlink w:anchor="__RefHeading___Toc10392_2418032983">
            <w:r>
              <w:rPr>
                <w:webHidden/>
                <w:rStyle w:val="Sautdindex"/>
                <w:vanish w:val="false"/>
              </w:rPr>
              <w:t xml:space="preserve">14.2  </w:t>
            </w:r>
            <w:r>
              <w:rPr>
                <w:rStyle w:val="Sautdindex"/>
                <w:iCs/>
              </w:rPr>
              <w:t>Intérêts moratoires</w:t>
            </w:r>
            <w:r>
              <w:rPr>
                <w:rStyle w:val="Sautdindex"/>
              </w:rPr>
              <w:tab/>
              <w:t>13</w:t>
            </w:r>
          </w:hyperlink>
        </w:p>
        <w:p>
          <w:pPr>
            <w:pStyle w:val="Tabledesmatiresniveau2"/>
            <w:tabs>
              <w:tab w:val="clear" w:pos="706"/>
              <w:tab w:val="right" w:pos="9072" w:leader="dot"/>
            </w:tabs>
            <w:rPr/>
          </w:pPr>
          <w:hyperlink w:anchor="__RefHeading___Toc10394_2418032983">
            <w:r>
              <w:rPr>
                <w:webHidden/>
                <w:rStyle w:val="Sautdindex"/>
                <w:vanish w:val="false"/>
              </w:rPr>
              <w:t xml:space="preserve">14.3  </w:t>
            </w:r>
            <w:r>
              <w:rPr>
                <w:rStyle w:val="Sautdindex"/>
                <w:iCs/>
              </w:rPr>
              <w:t>Modalités de paiement direct des sous-traitants</w:t>
            </w:r>
            <w:r>
              <w:rPr>
                <w:rStyle w:val="Sautdindex"/>
              </w:rPr>
              <w:tab/>
              <w:t>14</w:t>
            </w:r>
          </w:hyperlink>
        </w:p>
        <w:p>
          <w:pPr>
            <w:pStyle w:val="Tabledesmatiresniveau2"/>
            <w:tabs>
              <w:tab w:val="clear" w:pos="706"/>
              <w:tab w:val="right" w:pos="9072" w:leader="dot"/>
            </w:tabs>
            <w:rPr/>
          </w:pPr>
          <w:hyperlink w:anchor="__RefHeading___Toc10396_2418032983">
            <w:r>
              <w:rPr>
                <w:webHidden/>
                <w:rStyle w:val="Sautdindex"/>
                <w:vanish w:val="false"/>
              </w:rPr>
              <w:t xml:space="preserve">14.4  </w:t>
            </w:r>
            <w:r>
              <w:rPr>
                <w:rStyle w:val="Sautdindex"/>
                <w:iCs/>
              </w:rPr>
              <w:t>Présentation des demandes de paiement</w:t>
            </w:r>
            <w:r>
              <w:rPr>
                <w:rStyle w:val="Sautdindex"/>
              </w:rPr>
              <w:tab/>
              <w:t>14</w:t>
            </w:r>
          </w:hyperlink>
        </w:p>
        <w:p>
          <w:pPr>
            <w:pStyle w:val="Tabledesmatiresniveau2"/>
            <w:tabs>
              <w:tab w:val="clear" w:pos="706"/>
              <w:tab w:val="right" w:pos="9072" w:leader="dot"/>
            </w:tabs>
            <w:rPr/>
          </w:pPr>
          <w:hyperlink w:anchor="__RefHeading___Toc10398_2418032983">
            <w:r>
              <w:rPr>
                <w:webHidden/>
                <w:rStyle w:val="Sautdindex"/>
                <w:vanish w:val="false"/>
              </w:rPr>
              <w:t xml:space="preserve">14.5  </w:t>
            </w:r>
            <w:r>
              <w:rPr>
                <w:rStyle w:val="Sautdindex"/>
                <w:iCs/>
              </w:rPr>
              <w:t>Dématérialisation des factures</w:t>
            </w:r>
            <w:r>
              <w:rPr>
                <w:rStyle w:val="Sautdindex"/>
              </w:rPr>
              <w:tab/>
              <w:t>15</w:t>
            </w:r>
          </w:hyperlink>
        </w:p>
        <w:p>
          <w:pPr>
            <w:pStyle w:val="Tabledesmatiresniveau1"/>
            <w:tabs>
              <w:tab w:val="clear" w:pos="9637"/>
              <w:tab w:val="right" w:pos="9072" w:leader="dot"/>
            </w:tabs>
            <w:rPr/>
          </w:pPr>
          <w:hyperlink w:anchor="__RefHeading___Toc10400_2418032983">
            <w:r>
              <w:rPr>
                <w:webHidden/>
                <w:rStyle w:val="Sautdindex"/>
                <w:vanish w:val="false"/>
              </w:rPr>
              <w:t>Article 15 -  PENALITES</w:t>
              <w:tab/>
              <w:t>16</w:t>
            </w:r>
          </w:hyperlink>
        </w:p>
        <w:p>
          <w:pPr>
            <w:pStyle w:val="Tabledesmatiresniveau2"/>
            <w:tabs>
              <w:tab w:val="clear" w:pos="706"/>
              <w:tab w:val="right" w:pos="9072" w:leader="dot"/>
            </w:tabs>
            <w:rPr/>
          </w:pPr>
          <w:hyperlink w:anchor="__RefHeading___Toc10402_2418032983">
            <w:r>
              <w:rPr>
                <w:webHidden/>
                <w:rStyle w:val="Sautdindex"/>
                <w:vanish w:val="false"/>
              </w:rPr>
              <w:t xml:space="preserve">15.1  </w:t>
            </w:r>
            <w:r>
              <w:rPr>
                <w:rStyle w:val="Sautdindex"/>
                <w:iCs/>
              </w:rPr>
              <w:t>Pénalités de retard et réfactions</w:t>
            </w:r>
            <w:r>
              <w:rPr>
                <w:rStyle w:val="Sautdindex"/>
              </w:rPr>
              <w:tab/>
              <w:t>16</w:t>
            </w:r>
          </w:hyperlink>
        </w:p>
        <w:p>
          <w:pPr>
            <w:pStyle w:val="Tabledesmatiresniveau2"/>
            <w:tabs>
              <w:tab w:val="clear" w:pos="706"/>
              <w:tab w:val="right" w:pos="9072" w:leader="dot"/>
            </w:tabs>
            <w:rPr/>
          </w:pPr>
          <w:hyperlink w:anchor="__RefHeading___Toc10404_2418032983">
            <w:r>
              <w:rPr>
                <w:webHidden/>
                <w:rStyle w:val="Sautdindex"/>
                <w:vanish w:val="false"/>
              </w:rPr>
              <w:t xml:space="preserve">15.2  </w:t>
            </w:r>
            <w:r>
              <w:rPr>
                <w:rStyle w:val="Sautdindex"/>
                <w:iCs/>
              </w:rPr>
              <w:t>Pénalités pour non-respect des obligations environnementales du titulaire</w:t>
            </w:r>
            <w:r>
              <w:rPr>
                <w:rStyle w:val="Sautdindex"/>
              </w:rPr>
              <w:tab/>
              <w:t>16</w:t>
            </w:r>
          </w:hyperlink>
        </w:p>
        <w:p>
          <w:pPr>
            <w:pStyle w:val="Tabledesmatiresniveau2"/>
            <w:tabs>
              <w:tab w:val="clear" w:pos="706"/>
              <w:tab w:val="right" w:pos="9072" w:leader="dot"/>
            </w:tabs>
            <w:rPr/>
          </w:pPr>
          <w:hyperlink w:anchor="__RefHeading___Toc10406_2418032983">
            <w:r>
              <w:rPr>
                <w:webHidden/>
                <w:rStyle w:val="Sautdindex"/>
                <w:vanish w:val="false"/>
              </w:rPr>
              <w:t xml:space="preserve">15.3  </w:t>
            </w:r>
            <w:r>
              <w:rPr>
                <w:rStyle w:val="Sautdindex"/>
                <w:iCs/>
              </w:rPr>
              <w:t>Pénalités pour non-respect des dispositions du Code du Travail</w:t>
            </w:r>
            <w:r>
              <w:rPr>
                <w:rStyle w:val="Sautdindex"/>
              </w:rPr>
              <w:tab/>
              <w:t>17</w:t>
            </w:r>
          </w:hyperlink>
        </w:p>
        <w:p>
          <w:pPr>
            <w:pStyle w:val="Tabledesmatiresniveau2"/>
            <w:tabs>
              <w:tab w:val="clear" w:pos="706"/>
              <w:tab w:val="right" w:pos="9072" w:leader="dot"/>
            </w:tabs>
            <w:rPr/>
          </w:pPr>
          <w:hyperlink w:anchor="__RefHeading___Toc10408_2418032983">
            <w:r>
              <w:rPr>
                <w:webHidden/>
                <w:rStyle w:val="Sautdindex"/>
                <w:vanish w:val="false"/>
              </w:rPr>
              <w:t xml:space="preserve">15.4  </w:t>
            </w:r>
            <w:r>
              <w:rPr>
                <w:rStyle w:val="Sautdindex"/>
                <w:iCs/>
              </w:rPr>
              <w:t>Autres pénalités</w:t>
            </w:r>
            <w:r>
              <w:rPr>
                <w:rStyle w:val="Sautdindex"/>
              </w:rPr>
              <w:tab/>
              <w:t>17</w:t>
            </w:r>
          </w:hyperlink>
        </w:p>
        <w:p>
          <w:pPr>
            <w:pStyle w:val="Tabledesmatiresniveau1"/>
            <w:tabs>
              <w:tab w:val="clear" w:pos="9637"/>
              <w:tab w:val="right" w:pos="9072" w:leader="dot"/>
            </w:tabs>
            <w:rPr/>
          </w:pPr>
          <w:hyperlink w:anchor="__RefHeading___Toc10410_2418032983">
            <w:r>
              <w:rPr>
                <w:webHidden/>
                <w:rStyle w:val="Sautdindex"/>
                <w:vanish w:val="false"/>
              </w:rPr>
              <w:t>Article 16 -  RÉSILIATION ET EXÉCUTION DES PRESTATIONS AUX FRAIS ET RISQUES DU TITULAIRE</w:t>
              <w:tab/>
              <w:t>17</w:t>
            </w:r>
          </w:hyperlink>
        </w:p>
        <w:p>
          <w:pPr>
            <w:pStyle w:val="Tabledesmatiresniveau1"/>
            <w:tabs>
              <w:tab w:val="clear" w:pos="9637"/>
              <w:tab w:val="right" w:pos="9072" w:leader="dot"/>
            </w:tabs>
            <w:rPr/>
          </w:pPr>
          <w:hyperlink w:anchor="__RefHeading___Toc10412_2418032983">
            <w:r>
              <w:rPr>
                <w:webHidden/>
                <w:rStyle w:val="Sautdindex"/>
                <w:vanish w:val="false"/>
              </w:rPr>
              <w:t>Article 17 -  CLAUSES DE GESTION DES DONNÉES</w:t>
              <w:tab/>
              <w:t>18</w:t>
            </w:r>
          </w:hyperlink>
        </w:p>
        <w:p>
          <w:pPr>
            <w:pStyle w:val="Tabledesmatiresniveau2"/>
            <w:tabs>
              <w:tab w:val="clear" w:pos="706"/>
              <w:tab w:val="right" w:pos="9072" w:leader="dot"/>
            </w:tabs>
            <w:rPr/>
          </w:pPr>
          <w:hyperlink w:anchor="__RefHeading___Toc10414_2418032983">
            <w:r>
              <w:rPr>
                <w:webHidden/>
                <w:rStyle w:val="Sautdindex"/>
                <w:vanish w:val="false"/>
              </w:rPr>
              <w:t xml:space="preserve">17.1  </w:t>
            </w:r>
            <w:r>
              <w:rPr>
                <w:rStyle w:val="Sautdindex"/>
                <w:iCs/>
              </w:rPr>
              <w:t>Les contraintes réglementaires</w:t>
            </w:r>
            <w:r>
              <w:rPr>
                <w:rStyle w:val="Sautdindex"/>
              </w:rPr>
              <w:tab/>
              <w:t>18</w:t>
            </w:r>
          </w:hyperlink>
        </w:p>
        <w:p>
          <w:pPr>
            <w:pStyle w:val="Tabledesmatiresniveau2"/>
            <w:tabs>
              <w:tab w:val="clear" w:pos="706"/>
              <w:tab w:val="right" w:pos="9072" w:leader="dot"/>
            </w:tabs>
            <w:rPr/>
          </w:pPr>
          <w:hyperlink w:anchor="__RefHeading___Toc10416_2418032983">
            <w:r>
              <w:rPr>
                <w:webHidden/>
                <w:rStyle w:val="Sautdindex"/>
                <w:vanish w:val="false"/>
              </w:rPr>
              <w:t xml:space="preserve">17.2  </w:t>
            </w:r>
            <w:r>
              <w:rPr>
                <w:rStyle w:val="Sautdindex"/>
                <w:iCs/>
              </w:rPr>
              <w:t>Le RGS</w:t>
            </w:r>
            <w:r>
              <w:rPr>
                <w:rStyle w:val="Sautdindex"/>
              </w:rPr>
              <w:tab/>
              <w:t>18</w:t>
            </w:r>
          </w:hyperlink>
        </w:p>
        <w:p>
          <w:pPr>
            <w:pStyle w:val="Tabledesmatiresniveau3"/>
            <w:tabs>
              <w:tab w:val="clear" w:pos="9241"/>
              <w:tab w:val="right" w:pos="9072" w:leader="dot"/>
            </w:tabs>
            <w:rPr/>
          </w:pPr>
          <w:hyperlink w:anchor="__RefHeading___Toc10418_2418032983">
            <w:r>
              <w:rPr>
                <w:webHidden/>
                <w:rStyle w:val="Sautdindex"/>
                <w:vanish w:val="false"/>
              </w:rPr>
              <w:t>17.2.1  Le Règlement Général sur la Protection des Données (RGPD)</w:t>
              <w:tab/>
              <w:t>18</w:t>
            </w:r>
          </w:hyperlink>
        </w:p>
        <w:p>
          <w:pPr>
            <w:pStyle w:val="Tabledesmatiresniveau3"/>
            <w:tabs>
              <w:tab w:val="clear" w:pos="9241"/>
              <w:tab w:val="right" w:pos="9072" w:leader="dot"/>
            </w:tabs>
            <w:rPr/>
          </w:pPr>
          <w:hyperlink w:anchor="__RefHeading___Toc10420_2418032983">
            <w:r>
              <w:rPr>
                <w:webHidden/>
                <w:rStyle w:val="Sautdindex"/>
                <w:vanish w:val="false"/>
              </w:rPr>
              <w:t>17.2.2  Le Code du Patrimoine</w:t>
              <w:tab/>
              <w:t>18</w:t>
            </w:r>
          </w:hyperlink>
        </w:p>
        <w:p>
          <w:pPr>
            <w:pStyle w:val="Tabledesmatiresniveau2"/>
            <w:tabs>
              <w:tab w:val="clear" w:pos="706"/>
              <w:tab w:val="right" w:pos="9072" w:leader="dot"/>
            </w:tabs>
            <w:rPr/>
          </w:pPr>
          <w:hyperlink w:anchor="__RefHeading___Toc10422_2418032983">
            <w:r>
              <w:rPr>
                <w:webHidden/>
                <w:rStyle w:val="Sautdindex"/>
                <w:vanish w:val="false"/>
              </w:rPr>
              <w:t xml:space="preserve">17.3  </w:t>
            </w:r>
            <w:r>
              <w:rPr>
                <w:rStyle w:val="Sautdindex"/>
                <w:iCs/>
              </w:rPr>
              <w:t>Les clauses générales de confidentialité</w:t>
            </w:r>
            <w:r>
              <w:rPr>
                <w:rStyle w:val="Sautdindex"/>
              </w:rPr>
              <w:tab/>
              <w:t>19</w:t>
            </w:r>
          </w:hyperlink>
        </w:p>
        <w:p>
          <w:pPr>
            <w:pStyle w:val="Tabledesmatiresniveau2"/>
            <w:tabs>
              <w:tab w:val="clear" w:pos="706"/>
              <w:tab w:val="right" w:pos="9072" w:leader="dot"/>
            </w:tabs>
            <w:rPr/>
          </w:pPr>
          <w:hyperlink w:anchor="__RefHeading___Toc10424_2418032983">
            <w:r>
              <w:rPr>
                <w:webHidden/>
                <w:rStyle w:val="Sautdindex"/>
                <w:vanish w:val="false"/>
              </w:rPr>
              <w:t xml:space="preserve">17.4  </w:t>
            </w:r>
            <w:r>
              <w:rPr>
                <w:rStyle w:val="Sautdindex"/>
                <w:iCs/>
              </w:rPr>
              <w:t>Les contrôles</w:t>
            </w:r>
            <w:r>
              <w:rPr>
                <w:rStyle w:val="Sautdindex"/>
              </w:rPr>
              <w:tab/>
              <w:t>20</w:t>
            </w:r>
          </w:hyperlink>
        </w:p>
        <w:p>
          <w:pPr>
            <w:pStyle w:val="Tabledesmatiresniveau2"/>
            <w:tabs>
              <w:tab w:val="clear" w:pos="706"/>
              <w:tab w:val="right" w:pos="9072" w:leader="dot"/>
            </w:tabs>
            <w:rPr/>
          </w:pPr>
          <w:hyperlink w:anchor="__RefHeading___Toc10426_2418032983">
            <w:r>
              <w:rPr>
                <w:webHidden/>
                <w:rStyle w:val="Sautdindex"/>
                <w:vanish w:val="false"/>
              </w:rPr>
              <w:t xml:space="preserve">17.5  </w:t>
            </w:r>
            <w:r>
              <w:rPr>
                <w:rStyle w:val="Sautdindex"/>
                <w:iCs/>
              </w:rPr>
              <w:t>Phase de réversibilité</w:t>
            </w:r>
            <w:r>
              <w:rPr>
                <w:rStyle w:val="Sautdindex"/>
              </w:rPr>
              <w:tab/>
              <w:t>20</w:t>
            </w:r>
          </w:hyperlink>
        </w:p>
        <w:p>
          <w:pPr>
            <w:pStyle w:val="Tabledesmatiresniveau1"/>
            <w:tabs>
              <w:tab w:val="clear" w:pos="9637"/>
              <w:tab w:val="right" w:pos="9072" w:leader="dot"/>
            </w:tabs>
            <w:rPr/>
          </w:pPr>
          <w:hyperlink w:anchor="__RefHeading___Toc10428_2418032983">
            <w:r>
              <w:rPr>
                <w:webHidden/>
                <w:rStyle w:val="Sautdindex"/>
                <w:vanish w:val="false"/>
              </w:rPr>
              <w:t>Article 18 -  LOGICIEL E-ATTESTATIONS</w:t>
              <w:tab/>
              <w:t>20</w:t>
            </w:r>
          </w:hyperlink>
        </w:p>
        <w:p>
          <w:pPr>
            <w:pStyle w:val="Tabledesmatiresniveau1"/>
            <w:tabs>
              <w:tab w:val="clear" w:pos="9637"/>
              <w:tab w:val="right" w:pos="9072" w:leader="dot"/>
            </w:tabs>
            <w:rPr/>
          </w:pPr>
          <w:hyperlink w:anchor="__RefHeading___Toc10430_2418032983">
            <w:r>
              <w:rPr>
                <w:webHidden/>
                <w:rStyle w:val="Sautdindex"/>
                <w:vanish w:val="false"/>
              </w:rPr>
              <w:t>Article 19 -  LOI APPLICABLE</w:t>
              <w:tab/>
              <w:t>20</w:t>
            </w:r>
          </w:hyperlink>
        </w:p>
        <w:p>
          <w:pPr>
            <w:pStyle w:val="Tabledesmatiresniveau1"/>
            <w:tabs>
              <w:tab w:val="clear" w:pos="9637"/>
              <w:tab w:val="right" w:pos="9072" w:leader="dot"/>
            </w:tabs>
            <w:rPr/>
          </w:pPr>
          <w:hyperlink w:anchor="__RefHeading___Toc10432_2418032983">
            <w:r>
              <w:rPr>
                <w:webHidden/>
                <w:rStyle w:val="Sautdindex"/>
                <w:vanish w:val="false"/>
              </w:rPr>
              <w:t>Article 20 -  CONFORMITÉ AUX NORMES</w:t>
              <w:tab/>
              <w:t>21</w:t>
            </w:r>
          </w:hyperlink>
        </w:p>
        <w:p>
          <w:pPr>
            <w:pStyle w:val="Tabledesmatiresniveau1"/>
            <w:tabs>
              <w:tab w:val="clear" w:pos="9637"/>
              <w:tab w:val="right" w:pos="9072" w:leader="dot"/>
            </w:tabs>
            <w:rPr/>
          </w:pPr>
          <w:hyperlink w:anchor="__RefHeading___Toc10434_2418032983">
            <w:r>
              <w:rPr>
                <w:webHidden/>
                <w:rStyle w:val="Sautdindex"/>
                <w:vanish w:val="false"/>
              </w:rPr>
              <w:t>Article 21 -  ASSURANCES</w:t>
              <w:tab/>
              <w:t>21</w:t>
            </w:r>
          </w:hyperlink>
        </w:p>
        <w:p>
          <w:pPr>
            <w:pStyle w:val="Tabledesmatiresniveau1"/>
            <w:tabs>
              <w:tab w:val="clear" w:pos="9637"/>
              <w:tab w:val="right" w:pos="9072" w:leader="dot"/>
            </w:tabs>
            <w:rPr/>
          </w:pPr>
          <w:hyperlink w:anchor="__RefHeading___Toc10436_2418032983">
            <w:r>
              <w:rPr>
                <w:webHidden/>
                <w:rStyle w:val="Sautdindex"/>
                <w:vanish w:val="false"/>
              </w:rPr>
              <w:t>Article 22 -  DÉROGATIONS AUX DOCUMENTS GÉNÉRAUX</w:t>
              <w:tab/>
              <w:t>21</w:t>
            </w:r>
          </w:hyperlink>
          <w:r>
            <w:rPr>
              <w:rStyle w:val="Sautdindex"/>
              <w:vanish w:val="false"/>
            </w:rPr>
            <w:fldChar w:fldCharType="end"/>
          </w:r>
        </w:p>
      </w:sdtContent>
    </w:sdt>
    <w:p>
      <w:pPr>
        <w:pStyle w:val="Standard"/>
        <w:tabs>
          <w:tab w:val="clear" w:pos="706"/>
          <w:tab w:val="left" w:pos="3600" w:leader="none"/>
        </w:tabs>
        <w:ind w:left="3600" w:hanging="3600"/>
        <w:rPr>
          <w:color w:val="000000"/>
          <w:szCs w:val="20"/>
        </w:rPr>
      </w:pPr>
      <w:r>
        <w:rPr>
          <w:color w:val="000000"/>
          <w:szCs w:val="20"/>
        </w:rPr>
      </w:r>
      <w:r>
        <w:br w:type="page"/>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 w:name="__RefHeading___Toc10302_2418032983"/>
      <w:bookmarkStart w:id="2" w:name="_Toc131002940"/>
      <w:bookmarkStart w:id="3" w:name="_Toc126851699"/>
      <w:bookmarkEnd w:id="1"/>
      <w:r>
        <w:rPr>
          <w:rFonts w:ascii="Times New Roman" w:hAnsi="Times New Roman"/>
          <w:b/>
          <w:color w:val="666699"/>
          <w:sz w:val="28"/>
          <w:szCs w:val="36"/>
        </w:rPr>
        <w:t>OBJET ET DURÉE DU MARCHE</w:t>
      </w:r>
      <w:bookmarkEnd w:id="2"/>
      <w:bookmarkEnd w:id="3"/>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4" w:name="__RefHeading___Toc10304_2418032983"/>
      <w:bookmarkStart w:id="5" w:name="_Toc131002941"/>
      <w:bookmarkStart w:id="6" w:name="_Toc126851700"/>
      <w:bookmarkEnd w:id="4"/>
      <w:r>
        <w:rPr>
          <w:rFonts w:ascii="Times New Roman" w:hAnsi="Times New Roman"/>
          <w:b/>
          <w:bCs/>
          <w:iCs/>
          <w:color w:val="666699"/>
          <w:szCs w:val="28"/>
          <w:u w:val="single"/>
        </w:rPr>
        <w:t>Intitulé et Objet des prestations</w:t>
      </w:r>
      <w:bookmarkEnd w:id="5"/>
      <w:bookmarkEnd w:id="6"/>
    </w:p>
    <w:p>
      <w:pPr>
        <w:pStyle w:val="Normal"/>
        <w:rPr>
          <w:rFonts w:eastAsia="Arial" w:cs="Arial"/>
          <w:color w:val="000000"/>
        </w:rPr>
      </w:pPr>
      <w:r>
        <w:rPr>
          <w:rFonts w:eastAsia="Arial" w:cs="Arial"/>
          <w:color w:val="000000"/>
        </w:rPr>
        <w:t xml:space="preserve"> </w:t>
      </w:r>
      <w:r>
        <w:rPr>
          <w:rFonts w:eastAsia="Arial" w:cs="Arial"/>
          <w:color w:val="000000"/>
        </w:rPr>
        <w:t>Intitulé de la consultation :</w:t>
      </w:r>
    </w:p>
    <w:p>
      <w:pPr>
        <w:pStyle w:val="Normal"/>
        <w:rPr>
          <w:rFonts w:eastAsia="Arial" w:cs="Arial"/>
          <w:color w:val="000000"/>
        </w:rPr>
      </w:pPr>
      <w:r>
        <w:rPr>
          <w:rFonts w:eastAsia="Arial" w:cs="Arial"/>
          <w:color w:val="000000"/>
        </w:rPr>
        <w:t xml:space="preserve"> </w:t>
      </w:r>
      <w:r>
        <w:rPr>
          <w:rFonts w:eastAsia="Arial" w:cs="Arial"/>
          <w:color w:val="000000"/>
        </w:rPr>
        <w:t>CONCEPTION, AMÉNAGEMENT ET EXPLOITATION DES ZONES DE CELEBRATIONS RUGBY DE MARSEILLE</w:t>
      </w:r>
    </w:p>
    <w:p>
      <w:pPr>
        <w:pStyle w:val="Normal"/>
        <w:rPr>
          <w:rFonts w:eastAsia="Arial" w:cs="Arial"/>
          <w:color w:val="000000"/>
        </w:rPr>
      </w:pPr>
      <w:r>
        <w:rPr>
          <w:rFonts w:eastAsia="Arial" w:cs="Arial"/>
          <w:color w:val="000000"/>
        </w:rPr>
        <w:t>La présente consultation a pour objet : Prestations de conception, aménagement et exploitation des zones de célébrations Rugby de Marseille dans le cadre de la Coupe du Monde de Rugby 2023</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7" w:name="__RefHeading___Toc10306_2418032983"/>
      <w:bookmarkStart w:id="8" w:name="_Toc131002942"/>
      <w:bookmarkStart w:id="9" w:name="_Toc126851701"/>
      <w:bookmarkEnd w:id="7"/>
      <w:r>
        <w:rPr>
          <w:rFonts w:ascii="Times New Roman" w:hAnsi="Times New Roman"/>
          <w:b/>
          <w:bCs/>
          <w:iCs/>
          <w:color w:val="666699"/>
          <w:szCs w:val="28"/>
          <w:u w:val="single"/>
        </w:rPr>
        <w:t>Procédure</w:t>
      </w:r>
      <w:bookmarkEnd w:id="8"/>
      <w:bookmarkEnd w:id="9"/>
    </w:p>
    <w:p>
      <w:pPr>
        <w:pStyle w:val="Normal"/>
        <w:rPr>
          <w:rFonts w:eastAsia="Arial" w:cs="Arial"/>
          <w:color w:val="000000"/>
        </w:rPr>
      </w:pPr>
      <w:r>
        <w:rPr>
          <w:rFonts w:eastAsia="Arial" w:cs="Arial"/>
          <w:color w:val="000000"/>
        </w:rPr>
        <w:t xml:space="preserve"> </w:t>
      </w:r>
      <w:r>
        <w:rPr>
          <w:rFonts w:eastAsia="Arial" w:cs="Arial"/>
          <w:color w:val="000000"/>
        </w:rPr>
        <w:t>La procédure de passation est la suivante : MARCHES PUBLICS DE SERVICES SOCIAUX ET AUTRES SERVICES SPECIFIQUES - selon les articles suivants : articles L2123-1, R2123-1-3°, R2123-4-5-7 du Code de la commande publique.</w:t>
      </w:r>
    </w:p>
    <w:p>
      <w:pPr>
        <w:pStyle w:val="Normal"/>
        <w:rPr>
          <w:rFonts w:eastAsia="Arial" w:cs="Arial"/>
          <w:b/>
          <w:b/>
          <w:color w:val="000000"/>
        </w:rPr>
      </w:pPr>
      <w:r>
        <w:rPr>
          <w:rFonts w:eastAsia="Arial" w:cs="Arial"/>
          <w:b/>
          <w:color w:val="000000"/>
        </w:rPr>
        <w:t>Prestations similaires</w:t>
      </w:r>
    </w:p>
    <w:p>
      <w:pPr>
        <w:pStyle w:val="Normal"/>
        <w:rPr>
          <w:rFonts w:eastAsia="Arial" w:cs="Arial"/>
          <w:color w:val="000000"/>
        </w:rPr>
      </w:pPr>
      <w:r>
        <w:rPr>
          <w:rFonts w:eastAsia="Arial" w:cs="Arial"/>
          <w:color w:val="000000"/>
        </w:rPr>
        <w:t>Conformément à l'article R2122-7 du Code de la commande publique, le pouvoir adjudicateur se réserve la possibilité de conclure ultérieurement, avec le titulaire du marché, un marché ayant pour objet la réalisation de prestations similaires à celles confiées au titulaire dans le cadre de la présente consultation.</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0" w:name="__RefHeading___Toc10308_2418032983"/>
      <w:bookmarkStart w:id="11" w:name="_Toc131002943"/>
      <w:bookmarkStart w:id="12" w:name="_Toc126851702"/>
      <w:bookmarkEnd w:id="10"/>
      <w:r>
        <w:rPr>
          <w:rFonts w:ascii="Times New Roman" w:hAnsi="Times New Roman"/>
          <w:b/>
          <w:bCs/>
          <w:iCs/>
          <w:color w:val="666699"/>
          <w:szCs w:val="28"/>
          <w:u w:val="single"/>
        </w:rPr>
        <w:t>Décomposition en Lots, Tranches et postes</w:t>
      </w:r>
      <w:bookmarkEnd w:id="11"/>
      <w:bookmarkEnd w:id="12"/>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13" w:name="__RefHeading___Toc10310_2418032983"/>
      <w:bookmarkStart w:id="14" w:name="_Toc131002944"/>
      <w:bookmarkStart w:id="15" w:name="_Toc126851703"/>
      <w:bookmarkEnd w:id="13"/>
      <w:r>
        <w:rPr>
          <w:rFonts w:ascii="Times New Roman" w:hAnsi="Times New Roman"/>
          <w:bCs/>
          <w:color w:val="666699"/>
          <w:sz w:val="26"/>
          <w:szCs w:val="26"/>
          <w:u w:val="single"/>
        </w:rPr>
        <w:t>Décomposition en lots</w:t>
      </w:r>
      <w:bookmarkEnd w:id="14"/>
      <w:bookmarkEnd w:id="15"/>
    </w:p>
    <w:p>
      <w:pPr>
        <w:pStyle w:val="Normal"/>
        <w:spacing w:before="280" w:after="280"/>
        <w:rPr>
          <w:rFonts w:eastAsia="Times New Roman" w:cs="Arial"/>
          <w:color w:val="000000"/>
          <w:szCs w:val="20"/>
          <w:lang w:eastAsia="fr-FR" w:bidi="ar-SA"/>
        </w:rPr>
      </w:pPr>
      <w:r>
        <w:rPr>
          <w:rFonts w:eastAsia="Times New Roman" w:cs="Arial"/>
          <w:color w:val="000000"/>
          <w:szCs w:val="20"/>
          <w:lang w:eastAsia="fr-FR" w:bidi="ar-SA"/>
        </w:rPr>
        <w:t>L’ensemble des prestations est réparti en plusieurs lots traités par marchés séparés et définis comme suit :</w:t>
      </w:r>
    </w:p>
    <w:p>
      <w:pPr>
        <w:pStyle w:val="Normal"/>
        <w:keepNext w:val="true"/>
        <w:widowControl w:val="false"/>
        <w:numPr>
          <w:ilvl w:val="0"/>
          <w:numId w:val="0"/>
        </w:numPr>
        <w:spacing w:before="240" w:after="160"/>
        <w:ind w:left="0" w:hanging="0"/>
        <w:outlineLvl w:val="2"/>
        <w:rPr>
          <w:rFonts w:ascii="Times New Roman" w:hAnsi="Times New Roman"/>
          <w:bCs/>
          <w:color w:val="666699"/>
          <w:sz w:val="26"/>
          <w:szCs w:val="26"/>
          <w:u w:val="single"/>
        </w:rPr>
      </w:pPr>
      <w:r>
        <w:rPr>
          <w:rFonts w:ascii="Times New Roman" w:hAnsi="Times New Roman"/>
          <w:bCs/>
          <w:color w:val="666699"/>
          <w:sz w:val="26"/>
          <w:szCs w:val="26"/>
          <w:u w:val="single"/>
        </w:rPr>
      </w:r>
    </w:p>
    <w:tbl>
      <w:tblPr>
        <w:tblW w:w="835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51"/>
        <w:gridCol w:w="7707"/>
      </w:tblGrid>
      <w:tr>
        <w:trPr/>
        <w:tc>
          <w:tcPr>
            <w:tcW w:w="65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pacing w:before="0" w:after="160"/>
              <w:rPr>
                <w:rFonts w:eastAsia="Times New Roman" w:cs="Arial"/>
                <w:b/>
                <w:b/>
                <w:bCs/>
                <w:color w:val="000000"/>
                <w:szCs w:val="20"/>
                <w:lang w:eastAsia="fr-FR" w:bidi="ar-SA"/>
              </w:rPr>
            </w:pPr>
            <w:r>
              <w:rPr>
                <w:rFonts w:eastAsia="Times New Roman" w:cs="Arial"/>
                <w:b/>
                <w:bCs/>
                <w:color w:val="000000"/>
                <w:szCs w:val="20"/>
                <w:lang w:eastAsia="fr-FR" w:bidi="ar-SA"/>
              </w:rPr>
              <w:t>N°</w:t>
            </w:r>
          </w:p>
        </w:tc>
        <w:tc>
          <w:tcPr>
            <w:tcW w:w="770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pacing w:before="0" w:after="160"/>
              <w:rPr>
                <w:rFonts w:eastAsia="Times New Roman" w:cs="Arial"/>
                <w:b/>
                <w:b/>
                <w:bCs/>
                <w:color w:val="000000"/>
                <w:szCs w:val="20"/>
                <w:lang w:eastAsia="fr-FR" w:bidi="ar-SA"/>
              </w:rPr>
            </w:pPr>
            <w:r>
              <w:rPr>
                <w:rFonts w:eastAsia="Times New Roman" w:cs="Arial"/>
                <w:b/>
                <w:bCs/>
                <w:color w:val="000000"/>
                <w:szCs w:val="20"/>
                <w:lang w:eastAsia="fr-FR" w:bidi="ar-SA"/>
              </w:rPr>
              <w:t>Intitulés lots séparés</w:t>
            </w:r>
          </w:p>
        </w:tc>
      </w:tr>
      <w:tr>
        <w:trPr/>
        <w:tc>
          <w:tcPr>
            <w:tcW w:w="6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pacing w:before="0" w:after="160"/>
              <w:rPr>
                <w:rFonts w:eastAsia="Times New Roman" w:cs="Arial"/>
                <w:color w:val="000000"/>
                <w:szCs w:val="20"/>
                <w:lang w:eastAsia="fr-FR" w:bidi="ar-SA"/>
              </w:rPr>
            </w:pPr>
            <w:r>
              <w:rPr>
                <w:rFonts w:eastAsia="Times New Roman" w:cs="Arial"/>
                <w:color w:val="000000"/>
                <w:szCs w:val="20"/>
                <w:lang w:eastAsia="fr-FR" w:bidi="ar-SA"/>
              </w:rPr>
              <w:t>1</w:t>
            </w:r>
          </w:p>
        </w:tc>
        <w:tc>
          <w:tcPr>
            <w:tcW w:w="7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pacing w:before="0" w:after="160"/>
              <w:rPr>
                <w:rFonts w:eastAsia="Times New Roman" w:cs="Arial"/>
                <w:color w:val="000000"/>
                <w:szCs w:val="20"/>
                <w:lang w:eastAsia="fr-FR" w:bidi="ar-SA"/>
              </w:rPr>
            </w:pPr>
            <w:r>
              <w:rPr>
                <w:rFonts w:eastAsia="Times New Roman" w:cs="Arial"/>
                <w:color w:val="000000"/>
                <w:szCs w:val="20"/>
                <w:lang w:eastAsia="fr-FR" w:bidi="ar-SA"/>
              </w:rPr>
              <w:t>Conception, aménagement, exploitation du Village Rugby</w:t>
            </w:r>
          </w:p>
        </w:tc>
      </w:tr>
      <w:tr>
        <w:trPr/>
        <w:tc>
          <w:tcPr>
            <w:tcW w:w="6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pacing w:before="0" w:after="160"/>
              <w:rPr>
                <w:rFonts w:eastAsia="Times New Roman" w:cs="Arial"/>
                <w:color w:val="000000"/>
                <w:szCs w:val="20"/>
                <w:lang w:eastAsia="fr-FR" w:bidi="ar-SA"/>
              </w:rPr>
            </w:pPr>
            <w:r>
              <w:rPr>
                <w:rFonts w:eastAsia="Times New Roman" w:cs="Arial"/>
                <w:color w:val="000000"/>
                <w:szCs w:val="20"/>
                <w:lang w:eastAsia="fr-FR" w:bidi="ar-SA"/>
              </w:rPr>
              <w:t>2</w:t>
            </w:r>
          </w:p>
        </w:tc>
        <w:tc>
          <w:tcPr>
            <w:tcW w:w="7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pacing w:before="0" w:after="160"/>
              <w:rPr>
                <w:rFonts w:eastAsia="Times New Roman" w:cs="Arial"/>
                <w:color w:val="000000"/>
                <w:szCs w:val="20"/>
                <w:lang w:eastAsia="fr-FR" w:bidi="ar-SA"/>
              </w:rPr>
            </w:pPr>
            <w:r>
              <w:rPr>
                <w:rFonts w:eastAsia="Times New Roman" w:cs="Arial"/>
                <w:color w:val="000000"/>
                <w:szCs w:val="20"/>
                <w:lang w:eastAsia="fr-FR" w:bidi="ar-SA"/>
              </w:rPr>
              <w:t>Conception, aménagement, exploitation du "LIVE SITE"</w:t>
            </w:r>
          </w:p>
        </w:tc>
      </w:tr>
    </w:tbl>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16" w:name="__RefHeading___Toc10312_2418032983"/>
      <w:bookmarkStart w:id="17" w:name="_Toc131002945"/>
      <w:bookmarkStart w:id="18" w:name="_Toc126851704"/>
      <w:bookmarkEnd w:id="16"/>
      <w:r>
        <w:rPr>
          <w:rFonts w:ascii="Times New Roman" w:hAnsi="Times New Roman"/>
          <w:bCs/>
          <w:color w:val="666699"/>
          <w:sz w:val="26"/>
          <w:szCs w:val="26"/>
          <w:u w:val="single"/>
        </w:rPr>
        <w:t>Décomposition en tranches</w:t>
      </w:r>
      <w:bookmarkEnd w:id="17"/>
      <w:bookmarkEnd w:id="18"/>
    </w:p>
    <w:p>
      <w:pPr>
        <w:pStyle w:val="Normal"/>
        <w:rPr>
          <w:rFonts w:eastAsia="Arial" w:cs="Arial"/>
          <w:color w:val="000000"/>
        </w:rPr>
      </w:pPr>
      <w:r>
        <w:rPr>
          <w:rFonts w:eastAsia="Arial" w:cs="Arial"/>
          <w:color w:val="000000"/>
        </w:rPr>
        <w:t>L'ensemble des prestations n'est pas subdivisé en tranches.</w:t>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19" w:name="__RefHeading___Toc10314_2418032983"/>
      <w:bookmarkStart w:id="20" w:name="_Toc131002946"/>
      <w:bookmarkStart w:id="21" w:name="_Toc126851705"/>
      <w:bookmarkEnd w:id="19"/>
      <w:r>
        <w:rPr>
          <w:rFonts w:ascii="Times New Roman" w:hAnsi="Times New Roman"/>
          <w:bCs/>
          <w:color w:val="666699"/>
          <w:sz w:val="26"/>
          <w:szCs w:val="26"/>
          <w:u w:val="single"/>
        </w:rPr>
        <w:t>Décomposition en postes</w:t>
      </w:r>
      <w:bookmarkEnd w:id="20"/>
      <w:bookmarkEnd w:id="21"/>
    </w:p>
    <w:p>
      <w:pPr>
        <w:pStyle w:val="Normal"/>
        <w:rPr>
          <w:rFonts w:eastAsia="Arial" w:cs="Arial"/>
          <w:color w:val="000000"/>
        </w:rPr>
      </w:pPr>
      <w:r>
        <w:rPr>
          <w:rFonts w:eastAsia="Arial" w:cs="Arial"/>
          <w:color w:val="000000"/>
        </w:rPr>
        <w:t>L'ensemble des prestations n'est pas subdivisé en postes.</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22" w:name="__RefHeading___Toc10316_2418032983"/>
      <w:bookmarkStart w:id="23" w:name="_Toc131002947"/>
      <w:bookmarkStart w:id="24" w:name="_Toc126851706"/>
      <w:bookmarkEnd w:id="22"/>
      <w:r>
        <w:rPr>
          <w:rFonts w:ascii="Times New Roman" w:hAnsi="Times New Roman"/>
          <w:b/>
          <w:bCs/>
          <w:iCs/>
          <w:color w:val="666699"/>
          <w:szCs w:val="28"/>
          <w:u w:val="single"/>
        </w:rPr>
        <w:t>Modalités d'exécution des tranches optionnelles</w:t>
      </w:r>
      <w:bookmarkEnd w:id="23"/>
      <w:bookmarkEnd w:id="24"/>
    </w:p>
    <w:p>
      <w:pPr>
        <w:pStyle w:val="Normal"/>
        <w:rPr>
          <w:rFonts w:eastAsia="Arial" w:cs="Arial"/>
          <w:color w:val="000000"/>
        </w:rPr>
      </w:pPr>
      <w:r>
        <w:rPr>
          <w:rFonts w:eastAsia="Arial" w:cs="Arial"/>
          <w:color w:val="000000"/>
        </w:rPr>
        <w:t>L'ensemble des prestations n'est pas subdivisé en tranches.</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25" w:name="__RefHeading___Toc10318_2418032983"/>
      <w:bookmarkStart w:id="26" w:name="_Toc131002948"/>
      <w:bookmarkStart w:id="27" w:name="_Toc126851707"/>
      <w:bookmarkEnd w:id="25"/>
      <w:r>
        <w:rPr>
          <w:rFonts w:ascii="Times New Roman" w:hAnsi="Times New Roman"/>
          <w:b/>
          <w:bCs/>
          <w:iCs/>
          <w:color w:val="666699"/>
          <w:szCs w:val="28"/>
          <w:u w:val="single"/>
        </w:rPr>
        <w:t>Accord-cadre à bons de commande</w:t>
      </w:r>
      <w:bookmarkEnd w:id="26"/>
      <w:bookmarkEnd w:id="27"/>
    </w:p>
    <w:p>
      <w:pPr>
        <w:pStyle w:val="Normal"/>
        <w:rPr>
          <w:rFonts w:eastAsia="Arial" w:cs="Arial"/>
          <w:color w:val="000000"/>
        </w:rPr>
      </w:pPr>
      <w:r>
        <w:rPr>
          <w:rFonts w:eastAsia="Arial" w:cs="Arial"/>
          <w:color w:val="000000"/>
        </w:rPr>
        <w:t>Les prestations du lot 1 ne font pas l'objet de bons de commande</w:t>
      </w:r>
    </w:p>
    <w:p>
      <w:pPr>
        <w:pStyle w:val="Normal"/>
        <w:rPr>
          <w:rFonts w:eastAsia="Arial" w:cs="Arial"/>
          <w:color w:val="000000"/>
        </w:rPr>
      </w:pPr>
      <w:r>
        <w:rPr>
          <w:rFonts w:eastAsia="Arial" w:cs="Arial"/>
          <w:color w:val="000000"/>
        </w:rPr>
        <w:t xml:space="preserve">Le lot 2 </w:t>
      </w:r>
      <w:r>
        <w:rPr>
          <w:rFonts w:eastAsia="Arial" w:cs="Arial"/>
          <w:color w:val="000000"/>
          <w:shd w:fill="FFFFFF" w:val="clear"/>
        </w:rPr>
        <w:t xml:space="preserve">est un accord-cadre exécuté par l'émission de bons de commande, en application des articles R2162-1 à 6 et R2162-13 et 14 du Code de la commande publique avec un maximum de 700 000 euros </w:t>
      </w:r>
      <w:r>
        <w:rPr>
          <w:rFonts w:eastAsia="Arial" w:cs="Arial"/>
          <w:color w:val="000000"/>
          <w:shd w:fill="FFFFFF" w:val="clear"/>
        </w:rPr>
        <w:t>HT</w:t>
      </w:r>
    </w:p>
    <w:p>
      <w:pPr>
        <w:pStyle w:val="Normal"/>
        <w:rPr>
          <w:rFonts w:eastAsia="Arial" w:cs="Arial"/>
          <w:color w:val="000000"/>
        </w:rPr>
      </w:pPr>
      <w:r>
        <w:rPr>
          <w:rFonts w:eastAsia="Arial" w:cs="Arial"/>
          <w:color w:val="000000"/>
          <w:shd w:fill="FFFFFF" w:val="clear"/>
        </w:rPr>
        <w:t>Les bons de commandes pourront être émis jusqu'au dernier jour de la période de validité du marché.</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28" w:name="__RefHeading___Toc10320_2418032983"/>
      <w:bookmarkStart w:id="29" w:name="_Toc131002949"/>
      <w:bookmarkStart w:id="30" w:name="_Toc126851708"/>
      <w:bookmarkEnd w:id="28"/>
      <w:r>
        <w:rPr>
          <w:rFonts w:ascii="Times New Roman" w:hAnsi="Times New Roman"/>
          <w:b/>
          <w:bCs/>
          <w:iCs/>
          <w:color w:val="666699"/>
          <w:szCs w:val="28"/>
          <w:u w:val="single"/>
        </w:rPr>
        <w:t>Date d'effet du marché</w:t>
      </w:r>
      <w:bookmarkEnd w:id="29"/>
      <w:bookmarkEnd w:id="30"/>
    </w:p>
    <w:p>
      <w:pPr>
        <w:pStyle w:val="Normal"/>
        <w:rPr>
          <w:rFonts w:eastAsia="Arial" w:cs="Arial"/>
          <w:color w:val="000000"/>
        </w:rPr>
      </w:pPr>
      <w:r>
        <w:rPr>
          <w:rFonts w:eastAsia="Arial" w:cs="Arial"/>
          <w:color w:val="000000"/>
        </w:rPr>
        <w:t xml:space="preserve"> </w:t>
      </w:r>
      <w:r>
        <w:rPr>
          <w:rFonts w:eastAsia="Arial" w:cs="Arial"/>
          <w:color w:val="000000"/>
        </w:rPr>
        <w:t>La date de début de la période de validité et d'exécution du marché est la date de notification du marché au titulaire.</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31" w:name="__RefHeading___Toc10322_2418032983"/>
      <w:bookmarkStart w:id="32" w:name="_Toc131002950"/>
      <w:bookmarkStart w:id="33" w:name="_Toc126851709"/>
      <w:bookmarkEnd w:id="31"/>
      <w:r>
        <w:rPr>
          <w:rFonts w:ascii="Times New Roman" w:hAnsi="Times New Roman"/>
          <w:b/>
          <w:bCs/>
          <w:iCs/>
          <w:color w:val="666699"/>
          <w:szCs w:val="28"/>
          <w:u w:val="single"/>
        </w:rPr>
        <w:t>Durée du marché - Période de validité</w:t>
      </w:r>
      <w:bookmarkEnd w:id="32"/>
      <w:bookmarkEnd w:id="33"/>
    </w:p>
    <w:p>
      <w:pPr>
        <w:pStyle w:val="Normal"/>
        <w:rPr>
          <w:rFonts w:eastAsia="Arial" w:cs="Arial"/>
          <w:color w:val="000000"/>
        </w:rPr>
      </w:pPr>
      <w:r>
        <w:rPr>
          <w:rFonts w:eastAsia="Arial" w:cs="Arial"/>
          <w:color w:val="000000"/>
        </w:rPr>
        <w:t>La durée du marché se définit comme suit : 10 mois</w:t>
      </w:r>
    </w:p>
    <w:p>
      <w:pPr>
        <w:pStyle w:val="Normal"/>
        <w:rPr>
          <w:rFonts w:eastAsia="Arial" w:cs="Arial"/>
          <w:color w:val="000000"/>
        </w:rPr>
      </w:pPr>
      <w:r>
        <w:rPr>
          <w:rFonts w:eastAsia="Arial" w:cs="Arial"/>
          <w:color w:val="000000"/>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34" w:name="__RefHeading___Toc10324_2418032983"/>
      <w:bookmarkStart w:id="35" w:name="_Toc131002951"/>
      <w:bookmarkStart w:id="36" w:name="_Toc126851710"/>
      <w:bookmarkEnd w:id="34"/>
      <w:r>
        <w:rPr>
          <w:rFonts w:ascii="Times New Roman" w:hAnsi="Times New Roman"/>
          <w:b/>
          <w:bCs/>
          <w:iCs/>
          <w:color w:val="666699"/>
          <w:szCs w:val="28"/>
          <w:u w:val="single"/>
        </w:rPr>
        <w:t>Clause obligatoire d'insertion par l'activité économique</w:t>
      </w:r>
      <w:bookmarkEnd w:id="35"/>
      <w:bookmarkEnd w:id="36"/>
    </w:p>
    <w:p>
      <w:pPr>
        <w:pStyle w:val="Normal"/>
        <w:rPr>
          <w:rFonts w:eastAsia="Arial" w:cs="Arial"/>
          <w:color w:val="000000"/>
        </w:rPr>
      </w:pPr>
      <w:r>
        <w:rPr>
          <w:rFonts w:eastAsia="Arial" w:cs="Arial"/>
          <w:color w:val="000000"/>
        </w:rPr>
        <w:t>Le marché prévoit la mise en place d'une clause obligatoire d'insertion par l'activité économique.</w:t>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37" w:name="__RefHeading___Toc10326_2418032983"/>
      <w:bookmarkEnd w:id="37"/>
      <w:r>
        <w:rPr>
          <w:rFonts w:ascii="Times New Roman" w:hAnsi="Times New Roman"/>
          <w:bCs/>
          <w:color w:val="666699"/>
          <w:sz w:val="26"/>
          <w:szCs w:val="26"/>
          <w:u w:val="single"/>
        </w:rPr>
        <w:t xml:space="preserve"> </w:t>
      </w:r>
      <w:bookmarkStart w:id="38" w:name="_Toc131002952"/>
      <w:r>
        <w:rPr>
          <w:rFonts w:ascii="Times New Roman" w:hAnsi="Times New Roman"/>
          <w:bCs/>
          <w:color w:val="666699"/>
          <w:sz w:val="26"/>
          <w:szCs w:val="26"/>
          <w:u w:val="single"/>
        </w:rPr>
        <w:t>Insertion par l'activité économique</w:t>
      </w:r>
      <w:bookmarkEnd w:id="38"/>
    </w:p>
    <w:p>
      <w:pPr>
        <w:pStyle w:val="Normal"/>
        <w:rPr>
          <w:rFonts w:eastAsia="Arial" w:cs="Arial"/>
          <w:color w:val="000000"/>
        </w:rPr>
      </w:pPr>
      <w:r>
        <w:rPr>
          <w:rFonts w:eastAsia="Arial" w:cs="Arial"/>
          <w:color w:val="000000"/>
        </w:rPr>
        <w:t>En application des dispositions des articles L2111-3 et L2112-2 du Code de la commande publique et de l'article 16.1.2 du CCAG applicable, une action d'insertion qui permette l'accès ou le retour à l'emploi de personnes rencontrant des difficultés sociales ou professionnelles particulières doit être réalisée par les entreprises attributaires du marché.</w:t>
      </w:r>
    </w:p>
    <w:p>
      <w:pPr>
        <w:pStyle w:val="Normal"/>
        <w:rPr>
          <w:rFonts w:eastAsia="Arial" w:cs="Arial"/>
          <w:color w:val="000000"/>
        </w:rPr>
      </w:pPr>
      <w:r>
        <w:rPr>
          <w:rFonts w:eastAsia="Arial" w:cs="Arial"/>
          <w:color w:val="000000"/>
        </w:rPr>
        <w:t xml:space="preserve">Le nombre d'heures d'insertion à réaliser dans l'exécution de la prestation est le suivant : 100 heures pendant la durée d’exploitation des zones de célébrations. </w:t>
      </w:r>
    </w:p>
    <w:p>
      <w:pPr>
        <w:pStyle w:val="Normal"/>
        <w:rPr>
          <w:rFonts w:eastAsia="Arial" w:cs="Arial"/>
          <w:color w:val="000000"/>
        </w:rPr>
      </w:pPr>
      <w:r>
        <w:rPr>
          <w:rFonts w:eastAsia="Arial" w:cs="Arial"/>
          <w:color w:val="000000"/>
        </w:rPr>
        <w:t>En application de l'article 16.1 du CCAG applicable, cette action d'insertion pourra être réalisée sur l'ensemble des prestations nécessaires à la bonne exécution objet du présent marché.</w:t>
      </w:r>
    </w:p>
    <w:p>
      <w:pPr>
        <w:pStyle w:val="Normal"/>
        <w:rPr>
          <w:rFonts w:eastAsia="Arial" w:cs="Arial"/>
          <w:b/>
          <w:b/>
          <w:color w:val="000000"/>
        </w:rPr>
      </w:pPr>
      <w:r>
        <w:rPr>
          <w:rFonts w:eastAsia="Arial" w:cs="Arial"/>
          <w:b/>
          <w:color w:val="000000"/>
        </w:rPr>
        <w:t>La mise en œuvre de l'action d'insertion</w:t>
      </w:r>
    </w:p>
    <w:p>
      <w:pPr>
        <w:pStyle w:val="Normal"/>
        <w:rPr>
          <w:rFonts w:eastAsia="Arial" w:cs="Arial"/>
          <w:color w:val="000000"/>
        </w:rPr>
      </w:pPr>
      <w:r>
        <w:rPr>
          <w:rFonts w:eastAsia="Arial" w:cs="Arial"/>
          <w:color w:val="000000"/>
        </w:rPr>
        <w:t>En application de l'article 16.1.4.3 du CCAG applicable, une réunion de cadrage après la notification du marché sera organisée afin de préciser les modalités de mise en œuvre de l'action d'insertion.</w:t>
      </w:r>
    </w:p>
    <w:p>
      <w:pPr>
        <w:pStyle w:val="Normal"/>
        <w:rPr>
          <w:rFonts w:eastAsia="Arial" w:cs="Arial"/>
          <w:b/>
          <w:b/>
          <w:color w:val="000000"/>
        </w:rPr>
      </w:pPr>
      <w:r>
        <w:rPr>
          <w:rFonts w:eastAsia="Arial" w:cs="Arial"/>
          <w:b/>
          <w:color w:val="000000"/>
        </w:rPr>
        <w:t>Le contrôle de l'action d'insertion</w:t>
      </w:r>
    </w:p>
    <w:p>
      <w:pPr>
        <w:pStyle w:val="Normal"/>
        <w:rPr>
          <w:rFonts w:eastAsia="Arial" w:cs="Arial"/>
          <w:color w:val="000000"/>
        </w:rPr>
      </w:pPr>
      <w:r>
        <w:rPr>
          <w:rFonts w:eastAsia="Arial" w:cs="Arial"/>
          <w:color w:val="000000"/>
        </w:rPr>
        <w:t>Par dérogation à l'article 16.1.4.5 du CCAG applicable, la Ville de Marseille (Service Emploi) procédera au contrôle de l'exécution des actions d'insertion pour lesquelles le titulaire s'est engagé, tout au long de l'exécution des prestations. Elle est en charge d'élaborer les bilans quantitatifs et qualitatifs.</w:t>
      </w:r>
    </w:p>
    <w:p>
      <w:pPr>
        <w:pStyle w:val="Normal"/>
        <w:rPr>
          <w:rFonts w:eastAsia="Arial" w:cs="Arial"/>
          <w:color w:val="000000"/>
        </w:rPr>
      </w:pPr>
      <w:r>
        <w:rPr>
          <w:rFonts w:eastAsia="Arial" w:cs="Arial"/>
          <w:color w:val="000000"/>
        </w:rPr>
        <w:t>Le titulaire doit désigner un correspondant opérationnel pour le suivi des actions d'insertion professionnelle en application de l'article 16.1.4.2 du CCAG applicable.</w:t>
      </w:r>
    </w:p>
    <w:p>
      <w:pPr>
        <w:pStyle w:val="Normal"/>
        <w:rPr>
          <w:rFonts w:eastAsia="Arial" w:cs="Arial"/>
          <w:color w:val="000000"/>
        </w:rPr>
      </w:pPr>
      <w:r>
        <w:rPr>
          <w:rFonts w:eastAsia="Arial" w:cs="Arial"/>
          <w:color w:val="000000"/>
        </w:rPr>
        <w:t>A cet effet, le titulaire ou son prestataire d'insertion devra produire à l’ouverture de l’exploitation des zones de célébrations, selon la nature du recrutement, les renseignements relatifs à la mise en œuvre de l'action.</w:t>
      </w:r>
    </w:p>
    <w:p>
      <w:pPr>
        <w:pStyle w:val="Normal"/>
        <w:rPr>
          <w:rFonts w:eastAsia="Arial" w:cs="Arial"/>
          <w:color w:val="000000"/>
        </w:rPr>
      </w:pPr>
      <w:r>
        <w:rPr>
          <w:rFonts w:eastAsia="Arial" w:cs="Arial"/>
          <w:color w:val="000000"/>
        </w:rPr>
        <w:t>Seront acceptées les pièces suivantes :</w:t>
      </w:r>
    </w:p>
    <w:p>
      <w:pPr>
        <w:pStyle w:val="Normal"/>
        <w:rPr>
          <w:rFonts w:eastAsia="Arial" w:cs="Arial"/>
          <w:color w:val="000000"/>
        </w:rPr>
      </w:pPr>
      <w:r>
        <w:rPr>
          <w:rFonts w:eastAsia="Arial" w:cs="Arial"/>
          <w:color w:val="000000"/>
        </w:rPr>
        <w:t>- Attestation d'emploi certifiant l'embauche et la mise en œuvre de la clause,</w:t>
      </w:r>
    </w:p>
    <w:p>
      <w:pPr>
        <w:pStyle w:val="Normal"/>
        <w:rPr>
          <w:rFonts w:eastAsia="Arial" w:cs="Arial"/>
          <w:color w:val="000000"/>
        </w:rPr>
      </w:pPr>
      <w:r>
        <w:rPr>
          <w:rFonts w:eastAsia="Arial" w:cs="Arial"/>
          <w:color w:val="000000"/>
        </w:rPr>
        <w:t>- Déclaration unique d'embauche,</w:t>
      </w:r>
    </w:p>
    <w:p>
      <w:pPr>
        <w:pStyle w:val="Normal"/>
        <w:rPr>
          <w:rFonts w:eastAsia="Arial" w:cs="Arial"/>
          <w:color w:val="000000"/>
        </w:rPr>
      </w:pPr>
      <w:r>
        <w:rPr>
          <w:rFonts w:eastAsia="Arial" w:cs="Arial"/>
          <w:color w:val="000000"/>
        </w:rPr>
        <w:t>- Contrat de travail ou Contrat de mise à disposition ou Contrat de sous-traitance,</w:t>
      </w:r>
    </w:p>
    <w:p>
      <w:pPr>
        <w:pStyle w:val="Normal"/>
        <w:rPr>
          <w:rFonts w:eastAsia="Arial" w:cs="Arial"/>
          <w:color w:val="000000"/>
        </w:rPr>
      </w:pPr>
      <w:r>
        <w:rPr>
          <w:rFonts w:eastAsia="Arial" w:cs="Arial"/>
          <w:color w:val="000000"/>
        </w:rPr>
        <w:t>- Bulletin de salaire ou Relevé d'heure,</w:t>
      </w:r>
    </w:p>
    <w:p>
      <w:pPr>
        <w:pStyle w:val="Normal"/>
        <w:rPr>
          <w:rFonts w:eastAsia="Arial" w:cs="Arial"/>
          <w:color w:val="000000"/>
        </w:rPr>
      </w:pPr>
      <w:r>
        <w:rPr>
          <w:rFonts w:eastAsia="Arial" w:cs="Arial"/>
          <w:color w:val="000000"/>
        </w:rPr>
        <w:t>Le refus caractérisé de transmission de ces renseignements entraîne l'application d'une pénalité prévue au présent CCAP.</w:t>
      </w:r>
    </w:p>
    <w:p>
      <w:pPr>
        <w:pStyle w:val="Normal"/>
        <w:rPr>
          <w:rFonts w:eastAsia="Arial" w:cs="Arial"/>
          <w:color w:val="000000"/>
        </w:rPr>
      </w:pPr>
      <w:r>
        <w:rPr>
          <w:rFonts w:eastAsia="Arial" w:cs="Arial"/>
          <w:color w:val="000000"/>
        </w:rPr>
        <w:t>En application de l'article 16.1.4.4 du CCAG applicable, le titulaire doit informer le représentant du pouvoir adjudicateur par courrier recommandé avec AR, qu'il rencontre des difficultés pour assurer son engagement. Dans ce cas, la Ville de Marseille étudiera avec le titulaire, les moyens à mettre en œuvre pour parvenir aux objectifs d'insertion.</w:t>
      </w:r>
    </w:p>
    <w:p>
      <w:pPr>
        <w:pStyle w:val="Normal"/>
        <w:rPr>
          <w:rFonts w:eastAsia="Arial" w:cs="Arial"/>
          <w:color w:val="000000"/>
        </w:rPr>
      </w:pPr>
      <w:r>
        <w:rPr>
          <w:rFonts w:eastAsia="Arial" w:cs="Arial"/>
          <w:color w:val="000000"/>
        </w:rPr>
        <w:t>En cas de difficultés économiques, établies par un faisceau d'indices, l'entreprise attributaire peut demander au maître d'ouvrage la suspension ou la suppression de la clause sociale d'insertion.</w:t>
      </w:r>
    </w:p>
    <w:p>
      <w:pPr>
        <w:pStyle w:val="Normal"/>
        <w:rPr>
          <w:rFonts w:eastAsia="Arial" w:cs="Arial"/>
          <w:color w:val="000000"/>
        </w:rPr>
      </w:pPr>
      <w:r>
        <w:rPr>
          <w:rFonts w:eastAsia="Arial" w:cs="Arial"/>
          <w:color w:val="000000"/>
        </w:rPr>
        <w:t>En cas de difficultés économiques qui se traduisent par le recours à de l'activité partielle, ou à l'engagement d'une procédure de redressement judiciaire, le maître d'ouvrage pourra annuler la clause sociale d'insertion. Cette annulation est subordonnée à la communication d'une copie des documents afférents à ces difficultés, transmis à la DIRRECTE ou au juge.</w:t>
      </w:r>
    </w:p>
    <w:p>
      <w:pPr>
        <w:pStyle w:val="Normal"/>
        <w:rPr>
          <w:rFonts w:eastAsia="Arial" w:cs="Arial"/>
          <w:color w:val="000000"/>
        </w:rPr>
      </w:pPr>
      <w:r>
        <w:rPr>
          <w:rFonts w:eastAsia="Arial" w:cs="Arial"/>
          <w:color w:val="000000"/>
        </w:rPr>
        <w:t>En cas de manquement grave du titulaire à son engagement d'insertion, le représentant du pouvoir adjudicateur peut procéder à la résiliation du marché dans les conditions prévues au CCAG de référence.</w:t>
      </w:r>
    </w:p>
    <w:p>
      <w:pPr>
        <w:pStyle w:val="Normal"/>
        <w:rPr/>
      </w:pPr>
      <w:r>
        <w:rPr/>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39" w:name="__RefHeading___Toc10328_2418032983"/>
      <w:bookmarkStart w:id="40" w:name="_Toc131002953"/>
      <w:bookmarkEnd w:id="39"/>
      <w:r>
        <w:rPr>
          <w:rFonts w:ascii="Times New Roman" w:hAnsi="Times New Roman"/>
          <w:bCs/>
          <w:color w:val="666699"/>
          <w:sz w:val="26"/>
          <w:szCs w:val="26"/>
          <w:u w:val="single"/>
        </w:rPr>
        <w:t>Les publics visés</w:t>
      </w:r>
      <w:bookmarkEnd w:id="40"/>
    </w:p>
    <w:p>
      <w:pPr>
        <w:pStyle w:val="Normal"/>
        <w:rPr>
          <w:rFonts w:eastAsia="Arial" w:cs="Arial"/>
          <w:color w:val="000000"/>
        </w:rPr>
      </w:pPr>
      <w:r>
        <w:rPr>
          <w:rFonts w:eastAsia="Arial" w:cs="Arial"/>
          <w:color w:val="000000"/>
        </w:rPr>
        <w:t>Le dispositif mis en place vise à favoriser l'accès ou le retour à l'emploi de personnes, rencontrant des difficultés sociales ou professionnelles particulières.</w:t>
      </w:r>
    </w:p>
    <w:p>
      <w:pPr>
        <w:pStyle w:val="Normal"/>
        <w:rPr>
          <w:rFonts w:eastAsia="Arial" w:cs="Arial"/>
          <w:color w:val="000000"/>
        </w:rPr>
      </w:pPr>
      <w:r>
        <w:rPr>
          <w:rFonts w:eastAsia="Arial" w:cs="Arial"/>
          <w:color w:val="000000"/>
        </w:rPr>
        <w:t>Sont notamment concernés :</w:t>
      </w:r>
    </w:p>
    <w:p>
      <w:pPr>
        <w:pStyle w:val="Normal"/>
        <w:spacing w:before="0" w:after="0"/>
        <w:rPr/>
      </w:pPr>
      <w:r>
        <w:rPr>
          <w:rFonts w:eastAsia="Arial" w:cs="Arial"/>
          <w:i/>
          <w:color w:val="000000"/>
        </w:rPr>
        <w:t xml:space="preserve">- </w:t>
      </w:r>
      <w:r>
        <w:rPr>
          <w:rFonts w:eastAsia="Arial" w:cs="Arial"/>
          <w:color w:val="000000"/>
        </w:rPr>
        <w:t>les demandeurs d'emploi de longue durée,</w:t>
      </w:r>
    </w:p>
    <w:p>
      <w:pPr>
        <w:pStyle w:val="Normal"/>
        <w:spacing w:before="0" w:after="0"/>
        <w:rPr>
          <w:rFonts w:eastAsia="Arial" w:cs="Arial"/>
          <w:color w:val="000000"/>
        </w:rPr>
      </w:pPr>
      <w:r>
        <w:rPr>
          <w:rFonts w:eastAsia="Arial" w:cs="Arial"/>
          <w:color w:val="000000"/>
        </w:rPr>
        <w:t>- les allocataires du revenu de solidarité active demandeurs d'emploi,</w:t>
      </w:r>
    </w:p>
    <w:p>
      <w:pPr>
        <w:pStyle w:val="Normal"/>
        <w:spacing w:before="0" w:after="0"/>
        <w:rPr>
          <w:rFonts w:eastAsia="Arial" w:cs="Arial"/>
          <w:color w:val="000000"/>
        </w:rPr>
      </w:pPr>
      <w:r>
        <w:rPr>
          <w:rFonts w:eastAsia="Arial" w:cs="Arial"/>
          <w:color w:val="000000"/>
        </w:rPr>
        <w:t>- les allocataires de minima sociaux,</w:t>
      </w:r>
    </w:p>
    <w:p>
      <w:pPr>
        <w:pStyle w:val="Normal"/>
        <w:spacing w:before="0" w:after="0"/>
        <w:rPr>
          <w:rFonts w:eastAsia="Arial" w:cs="Arial"/>
          <w:color w:val="000000"/>
        </w:rPr>
      </w:pPr>
      <w:r>
        <w:rPr>
          <w:rFonts w:eastAsia="Arial" w:cs="Arial"/>
          <w:color w:val="000000"/>
        </w:rPr>
        <w:t>- les personnes reconnues travailleurs handicapés,</w:t>
      </w:r>
    </w:p>
    <w:p>
      <w:pPr>
        <w:pStyle w:val="Normal"/>
        <w:spacing w:before="0" w:after="0"/>
        <w:rPr>
          <w:rFonts w:eastAsia="Arial" w:cs="Arial"/>
          <w:color w:val="000000"/>
        </w:rPr>
      </w:pPr>
      <w:r>
        <w:rPr>
          <w:rFonts w:eastAsia="Arial" w:cs="Arial"/>
          <w:color w:val="000000"/>
        </w:rPr>
        <w:t>- les jeunes sortis sans qualification à l'issue de leur scolarité ou sans expérience professionnelle,</w:t>
      </w:r>
    </w:p>
    <w:p>
      <w:pPr>
        <w:pStyle w:val="Normal"/>
        <w:spacing w:before="0" w:after="0"/>
        <w:rPr>
          <w:rFonts w:eastAsia="Arial" w:cs="Arial"/>
          <w:color w:val="000000"/>
        </w:rPr>
      </w:pPr>
      <w:r>
        <w:rPr>
          <w:rFonts w:eastAsia="Arial" w:cs="Arial"/>
          <w:color w:val="000000"/>
        </w:rPr>
        <w:t>- les personnes relevant d'un dispositif d'insertion par l'activité économique.</w:t>
      </w:r>
    </w:p>
    <w:p>
      <w:pPr>
        <w:pStyle w:val="Normal"/>
        <w:rPr/>
      </w:pPr>
      <w:r>
        <w:rPr/>
      </w:r>
    </w:p>
    <w:p>
      <w:pPr>
        <w:pStyle w:val="Normal"/>
        <w:rPr>
          <w:rFonts w:eastAsia="Arial" w:cs="Arial"/>
          <w:color w:val="000000"/>
        </w:rPr>
      </w:pPr>
      <w:r>
        <w:rPr>
          <w:rFonts w:eastAsia="Arial" w:cs="Arial"/>
          <w:color w:val="000000"/>
        </w:rPr>
        <w:t>Cette liste est établie au regard des prescriptions du Code du Travail et de l'article 16.1.1 du CCAG applicable.</w:t>
      </w:r>
    </w:p>
    <w:p>
      <w:pPr>
        <w:pStyle w:val="Normal"/>
        <w:rPr/>
      </w:pPr>
      <w:r>
        <w:rPr/>
      </w:r>
    </w:p>
    <w:p>
      <w:pPr>
        <w:pStyle w:val="Normal"/>
        <w:rPr>
          <w:rFonts w:eastAsia="Arial" w:cs="Arial"/>
          <w:color w:val="000000"/>
        </w:rPr>
      </w:pPr>
      <w:r>
        <w:rPr>
          <w:rFonts w:eastAsia="Arial" w:cs="Arial"/>
          <w:color w:val="000000"/>
        </w:rPr>
        <w:t>En outre, d'autres personnes rencontrant des difficultés particulières peuvent, sur avis motivé de Pôle Emploi, des Maisons de l'Emploi, des Plans Locaux pour l'Insertion et l'Emploi, des Missions Locales ou de CAP Emploi, être considérées comme relevant des publics éloignés de l'emploi.</w:t>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41" w:name="__RefHeading___Toc10330_2418032983"/>
      <w:bookmarkStart w:id="42" w:name="_Toc131002954"/>
      <w:bookmarkEnd w:id="41"/>
      <w:r>
        <w:rPr>
          <w:rFonts w:ascii="Times New Roman" w:hAnsi="Times New Roman"/>
          <w:bCs/>
          <w:color w:val="666699"/>
          <w:sz w:val="26"/>
          <w:szCs w:val="26"/>
          <w:u w:val="single"/>
        </w:rPr>
        <w:t>Les choix de mise en œuvre</w:t>
      </w:r>
      <w:bookmarkEnd w:id="42"/>
    </w:p>
    <w:p>
      <w:pPr>
        <w:pStyle w:val="Normal"/>
        <w:rPr>
          <w:rFonts w:eastAsia="Arial" w:cs="Arial"/>
          <w:color w:val="000000"/>
        </w:rPr>
      </w:pPr>
      <w:r>
        <w:rPr>
          <w:rFonts w:eastAsia="Arial" w:cs="Arial"/>
          <w:color w:val="000000"/>
        </w:rPr>
        <w:t>Cela consiste, pour l'attributaire retenu, à réserver une part du temps total de travail nécessaire à l'exécution de son marché, à une action d'insertion. Le titulaire est libre du choix de la mise en œuvre de la clause d'insertion.</w:t>
      </w:r>
    </w:p>
    <w:p>
      <w:pPr>
        <w:pStyle w:val="Normal"/>
        <w:rPr>
          <w:rFonts w:eastAsia="Arial" w:cs="Arial"/>
          <w:color w:val="000000"/>
        </w:rPr>
      </w:pPr>
      <w:r>
        <w:rPr>
          <w:rFonts w:eastAsia="Arial" w:cs="Arial"/>
          <w:color w:val="000000"/>
        </w:rPr>
        <w:t>Trois possibilités s'offrent à lui :</w:t>
      </w:r>
    </w:p>
    <w:p>
      <w:pPr>
        <w:pStyle w:val="Normal"/>
        <w:rPr>
          <w:rFonts w:eastAsia="Arial" w:cs="Arial"/>
          <w:color w:val="000000"/>
        </w:rPr>
      </w:pPr>
      <w:r>
        <w:rPr>
          <w:rFonts w:eastAsia="Arial" w:cs="Arial"/>
          <w:color w:val="000000"/>
        </w:rPr>
        <w:t>- 1ère : le recours à la sous-traitance ou à la co-traitance avec une entreprise d'insertion ;</w:t>
      </w:r>
    </w:p>
    <w:p>
      <w:pPr>
        <w:pStyle w:val="Normal"/>
        <w:rPr>
          <w:rFonts w:eastAsia="Arial" w:cs="Arial"/>
          <w:color w:val="000000"/>
        </w:rPr>
      </w:pPr>
      <w:r>
        <w:rPr>
          <w:rFonts w:eastAsia="Arial" w:cs="Arial"/>
          <w:color w:val="000000"/>
        </w:rPr>
        <w:t>- 2ème : la mise à disposition de salariés (l'entreprise est en relation avec un organisme extérieur qui met à sa disposition des salariés en insertion durant la durée du marché. Il peut s'agir d'une entreprise de travail temporaire d'insertion, d'une entreprise de travail temporaire, d'un groupement d'employeurs pour l'insertion et la qualification ou d'une association intermédiaire) ;</w:t>
      </w:r>
    </w:p>
    <w:p>
      <w:pPr>
        <w:pStyle w:val="Normal"/>
        <w:rPr>
          <w:rFonts w:eastAsia="Arial" w:cs="Arial"/>
          <w:color w:val="000000"/>
        </w:rPr>
      </w:pPr>
      <w:r>
        <w:rPr>
          <w:rFonts w:eastAsia="Arial" w:cs="Arial"/>
          <w:color w:val="000000"/>
        </w:rPr>
        <w:t>- 3ème : l'embauche directe par l'entreprise titulaire du marché.</w:t>
      </w:r>
    </w:p>
    <w:p>
      <w:pPr>
        <w:pStyle w:val="Normal"/>
        <w:rPr/>
      </w:pPr>
      <w:r>
        <w:rPr/>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43" w:name="__RefHeading___Toc10332_2418032983"/>
      <w:bookmarkStart w:id="44" w:name="_Toc131002955"/>
      <w:bookmarkEnd w:id="43"/>
      <w:r>
        <w:rPr>
          <w:rFonts w:ascii="Times New Roman" w:hAnsi="Times New Roman"/>
          <w:bCs/>
          <w:color w:val="666699"/>
          <w:sz w:val="26"/>
          <w:szCs w:val="26"/>
          <w:u w:val="single"/>
        </w:rPr>
        <w:t>Pénalités pour non-respect de l'engagement d'insertion par l'activité économique</w:t>
      </w:r>
      <w:bookmarkEnd w:id="44"/>
    </w:p>
    <w:p>
      <w:pPr>
        <w:pStyle w:val="Normal"/>
        <w:rPr>
          <w:rFonts w:eastAsia="Arial" w:cs="Arial"/>
          <w:color w:val="000000"/>
        </w:rPr>
      </w:pPr>
      <w:r>
        <w:rPr>
          <w:rFonts w:eastAsia="Arial" w:cs="Arial"/>
          <w:color w:val="000000"/>
        </w:rPr>
        <w:t xml:space="preserve"> </w:t>
      </w:r>
      <w:r>
        <w:rPr>
          <w:rFonts w:eastAsia="Arial" w:cs="Arial"/>
          <w:color w:val="000000"/>
        </w:rPr>
        <w:t>L'article 16.1.5 du CCAG FCS s'applique.</w:t>
      </w:r>
    </w:p>
    <w:p>
      <w:pPr>
        <w:pStyle w:val="Normal"/>
        <w:rPr>
          <w:rFonts w:eastAsia="Arial" w:cs="Arial"/>
          <w:color w:val="000000"/>
        </w:rPr>
      </w:pPr>
      <w:r>
        <w:rPr>
          <w:rFonts w:eastAsia="Arial" w:cs="Arial"/>
          <w:color w:val="000000"/>
        </w:rPr>
        <w:t>En cas de non-respect des obligations relatives à l'insertion imputable au titulaire, l'entrepreneur subira une pénalité égale à 60 euros par heure d'insertion non réalisée.</w:t>
      </w:r>
    </w:p>
    <w:p>
      <w:pPr>
        <w:pStyle w:val="Normal"/>
        <w:rPr/>
      </w:pPr>
      <w:r>
        <w:rPr/>
      </w:r>
    </w:p>
    <w:p>
      <w:pPr>
        <w:pStyle w:val="Normal"/>
        <w:rPr>
          <w:rFonts w:eastAsia="Arial" w:cs="Arial"/>
          <w:color w:val="000000"/>
        </w:rPr>
      </w:pPr>
      <w:r>
        <w:rPr>
          <w:rFonts w:eastAsia="Arial" w:cs="Arial"/>
          <w:color w:val="000000"/>
        </w:rPr>
        <w:t>En cas d'absence ou de refus de transmission des renseignements propres à permettre le contrôle de l'exécution de l'action, l'entrepreneur subira une pénalité égale à 100 euros par jour de retard à compter de la mise en demeure par le représentant du pouvoir adjudicateur.</w:t>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45" w:name="__RefHeading___Toc10334_2418032983"/>
      <w:bookmarkStart w:id="46" w:name="_Toc131002956"/>
      <w:bookmarkStart w:id="47" w:name="_Toc126851711"/>
      <w:bookmarkEnd w:id="45"/>
      <w:r>
        <w:rPr>
          <w:rFonts w:ascii="Times New Roman" w:hAnsi="Times New Roman"/>
          <w:bCs/>
          <w:color w:val="666699"/>
          <w:sz w:val="26"/>
          <w:szCs w:val="26"/>
          <w:u w:val="single"/>
        </w:rPr>
        <w:t>Réemploi, réutilisation ou intégration de matières recyclées</w:t>
      </w:r>
      <w:bookmarkEnd w:id="46"/>
      <w:bookmarkEnd w:id="47"/>
      <w:r>
        <w:rPr>
          <w:rFonts w:ascii="Times New Roman" w:hAnsi="Times New Roman"/>
          <w:bCs/>
          <w:color w:val="666699"/>
          <w:sz w:val="26"/>
          <w:szCs w:val="26"/>
          <w:u w:val="single"/>
        </w:rPr>
        <w:t xml:space="preserve"> </w:t>
      </w:r>
    </w:p>
    <w:p>
      <w:pPr>
        <w:pStyle w:val="Normal"/>
        <w:rPr>
          <w:rFonts w:eastAsia="Arial" w:cs="Arial"/>
          <w:color w:val="000000"/>
        </w:rPr>
      </w:pPr>
      <w:r>
        <w:rPr>
          <w:rFonts w:eastAsia="Arial" w:cs="Arial"/>
          <w:color w:val="000000"/>
        </w:rPr>
        <w:t>Sans objet</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48" w:name="__RefHeading___Toc10336_2418032983"/>
      <w:bookmarkStart w:id="49" w:name="_Toc131002957"/>
      <w:bookmarkStart w:id="50" w:name="_Toc126851712"/>
      <w:bookmarkEnd w:id="48"/>
      <w:r>
        <w:rPr>
          <w:rFonts w:ascii="Times New Roman" w:hAnsi="Times New Roman"/>
          <w:b/>
          <w:color w:val="666699"/>
          <w:sz w:val="28"/>
          <w:szCs w:val="36"/>
        </w:rPr>
        <w:t>DOCUMENTS CONTRACTUELS</w:t>
      </w:r>
      <w:bookmarkEnd w:id="49"/>
      <w:bookmarkEnd w:id="50"/>
    </w:p>
    <w:p>
      <w:pPr>
        <w:pStyle w:val="Normal"/>
        <w:rPr/>
      </w:pPr>
      <w:r>
        <w:rPr>
          <w:rFonts w:eastAsia="Arial" w:cs="Arial"/>
          <w:b/>
          <w:color w:val="000000"/>
        </w:rPr>
        <w:t>Par dérogation à l'article 4.1 du C.C.A.G. FCS</w:t>
      </w:r>
      <w:r>
        <w:rPr>
          <w:rFonts w:eastAsia="Arial" w:cs="Arial"/>
          <w:color w:val="000000"/>
        </w:rPr>
        <w:t>, les pièces constitutives du marché sont les suivantes par ordre de priorité décroissante :</w:t>
      </w:r>
    </w:p>
    <w:p>
      <w:pPr>
        <w:pStyle w:val="Normal"/>
        <w:rPr>
          <w:rFonts w:eastAsia="Arial" w:cs="Arial"/>
          <w:color w:val="000000"/>
        </w:rPr>
      </w:pPr>
      <w:r>
        <w:rPr>
          <w:rFonts w:eastAsia="Arial" w:cs="Arial"/>
          <w:color w:val="000000"/>
        </w:rPr>
        <w:t xml:space="preserve"> </w:t>
      </w:r>
      <w:r>
        <w:rPr>
          <w:rFonts w:eastAsia="Arial" w:cs="Arial"/>
          <w:color w:val="000000"/>
        </w:rPr>
        <w:t>- L'Acte d'Engagement (AE) pour chacun des lots et ses annexes désignées ci-après :</w:t>
      </w:r>
    </w:p>
    <w:p>
      <w:pPr>
        <w:pStyle w:val="Normal"/>
        <w:ind w:firstLine="706"/>
        <w:rPr>
          <w:rFonts w:eastAsia="Arial" w:cs="Arial"/>
          <w:color w:val="000000"/>
        </w:rPr>
      </w:pPr>
      <w:r>
        <w:rPr>
          <w:rFonts w:eastAsia="Arial" w:cs="Arial"/>
          <w:color w:val="000000"/>
        </w:rPr>
        <w:t>- Le compte d’exploitation (annexe A à l’AE) par lot</w:t>
      </w:r>
    </w:p>
    <w:p>
      <w:pPr>
        <w:pStyle w:val="Normal"/>
        <w:ind w:firstLine="706"/>
        <w:rPr>
          <w:rFonts w:eastAsia="Arial" w:cs="Arial"/>
          <w:color w:val="000000"/>
        </w:rPr>
      </w:pPr>
      <w:r>
        <w:rPr>
          <w:rFonts w:eastAsia="Arial" w:cs="Arial"/>
          <w:color w:val="000000"/>
        </w:rPr>
        <w:t>- La protection des données et sécurité (annexe B à l’AE) par lot</w:t>
      </w:r>
    </w:p>
    <w:p>
      <w:pPr>
        <w:pStyle w:val="Normal"/>
        <w:rPr>
          <w:rFonts w:eastAsia="Arial" w:cs="Arial"/>
          <w:color w:val="000000"/>
        </w:rPr>
      </w:pPr>
      <w:r>
        <w:rPr>
          <w:rFonts w:eastAsia="Arial" w:cs="Arial"/>
          <w:color w:val="000000"/>
        </w:rPr>
        <w:t xml:space="preserve"> </w:t>
      </w:r>
      <w:r>
        <w:rPr>
          <w:rFonts w:eastAsia="Arial" w:cs="Arial"/>
          <w:color w:val="000000"/>
        </w:rPr>
        <w:t xml:space="preserve">- Le présent cahier des clauses administratives particulières (C.C.A.P.) </w:t>
      </w:r>
    </w:p>
    <w:p>
      <w:pPr>
        <w:pStyle w:val="Normal"/>
        <w:rPr>
          <w:rFonts w:eastAsia="Arial" w:cs="Arial"/>
          <w:color w:val="000000"/>
        </w:rPr>
      </w:pPr>
      <w:r>
        <w:rPr>
          <w:rFonts w:eastAsia="Arial" w:cs="Arial"/>
          <w:color w:val="000000"/>
        </w:rPr>
        <w:t>- Le document intitulé Cahier des Clauses Techniques Particulières (C.C.T.P.) et ses annexes</w:t>
      </w:r>
    </w:p>
    <w:p>
      <w:pPr>
        <w:pStyle w:val="ListParagraph"/>
        <w:numPr>
          <w:ilvl w:val="0"/>
          <w:numId w:val="6"/>
        </w:numPr>
        <w:spacing w:lineRule="auto" w:line="240" w:before="0" w:after="0"/>
        <w:contextualSpacing/>
        <w:jc w:val="both"/>
        <w:rPr>
          <w:rFonts w:eastAsia="Times New Roman" w:cs="Calibri"/>
          <w:lang w:eastAsia="fr-FR"/>
        </w:rPr>
      </w:pPr>
      <w:r>
        <w:rPr>
          <w:rFonts w:eastAsia="Times New Roman" w:cs="Calibri"/>
          <w:lang w:eastAsia="fr-FR"/>
        </w:rPr>
        <w:t>Annexe 1_Calendrier RWC2023</w:t>
      </w:r>
    </w:p>
    <w:p>
      <w:pPr>
        <w:pStyle w:val="ListParagraph"/>
        <w:numPr>
          <w:ilvl w:val="0"/>
          <w:numId w:val="6"/>
        </w:numPr>
        <w:spacing w:lineRule="auto" w:line="240" w:before="0" w:after="0"/>
        <w:contextualSpacing/>
        <w:jc w:val="both"/>
        <w:rPr>
          <w:rFonts w:eastAsia="Times New Roman" w:cs="Calibri"/>
          <w:lang w:eastAsia="fr-FR"/>
        </w:rPr>
      </w:pPr>
      <w:r>
        <w:rPr>
          <w:rFonts w:eastAsia="Times New Roman" w:cs="Calibri"/>
          <w:lang w:eastAsia="fr-FR"/>
        </w:rPr>
        <w:t>Annexe 2a_Plan Canebière</w:t>
      </w:r>
    </w:p>
    <w:p>
      <w:pPr>
        <w:pStyle w:val="ListParagraph"/>
        <w:numPr>
          <w:ilvl w:val="0"/>
          <w:numId w:val="6"/>
        </w:numPr>
        <w:spacing w:lineRule="auto" w:line="240" w:before="0" w:after="0"/>
        <w:contextualSpacing/>
        <w:jc w:val="both"/>
        <w:rPr>
          <w:rFonts w:eastAsia="Times New Roman" w:cs="Calibri"/>
          <w:lang w:eastAsia="fr-FR"/>
        </w:rPr>
      </w:pPr>
      <w:r>
        <w:rPr>
          <w:rFonts w:eastAsia="Times New Roman" w:cs="Calibri"/>
          <w:lang w:eastAsia="fr-FR"/>
        </w:rPr>
        <w:t>Annexe 2b_Pan Vieux Port</w:t>
      </w:r>
    </w:p>
    <w:p>
      <w:pPr>
        <w:pStyle w:val="ListParagraph"/>
        <w:numPr>
          <w:ilvl w:val="0"/>
          <w:numId w:val="6"/>
        </w:numPr>
        <w:spacing w:lineRule="auto" w:line="240" w:before="0" w:after="0"/>
        <w:contextualSpacing/>
        <w:jc w:val="both"/>
        <w:rPr>
          <w:rFonts w:eastAsia="Times New Roman" w:cs="Calibri"/>
          <w:lang w:eastAsia="fr-FR"/>
        </w:rPr>
      </w:pPr>
      <w:r>
        <w:rPr>
          <w:rFonts w:eastAsia="Times New Roman" w:cs="Calibri"/>
          <w:lang w:eastAsia="fr-FR"/>
        </w:rPr>
        <w:t>Annexe 3_Règles commerciales Village Rugby</w:t>
      </w:r>
    </w:p>
    <w:p>
      <w:pPr>
        <w:pStyle w:val="ListParagraph"/>
        <w:numPr>
          <w:ilvl w:val="0"/>
          <w:numId w:val="6"/>
        </w:numPr>
        <w:spacing w:lineRule="auto" w:line="240" w:before="0" w:after="0"/>
        <w:contextualSpacing/>
        <w:jc w:val="both"/>
        <w:rPr>
          <w:rFonts w:eastAsia="Times New Roman" w:cs="Calibri"/>
          <w:lang w:eastAsia="fr-FR"/>
        </w:rPr>
      </w:pPr>
      <w:r>
        <w:rPr>
          <w:rFonts w:eastAsia="Times New Roman" w:cs="Calibri"/>
          <w:lang w:eastAsia="fr-FR"/>
        </w:rPr>
        <w:t xml:space="preserve">Annexe 4_Instructions ministérielles village rugby </w:t>
      </w:r>
    </w:p>
    <w:p>
      <w:pPr>
        <w:pStyle w:val="ListParagraph"/>
        <w:numPr>
          <w:ilvl w:val="0"/>
          <w:numId w:val="6"/>
        </w:numPr>
        <w:spacing w:lineRule="auto" w:line="240" w:before="0" w:after="0"/>
        <w:contextualSpacing/>
        <w:jc w:val="both"/>
        <w:rPr>
          <w:rFonts w:eastAsia="Times New Roman" w:cs="Calibri"/>
          <w:lang w:eastAsia="fr-FR"/>
        </w:rPr>
      </w:pPr>
      <w:r>
        <w:rPr>
          <w:rFonts w:eastAsia="Times New Roman" w:cs="Calibri"/>
          <w:lang w:eastAsia="fr-FR"/>
        </w:rPr>
        <w:t xml:space="preserve">Annexe 5_Charte écoresponsabilité &amp; Développement Durable </w:t>
      </w:r>
    </w:p>
    <w:p>
      <w:pPr>
        <w:pStyle w:val="ListParagraph"/>
        <w:numPr>
          <w:ilvl w:val="0"/>
          <w:numId w:val="6"/>
        </w:numPr>
        <w:spacing w:lineRule="auto" w:line="240" w:before="0" w:after="0"/>
        <w:contextualSpacing/>
        <w:jc w:val="both"/>
        <w:rPr>
          <w:rFonts w:eastAsia="Times New Roman" w:cs="Calibri"/>
          <w:lang w:eastAsia="fr-FR"/>
        </w:rPr>
      </w:pPr>
      <w:r>
        <w:rPr>
          <w:rFonts w:eastAsia="Times New Roman" w:cs="Calibri"/>
          <w:lang w:eastAsia="fr-FR"/>
        </w:rPr>
        <w:t>Annexe 6_Tarifs et taxes septembre 2021</w:t>
      </w:r>
    </w:p>
    <w:p>
      <w:pPr>
        <w:pStyle w:val="Normal"/>
        <w:spacing w:lineRule="auto" w:line="240" w:before="0" w:after="0"/>
        <w:jc w:val="both"/>
        <w:rPr>
          <w:rFonts w:eastAsia="Times New Roman" w:cs="Calibri"/>
          <w:b/>
          <w:b/>
          <w:lang w:eastAsia="fr-FR"/>
        </w:rPr>
      </w:pPr>
      <w:r>
        <w:rPr>
          <w:rFonts w:eastAsia="Times New Roman" w:cs="Calibri"/>
          <w:b/>
          <w:lang w:eastAsia="fr-FR"/>
        </w:rPr>
      </w:r>
    </w:p>
    <w:p>
      <w:pPr>
        <w:pStyle w:val="Normal"/>
        <w:rPr>
          <w:rFonts w:eastAsia="Arial" w:cs="Arial"/>
          <w:color w:val="000000"/>
        </w:rPr>
      </w:pPr>
      <w:r>
        <w:rPr>
          <w:rFonts w:eastAsia="Arial" w:cs="Arial"/>
          <w:color w:val="000000"/>
        </w:rPr>
        <w:t xml:space="preserve"> </w:t>
      </w:r>
      <w:r>
        <w:rPr>
          <w:rFonts w:eastAsia="Arial" w:cs="Arial"/>
          <w:color w:val="000000"/>
        </w:rPr>
        <w:t>- Le cahier des clauses administratives générales (C.C.A.G.) applicable aux marchés publics de Fournitures courantes et de services approuvé par l'arrêté du 30 mars 2021 publié au JORF du 1er avril 2021</w:t>
      </w:r>
    </w:p>
    <w:p>
      <w:pPr>
        <w:pStyle w:val="Normal"/>
        <w:rPr>
          <w:rFonts w:eastAsia="Arial" w:cs="Arial"/>
          <w:color w:val="000000"/>
        </w:rPr>
      </w:pPr>
      <w:r>
        <w:rPr>
          <w:rFonts w:eastAsia="Arial" w:cs="Arial"/>
          <w:color w:val="000000"/>
        </w:rPr>
        <w:t>- le Mémoire technique et tout document technique à l’appui de l’offre du titulaire par lot</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51" w:name="__RefHeading___Toc10338_2418032983"/>
      <w:bookmarkStart w:id="52" w:name="_Toc131002958"/>
      <w:bookmarkStart w:id="53" w:name="_Toc126851713"/>
      <w:bookmarkEnd w:id="51"/>
      <w:r>
        <w:rPr>
          <w:rFonts w:ascii="Times New Roman" w:hAnsi="Times New Roman"/>
          <w:b/>
          <w:color w:val="666699"/>
          <w:sz w:val="28"/>
          <w:szCs w:val="36"/>
        </w:rPr>
        <w:t>DÉLAIS DE LIVRAISON ET/OU D</w:t>
      </w:r>
      <w:bookmarkEnd w:id="53"/>
      <w:r>
        <w:rPr>
          <w:rFonts w:ascii="Times New Roman" w:hAnsi="Times New Roman"/>
          <w:b/>
          <w:color w:val="666699"/>
          <w:sz w:val="28"/>
          <w:szCs w:val="36"/>
        </w:rPr>
        <w:t>’EXÉCUTION</w:t>
      </w:r>
      <w:bookmarkEnd w:id="52"/>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54" w:name="__RefHeading___Toc10340_2418032983"/>
      <w:bookmarkStart w:id="55" w:name="_Toc131002959"/>
      <w:bookmarkStart w:id="56" w:name="_Toc126851714"/>
      <w:bookmarkEnd w:id="54"/>
      <w:r>
        <w:rPr>
          <w:rFonts w:ascii="Times New Roman" w:hAnsi="Times New Roman"/>
          <w:b/>
          <w:bCs/>
          <w:iCs/>
          <w:color w:val="666699"/>
          <w:szCs w:val="28"/>
          <w:u w:val="single"/>
        </w:rPr>
        <w:t>Délais d’exécutions</w:t>
      </w:r>
      <w:bookmarkEnd w:id="55"/>
      <w:bookmarkEnd w:id="56"/>
    </w:p>
    <w:p>
      <w:pPr>
        <w:pStyle w:val="Normal"/>
        <w:rPr>
          <w:rFonts w:eastAsia="Arial" w:cs="Arial"/>
          <w:color w:val="000000"/>
        </w:rPr>
      </w:pPr>
      <w:r>
        <w:rPr>
          <w:rFonts w:eastAsia="Arial" w:cs="Arial"/>
          <w:color w:val="000000"/>
        </w:rPr>
        <w:t>Les prestations débutent à compter de la date de notification du marché. La prestation demandée se décline en 4 phases de réalisation, le C.C.T.P. du marché fixe les conditions particulières d'exécution.</w:t>
      </w:r>
    </w:p>
    <w:p>
      <w:pPr>
        <w:pStyle w:val="Normal"/>
        <w:rPr>
          <w:rFonts w:eastAsia="Arial" w:cs="Arial"/>
          <w:b/>
          <w:b/>
          <w:color w:val="000000"/>
        </w:rPr>
      </w:pPr>
      <w:r>
        <w:rPr>
          <w:rFonts w:eastAsia="Arial" w:cs="Arial"/>
          <w:b/>
          <w:color w:val="000000"/>
        </w:rPr>
        <w:t xml:space="preserve">Phase 1 : Finalisation du concept et de la scénographie </w:t>
      </w:r>
    </w:p>
    <w:p>
      <w:pPr>
        <w:pStyle w:val="Normal"/>
        <w:rPr>
          <w:rFonts w:eastAsia="Arial" w:cs="Arial"/>
          <w:b/>
          <w:b/>
          <w:color w:val="000000"/>
        </w:rPr>
      </w:pPr>
      <w:r>
        <w:rPr>
          <w:rFonts w:eastAsia="Arial" w:cs="Arial"/>
          <w:b/>
          <w:color w:val="000000"/>
        </w:rPr>
        <w:t>Phase 2 : Aménagement, équipement et réalisation du village et du « live site »</w:t>
      </w:r>
    </w:p>
    <w:p>
      <w:pPr>
        <w:pStyle w:val="Normal"/>
        <w:rPr>
          <w:rFonts w:eastAsia="Arial" w:cs="Arial"/>
          <w:b/>
          <w:b/>
          <w:color w:val="000000"/>
        </w:rPr>
      </w:pPr>
      <w:r>
        <w:rPr>
          <w:rFonts w:eastAsia="Arial" w:cs="Arial"/>
          <w:b/>
          <w:color w:val="000000"/>
        </w:rPr>
        <w:t xml:space="preserve">Phase 3 : Exploitation commerciale et animation </w:t>
      </w:r>
    </w:p>
    <w:p>
      <w:pPr>
        <w:pStyle w:val="Normal"/>
        <w:rPr>
          <w:rFonts w:eastAsia="Arial" w:cs="Arial"/>
          <w:b/>
          <w:b/>
          <w:bCs/>
          <w:color w:val="000000"/>
        </w:rPr>
      </w:pPr>
      <w:r>
        <w:rPr>
          <w:rFonts w:eastAsia="Arial" w:cs="Arial"/>
          <w:b/>
          <w:bCs/>
          <w:color w:val="000000"/>
        </w:rPr>
        <w:t xml:space="preserve">Phase 4 : Démontage et bilan de l’opération </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57" w:name="__RefHeading___Toc10342_2418032983"/>
      <w:bookmarkStart w:id="58" w:name="_Toc131002960"/>
      <w:bookmarkStart w:id="59" w:name="_Toc126851715"/>
      <w:bookmarkEnd w:id="57"/>
      <w:r>
        <w:rPr>
          <w:rFonts w:ascii="Times New Roman" w:hAnsi="Times New Roman"/>
          <w:b/>
          <w:bCs/>
          <w:iCs/>
          <w:color w:val="666699"/>
          <w:szCs w:val="28"/>
          <w:u w:val="single"/>
        </w:rPr>
        <w:t>Mise en œuvre du marché</w:t>
      </w:r>
      <w:bookmarkEnd w:id="58"/>
      <w:bookmarkEnd w:id="59"/>
    </w:p>
    <w:p>
      <w:pPr>
        <w:pStyle w:val="Normal"/>
        <w:rPr>
          <w:rFonts w:eastAsia="Arial" w:cs="Arial"/>
          <w:color w:val="000000"/>
        </w:rPr>
      </w:pPr>
      <w:r>
        <w:rPr>
          <w:rFonts w:eastAsia="Arial" w:cs="Arial"/>
          <w:color w:val="000000"/>
        </w:rPr>
        <w:t>La notification du marché vaut ordre de service prescrivant le démarrage des prestations.</w:t>
      </w:r>
    </w:p>
    <w:p>
      <w:pPr>
        <w:pStyle w:val="Normal"/>
        <w:rPr/>
      </w:pPr>
      <w:r>
        <w:rPr>
          <w:rFonts w:eastAsia="Arial" w:cs="Arial"/>
          <w:color w:val="000000"/>
        </w:rPr>
        <w:t>Dans un délai maximal de 5 jours à compter de la notification du marché, le titulaire devra transmettre à la ville les coordonnées des personnes à solliciter pour le suivi d’exécution du marché (interlocuteur, suivi compte financière…)</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60" w:name="__RefHeading___Toc10344_2418032983"/>
      <w:bookmarkStart w:id="61" w:name="_Toc131002961"/>
      <w:bookmarkStart w:id="62" w:name="_Toc127175651"/>
      <w:bookmarkStart w:id="63" w:name="_Toc118728035"/>
      <w:bookmarkEnd w:id="60"/>
      <w:r>
        <w:rPr>
          <w:rFonts w:ascii="Times New Roman" w:hAnsi="Times New Roman"/>
          <w:b/>
          <w:bCs/>
          <w:iCs/>
          <w:color w:val="666699"/>
          <w:szCs w:val="28"/>
          <w:u w:val="single"/>
        </w:rPr>
        <w:t>Émission des bons de commande</w:t>
      </w:r>
      <w:bookmarkEnd w:id="61"/>
      <w:bookmarkEnd w:id="62"/>
      <w:bookmarkEnd w:id="63"/>
      <w:r>
        <w:rPr>
          <w:rFonts w:ascii="Times New Roman" w:hAnsi="Times New Roman"/>
          <w:b/>
          <w:bCs/>
          <w:iCs/>
          <w:color w:val="666699"/>
          <w:szCs w:val="28"/>
          <w:u w:val="single"/>
        </w:rPr>
        <w:t xml:space="preserve"> </w:t>
      </w:r>
    </w:p>
    <w:p>
      <w:pPr>
        <w:pStyle w:val="Normal"/>
        <w:rPr/>
      </w:pPr>
      <w:r>
        <w:rPr/>
        <w:t>Le  lot 1 est sans bon de commande</w:t>
      </w:r>
    </w:p>
    <w:p>
      <w:pPr>
        <w:pStyle w:val="Normal"/>
        <w:rPr>
          <w:rFonts w:eastAsia="Arial" w:cs="Arial"/>
          <w:color w:val="000000"/>
          <w:shd w:fill="FFFFFF" w:val="clear"/>
        </w:rPr>
      </w:pPr>
      <w:r>
        <w:rPr>
          <w:rFonts w:eastAsia="Arial" w:cs="Arial"/>
          <w:color w:val="000000"/>
          <w:shd w:fill="FFFFFF" w:val="clear"/>
        </w:rPr>
        <w:t>Pour le lot 2, les commandes sont faites au fur et à mesure des besoins par le moyen de bons de commande délivrés par le service et qui comporteront :</w:t>
      </w:r>
    </w:p>
    <w:p>
      <w:pPr>
        <w:pStyle w:val="Normal"/>
        <w:spacing w:before="0" w:after="0"/>
        <w:rPr/>
      </w:pPr>
      <w:r>
        <w:rPr/>
        <w:t xml:space="preserve">• </w:t>
      </w:r>
      <w:r>
        <w:rPr/>
        <w:t>La référence au marché,</w:t>
      </w:r>
    </w:p>
    <w:p>
      <w:pPr>
        <w:pStyle w:val="Normal"/>
        <w:spacing w:before="0" w:after="0"/>
        <w:rPr/>
      </w:pPr>
      <w:r>
        <w:rPr/>
        <w:t xml:space="preserve">• </w:t>
      </w:r>
      <w:r>
        <w:rPr/>
        <w:t xml:space="preserve">La désignation de la </w:t>
      </w:r>
      <w:r>
        <w:rPr>
          <w:b/>
          <w:bCs/>
        </w:rPr>
        <w:t>prestation</w:t>
      </w:r>
      <w:r>
        <w:rPr/>
        <w:t xml:space="preserve"> à effectuer</w:t>
      </w:r>
    </w:p>
    <w:p>
      <w:pPr>
        <w:pStyle w:val="Normal"/>
        <w:spacing w:before="0" w:after="0"/>
        <w:rPr/>
      </w:pPr>
      <w:r>
        <w:rPr/>
        <w:t xml:space="preserve">• </w:t>
      </w:r>
      <w:r>
        <w:rPr/>
        <w:t>La quantité commandée,</w:t>
      </w:r>
    </w:p>
    <w:p>
      <w:pPr>
        <w:pStyle w:val="Normal"/>
        <w:spacing w:before="0" w:after="0"/>
        <w:rPr/>
      </w:pPr>
      <w:r>
        <w:rPr/>
        <w:t xml:space="preserve">• </w:t>
      </w:r>
      <w:r>
        <w:rPr/>
        <w:t xml:space="preserve">Le lieu </w:t>
      </w:r>
      <w:r>
        <w:rPr>
          <w:b/>
          <w:bCs/>
        </w:rPr>
        <w:t>d'exécution</w:t>
      </w:r>
      <w:r>
        <w:rPr/>
        <w:t>,</w:t>
      </w:r>
    </w:p>
    <w:p>
      <w:pPr>
        <w:pStyle w:val="Normal"/>
        <w:spacing w:before="0" w:after="0"/>
        <w:rPr/>
      </w:pPr>
      <w:r>
        <w:rPr/>
        <w:t xml:space="preserve"> • </w:t>
      </w:r>
      <w:r>
        <w:rPr/>
        <w:t xml:space="preserve">Le délai </w:t>
      </w:r>
      <w:r>
        <w:rPr>
          <w:b/>
          <w:bCs/>
        </w:rPr>
        <w:t>d'exécution,</w:t>
      </w:r>
    </w:p>
    <w:p>
      <w:pPr>
        <w:pStyle w:val="Normal"/>
        <w:spacing w:before="0" w:after="0"/>
        <w:rPr/>
      </w:pPr>
      <w:r>
        <w:rPr/>
        <w:t xml:space="preserve">• </w:t>
      </w:r>
      <w:r>
        <w:rPr/>
        <w:t>Le montant total en Euro HT et TTC du bon de commande</w:t>
      </w:r>
    </w:p>
    <w:p>
      <w:pPr>
        <w:pStyle w:val="Normal"/>
        <w:spacing w:before="0" w:after="0"/>
        <w:rPr/>
      </w:pPr>
      <w:r>
        <w:rPr/>
        <w:t xml:space="preserve">• </w:t>
      </w:r>
      <w:r>
        <w:rPr/>
        <w:t>La date</w:t>
      </w:r>
    </w:p>
    <w:p>
      <w:pPr>
        <w:pStyle w:val="Normal"/>
        <w:keepNext w:val="true"/>
        <w:rPr>
          <w:rFonts w:eastAsia="Times New Roman" w:cs="Arial"/>
          <w:b/>
          <w:b/>
          <w:bCs/>
          <w:szCs w:val="20"/>
          <w:lang w:eastAsia="fr-FR" w:bidi="ar-SA"/>
        </w:rPr>
      </w:pPr>
      <w:r>
        <w:rPr>
          <w:rFonts w:eastAsia="Times New Roman" w:cs="Arial"/>
          <w:b/>
          <w:bCs/>
          <w:szCs w:val="20"/>
          <w:lang w:eastAsia="fr-FR" w:bidi="ar-SA"/>
        </w:rPr>
        <w:t>La personne habilitée à signer les bons de commande est : Le Directeur Général des Services ou son représentant</w:t>
      </w:r>
    </w:p>
    <w:p>
      <w:pPr>
        <w:pStyle w:val="Normal"/>
        <w:keepNext w:val="true"/>
        <w:rPr>
          <w:rFonts w:eastAsia="Times New Roman" w:cs="Arial"/>
          <w:b/>
          <w:b/>
          <w:bCs/>
          <w:szCs w:val="20"/>
          <w:lang w:eastAsia="fr-FR" w:bidi="ar-SA"/>
        </w:rPr>
      </w:pPr>
      <w:r>
        <w:rPr>
          <w:rFonts w:eastAsia="Times New Roman" w:cs="Arial"/>
          <w:b/>
          <w:bCs/>
          <w:szCs w:val="20"/>
          <w:lang w:eastAsia="fr-FR" w:bidi="ar-SA"/>
        </w:rPr>
        <w:t>Les bons de commande seront notifiés par mail (avec accusé de réception).</w:t>
      </w:r>
    </w:p>
    <w:p>
      <w:pPr>
        <w:pStyle w:val="Normal"/>
        <w:keepNext w:val="true"/>
        <w:rPr>
          <w:rFonts w:eastAsia="Arial" w:cs="Arial"/>
          <w:b/>
          <w:b/>
          <w:bCs/>
          <w:color w:val="000000"/>
          <w:szCs w:val="20"/>
          <w:lang w:eastAsia="fr-FR" w:bidi="ar-SA"/>
        </w:rPr>
      </w:pPr>
      <w:r>
        <w:rPr>
          <w:rFonts w:eastAsia="Arial" w:cs="Arial"/>
          <w:b/>
          <w:bCs/>
          <w:color w:val="000000"/>
          <w:szCs w:val="20"/>
          <w:lang w:eastAsia="fr-FR" w:bidi="ar-SA"/>
        </w:rPr>
        <w:t xml:space="preserve">Le délai d'exécution commence à courir à compter de la date de notification du bon de commande. </w:t>
      </w:r>
    </w:p>
    <w:p>
      <w:pPr>
        <w:pStyle w:val="Normal"/>
        <w:rPr>
          <w:rFonts w:eastAsia="Arial" w:cs="Arial"/>
          <w:color w:val="000000"/>
        </w:rPr>
      </w:pPr>
      <w:r>
        <w:rPr>
          <w:rFonts w:eastAsia="Arial" w:cs="Arial"/>
          <w:color w:val="000000"/>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64" w:name="__RefHeading___Toc10346_2418032983"/>
      <w:bookmarkStart w:id="65" w:name="_Toc131002962"/>
      <w:bookmarkStart w:id="66" w:name="_Toc126851716"/>
      <w:bookmarkEnd w:id="64"/>
      <w:r>
        <w:rPr>
          <w:rFonts w:ascii="Times New Roman" w:hAnsi="Times New Roman"/>
          <w:b/>
          <w:color w:val="666699"/>
          <w:sz w:val="28"/>
          <w:szCs w:val="36"/>
        </w:rPr>
        <w:t>ENTREPRISES GROUPEES</w:t>
      </w:r>
      <w:bookmarkEnd w:id="65"/>
      <w:bookmarkEnd w:id="66"/>
    </w:p>
    <w:p>
      <w:pPr>
        <w:pStyle w:val="Normal"/>
        <w:rPr>
          <w:rFonts w:eastAsia="Arial" w:cs="Arial"/>
          <w:color w:val="000000"/>
        </w:rPr>
      </w:pPr>
      <w:r>
        <w:rPr>
          <w:rFonts w:eastAsia="Arial" w:cs="Arial"/>
          <w:color w:val="000000"/>
        </w:rPr>
        <w:t>Le mandataire du groupement représente l'ensemble des entrepreneurs, vis-à-vis du représentant du pouvoir adjudicateur pour l'exécution du marché.</w:t>
      </w:r>
    </w:p>
    <w:p>
      <w:pPr>
        <w:pStyle w:val="Normal"/>
        <w:rPr>
          <w:rFonts w:eastAsia="Arial" w:cs="Arial"/>
          <w:color w:val="000000"/>
        </w:rPr>
      </w:pPr>
      <w:r>
        <w:rPr>
          <w:rFonts w:eastAsia="Arial" w:cs="Arial"/>
          <w:color w:val="000000"/>
        </w:rPr>
        <w:t>Il assure, sous sa responsabilité, la coordination de ces entrepreneurs.</w:t>
      </w:r>
    </w:p>
    <w:p>
      <w:pPr>
        <w:pStyle w:val="Normal"/>
        <w:rPr>
          <w:rFonts w:eastAsia="Arial" w:cs="Arial"/>
          <w:color w:val="000000"/>
        </w:rPr>
      </w:pPr>
      <w:r>
        <w:rPr>
          <w:rFonts w:eastAsia="Arial" w:cs="Arial"/>
          <w:color w:val="000000"/>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rFonts w:eastAsia="Arial" w:cs="Arial"/>
          <w:color w:val="000000"/>
        </w:rPr>
      </w:pPr>
      <w:r>
        <w:rPr>
          <w:rFonts w:eastAsia="Arial" w:cs="Arial"/>
          <w:color w:val="000000"/>
        </w:rPr>
        <w:t>Dans le cas d'entrepreneurs groupés solidaires, si le marché ne désigne pas l'entrepreneur mandataire, celui qui est énuméré le premier dans l'acte d'engagement est le mandataire des autres entrepreneurs.</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67" w:name="__RefHeading___Toc10348_2418032983"/>
      <w:bookmarkStart w:id="68" w:name="_Toc131002963"/>
      <w:bookmarkStart w:id="69" w:name="_Toc126851717"/>
      <w:bookmarkEnd w:id="67"/>
      <w:r>
        <w:rPr>
          <w:rFonts w:ascii="Times New Roman" w:hAnsi="Times New Roman"/>
          <w:b/>
          <w:color w:val="666699"/>
          <w:sz w:val="28"/>
          <w:szCs w:val="36"/>
        </w:rPr>
        <w:t>CONDITIONS DE LIVRAISON ET D'EXECUTION</w:t>
      </w:r>
      <w:bookmarkEnd w:id="68"/>
      <w:bookmarkEnd w:id="69"/>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70" w:name="__RefHeading___Toc10350_2418032983"/>
      <w:bookmarkStart w:id="71" w:name="_Toc131002964"/>
      <w:bookmarkStart w:id="72" w:name="_Toc126851718"/>
      <w:bookmarkEnd w:id="70"/>
      <w:r>
        <w:rPr>
          <w:rFonts w:ascii="Times New Roman" w:hAnsi="Times New Roman"/>
          <w:b/>
          <w:bCs/>
          <w:iCs/>
          <w:color w:val="666699"/>
          <w:szCs w:val="28"/>
          <w:u w:val="single"/>
        </w:rPr>
        <w:t>Transport - Emballages</w:t>
      </w:r>
      <w:bookmarkEnd w:id="71"/>
      <w:bookmarkEnd w:id="72"/>
    </w:p>
    <w:p>
      <w:pPr>
        <w:pStyle w:val="Normal"/>
        <w:rPr>
          <w:rFonts w:eastAsia="Arial" w:cs="Arial"/>
          <w:color w:val="000000"/>
        </w:rPr>
      </w:pPr>
      <w:r>
        <w:rPr>
          <w:rFonts w:eastAsia="Arial" w:cs="Arial"/>
          <w:color w:val="000000"/>
        </w:rPr>
        <w:t>Conformément à l'article 20.3 du CCAG FCS, le transport, le conditionnement, le chargement et le déchargement s'effectuent sous la responsabilité du titulaire.</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73" w:name="__RefHeading___Toc10352_2418032983"/>
      <w:bookmarkStart w:id="74" w:name="_Toc131002965"/>
      <w:bookmarkStart w:id="75" w:name="_Toc126851719"/>
      <w:bookmarkEnd w:id="73"/>
      <w:r>
        <w:rPr>
          <w:rFonts w:ascii="Times New Roman" w:hAnsi="Times New Roman"/>
          <w:b/>
          <w:bCs/>
          <w:iCs/>
          <w:color w:val="666699"/>
          <w:szCs w:val="28"/>
          <w:u w:val="single"/>
        </w:rPr>
        <w:t>Lieux d'exécution ou de livraison</w:t>
      </w:r>
      <w:bookmarkEnd w:id="74"/>
      <w:bookmarkEnd w:id="75"/>
    </w:p>
    <w:p>
      <w:pPr>
        <w:pStyle w:val="Normal"/>
        <w:rPr>
          <w:rFonts w:eastAsia="Arial" w:cs="Arial"/>
          <w:color w:val="000000"/>
        </w:rPr>
      </w:pPr>
      <w:r>
        <w:rPr>
          <w:rFonts w:eastAsia="Arial" w:cs="Arial"/>
          <w:color w:val="000000"/>
        </w:rPr>
        <w:t xml:space="preserve">L’implantation  est defini à l’article 2 du CCTP. </w:t>
      </w:r>
    </w:p>
    <w:p>
      <w:pPr>
        <w:pStyle w:val="Normal"/>
        <w:rPr>
          <w:rFonts w:eastAsia="Arial" w:cs="Arial"/>
          <w:color w:val="000000"/>
        </w:rPr>
      </w:pPr>
      <w:r>
        <w:rPr>
          <w:rFonts w:eastAsia="Arial" w:cs="Arial"/>
          <w:color w:val="000000"/>
        </w:rPr>
        <w:t xml:space="preserve">L’ensemble des éléments techniques à prendre en compte dans la constitution des zones ainsi que le plan de situation et le plan de sécurisation est joint en annexe 2, 3 et 4 du CCTP. </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76" w:name="__RefHeading___Toc10354_2418032983"/>
      <w:bookmarkStart w:id="77" w:name="_Toc131002966"/>
      <w:bookmarkStart w:id="78" w:name="_Toc126851720"/>
      <w:bookmarkEnd w:id="76"/>
      <w:r>
        <w:rPr>
          <w:rFonts w:ascii="Times New Roman" w:hAnsi="Times New Roman"/>
          <w:b/>
          <w:color w:val="666699"/>
          <w:sz w:val="28"/>
          <w:szCs w:val="36"/>
        </w:rPr>
        <w:t>CONDITIONS PARTICULIERES D'EXECUTION</w:t>
      </w:r>
      <w:bookmarkEnd w:id="77"/>
      <w:bookmarkEnd w:id="78"/>
    </w:p>
    <w:p>
      <w:pPr>
        <w:pStyle w:val="Normal"/>
        <w:rPr>
          <w:rFonts w:eastAsia="Arial" w:cs="Arial"/>
          <w:color w:val="000000"/>
        </w:rPr>
      </w:pPr>
      <w:r>
        <w:rPr>
          <w:rFonts w:eastAsia="Arial" w:cs="Arial"/>
          <w:color w:val="000000"/>
        </w:rPr>
        <w:t>Le C.C.T.P. du marché fixe les conditions particulières d'exécution.</w:t>
      </w:r>
    </w:p>
    <w:p>
      <w:pPr>
        <w:pStyle w:val="Normal"/>
        <w:rPr/>
      </w:pPr>
      <w:r>
        <w:rPr/>
        <w:t>Le titulaire s'engage à fournir, au plus tard à la date de livraison, toute documentation rédigée en langue française, nécessaire à l'installation, l'utilisation, le fonctionnement et l'entretien corrects du matériel livré.</w:t>
      </w:r>
    </w:p>
    <w:p>
      <w:pPr>
        <w:pStyle w:val="Normal"/>
        <w:rPr/>
      </w:pPr>
      <w:r>
        <w:rPr/>
        <w:t>La documentation sera envoyée par voie dématérialisée.</w:t>
      </w:r>
    </w:p>
    <w:p>
      <w:pPr>
        <w:pStyle w:val="Normal"/>
        <w:rPr/>
      </w:pPr>
      <w:r>
        <w:rPr/>
        <w:t>Les éventuels rectificatifs sont fournis sans supplément de prix.</w:t>
      </w:r>
    </w:p>
    <w:p>
      <w:pPr>
        <w:pStyle w:val="Normal"/>
        <w:rPr/>
      </w:pPr>
      <w:r>
        <w:rPr/>
        <w:t>Le titulaire assure la formation du personnel chargé d'utiliser les équipements livrés, objet du marché. Le titulaire doit être en mesure d'apporter des conseils techniques nécessaires à l'utilisation et l'entretien du matériel.</w:t>
      </w:r>
    </w:p>
    <w:p>
      <w:pPr>
        <w:pStyle w:val="Normal"/>
        <w:rPr/>
      </w:pPr>
      <w:r>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79" w:name="__RefHeading___Toc10356_2418032983"/>
      <w:bookmarkStart w:id="80" w:name="_Toc131002967"/>
      <w:bookmarkStart w:id="81" w:name="_Toc126851721"/>
      <w:bookmarkEnd w:id="79"/>
      <w:r>
        <w:rPr>
          <w:rFonts w:ascii="Times New Roman" w:hAnsi="Times New Roman"/>
          <w:b/>
          <w:color w:val="666699"/>
          <w:sz w:val="28"/>
          <w:szCs w:val="36"/>
        </w:rPr>
        <w:t>OPERATIONS DE VERIFICATIONS / ADMISSION</w:t>
      </w:r>
      <w:bookmarkEnd w:id="80"/>
      <w:bookmarkEnd w:id="81"/>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82" w:name="__RefHeading___Toc10358_2418032983"/>
      <w:bookmarkStart w:id="83" w:name="_Toc131002968"/>
      <w:bookmarkStart w:id="84" w:name="_Toc126851722"/>
      <w:bookmarkEnd w:id="82"/>
      <w:r>
        <w:rPr>
          <w:rFonts w:ascii="Times New Roman" w:hAnsi="Times New Roman"/>
          <w:b/>
          <w:bCs/>
          <w:iCs/>
          <w:color w:val="666699"/>
          <w:szCs w:val="28"/>
          <w:u w:val="single"/>
        </w:rPr>
        <w:t>Vérifications</w:t>
      </w:r>
      <w:bookmarkEnd w:id="83"/>
      <w:bookmarkEnd w:id="84"/>
    </w:p>
    <w:p>
      <w:pPr>
        <w:pStyle w:val="Normal"/>
        <w:rPr>
          <w:rFonts w:eastAsia="Arial" w:cs="Arial"/>
          <w:color w:val="000000"/>
        </w:rPr>
      </w:pPr>
      <w:r>
        <w:rPr>
          <w:rFonts w:eastAsia="Arial" w:cs="Arial"/>
          <w:color w:val="000000"/>
        </w:rPr>
        <w:t>Les opérations de vérifications prévues ci-dessous sont effectuées dans les conditions prévues aux articles 27 à 29 du CCAG/FCS :</w:t>
      </w:r>
    </w:p>
    <w:p>
      <w:pPr>
        <w:pStyle w:val="Normal"/>
        <w:numPr>
          <w:ilvl w:val="0"/>
          <w:numId w:val="5"/>
        </w:numPr>
        <w:spacing w:before="0" w:after="160"/>
        <w:contextualSpacing/>
        <w:rPr>
          <w:rFonts w:eastAsia="Arial" w:cs="Arial"/>
          <w:color w:val="000000"/>
        </w:rPr>
      </w:pPr>
      <w:r>
        <w:rPr>
          <w:rFonts w:eastAsia="Arial" w:cs="Arial"/>
          <w:color w:val="000000"/>
        </w:rPr>
        <w:t>Vérification quantitative : Lors de la livraison, le réceptionnaire procède à des vérifications quantitatives entre la fourniture demandée et la fourniture effectivement livrée.</w:t>
      </w:r>
    </w:p>
    <w:p>
      <w:pPr>
        <w:pStyle w:val="Normal"/>
        <w:numPr>
          <w:ilvl w:val="0"/>
          <w:numId w:val="5"/>
        </w:numPr>
        <w:spacing w:before="0" w:after="160"/>
        <w:contextualSpacing/>
        <w:rPr>
          <w:rFonts w:eastAsia="Arial" w:cs="Arial"/>
          <w:color w:val="000000"/>
        </w:rPr>
      </w:pPr>
      <w:r>
        <w:rPr>
          <w:rFonts w:eastAsia="Arial" w:cs="Arial"/>
          <w:color w:val="000000"/>
        </w:rPr>
        <w:t>Vérification qualitative : Lors de la livraison, le réceptionnaire procède à des vérifications qualitatives et indiquera, s'il y a lieu, au titulaire tout défaut constaté par rapport à la fourniture demandée.</w:t>
      </w:r>
    </w:p>
    <w:p>
      <w:pPr>
        <w:pStyle w:val="Normal"/>
        <w:rPr/>
      </w:pPr>
      <w:r>
        <w:rPr/>
      </w:r>
    </w:p>
    <w:p>
      <w:pPr>
        <w:pStyle w:val="Normal"/>
        <w:rPr>
          <w:rFonts w:eastAsia="Arial" w:cs="Arial"/>
          <w:color w:val="000000"/>
        </w:rPr>
      </w:pPr>
      <w:r>
        <w:rPr>
          <w:rFonts w:eastAsia="Arial" w:cs="Arial"/>
          <w:color w:val="000000"/>
        </w:rPr>
        <w:t>L'article 27.3 du CCAG/FCS n'est pas applicable.</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85" w:name="__RefHeading___Toc10360_2418032983"/>
      <w:bookmarkStart w:id="86" w:name="_Toc131002969"/>
      <w:bookmarkStart w:id="87" w:name="_Toc126851723"/>
      <w:bookmarkEnd w:id="85"/>
      <w:r>
        <w:rPr>
          <w:rFonts w:ascii="Times New Roman" w:hAnsi="Times New Roman"/>
          <w:b/>
          <w:bCs/>
          <w:iCs/>
          <w:color w:val="666699"/>
          <w:szCs w:val="28"/>
          <w:u w:val="single"/>
        </w:rPr>
        <w:t>Admission</w:t>
      </w:r>
      <w:bookmarkEnd w:id="86"/>
      <w:bookmarkEnd w:id="87"/>
    </w:p>
    <w:p>
      <w:pPr>
        <w:pStyle w:val="Normal"/>
        <w:rPr/>
      </w:pPr>
      <w:r>
        <w:rPr>
          <w:rFonts w:eastAsia="Arial" w:cs="Arial"/>
          <w:color w:val="000000"/>
        </w:rPr>
        <w:t xml:space="preserve">Suite aux vérifications, les décisions d'admission, de réfaction, d'ajournement ou de rejet des </w:t>
      </w:r>
      <w:r>
        <w:rPr>
          <w:rFonts w:eastAsia="Arial" w:cs="Arial"/>
          <w:b/>
          <w:color w:val="000000"/>
        </w:rPr>
        <w:t xml:space="preserve">prestations </w:t>
      </w:r>
      <w:r>
        <w:rPr>
          <w:rFonts w:eastAsia="Arial" w:cs="Arial"/>
          <w:color w:val="000000"/>
        </w:rPr>
        <w:t xml:space="preserve">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rFonts w:eastAsia="Arial" w:cs="Arial"/>
          <w:b/>
          <w:color w:val="000000"/>
        </w:rPr>
        <w:t xml:space="preserve">prestations </w:t>
      </w:r>
      <w:r>
        <w:rPr>
          <w:rFonts w:eastAsia="Arial" w:cs="Arial"/>
          <w:color w:val="000000"/>
        </w:rPr>
        <w:t>est réputée acquise.</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88" w:name="__RefHeading___Toc10362_2418032983"/>
      <w:bookmarkStart w:id="89" w:name="_Toc131002970"/>
      <w:bookmarkStart w:id="90" w:name="_Toc126851724"/>
      <w:bookmarkEnd w:id="88"/>
      <w:r>
        <w:rPr>
          <w:rFonts w:ascii="Times New Roman" w:hAnsi="Times New Roman"/>
          <w:b/>
          <w:color w:val="666699"/>
          <w:sz w:val="28"/>
          <w:szCs w:val="36"/>
        </w:rPr>
        <w:t>GARANTIE CONTRACTUELLE</w:t>
      </w:r>
      <w:bookmarkEnd w:id="89"/>
      <w:bookmarkEnd w:id="90"/>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91" w:name="__RefHeading___Toc10364_2418032983"/>
      <w:bookmarkStart w:id="92" w:name="_Toc131002971"/>
      <w:bookmarkStart w:id="93" w:name="_Toc126851725"/>
      <w:bookmarkEnd w:id="91"/>
      <w:r>
        <w:rPr>
          <w:rFonts w:ascii="Times New Roman" w:hAnsi="Times New Roman"/>
          <w:b/>
          <w:bCs/>
          <w:iCs/>
          <w:color w:val="666699"/>
          <w:szCs w:val="28"/>
          <w:u w:val="single"/>
        </w:rPr>
        <w:t>Durée de garantie</w:t>
      </w:r>
      <w:bookmarkEnd w:id="92"/>
      <w:bookmarkEnd w:id="93"/>
    </w:p>
    <w:p>
      <w:pPr>
        <w:pStyle w:val="Normal"/>
        <w:rPr/>
      </w:pPr>
      <w:r>
        <w:rPr>
          <w:rFonts w:eastAsia="Arial" w:cs="Arial"/>
          <w:color w:val="000000"/>
        </w:rPr>
        <w:t xml:space="preserve">Les </w:t>
      </w:r>
      <w:r>
        <w:rPr>
          <w:rFonts w:eastAsia="Arial" w:cs="Arial"/>
          <w:b/>
          <w:color w:val="000000"/>
        </w:rPr>
        <w:t>prestations</w:t>
      </w:r>
      <w:r>
        <w:rPr>
          <w:rFonts w:eastAsia="Arial" w:cs="Arial"/>
          <w:color w:val="000000"/>
        </w:rPr>
        <w:t xml:space="preserve"> font l'objet d'une garantie d'une durée de 1 an, conformément à l'article 33 du CCAG/FCS.</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94" w:name="__RefHeading___Toc10366_2418032983"/>
      <w:bookmarkStart w:id="95" w:name="_Toc131002972"/>
      <w:bookmarkStart w:id="96" w:name="_Toc126851726"/>
      <w:bookmarkEnd w:id="94"/>
      <w:r>
        <w:rPr>
          <w:rFonts w:ascii="Times New Roman" w:hAnsi="Times New Roman"/>
          <w:b/>
          <w:bCs/>
          <w:iCs/>
          <w:color w:val="666699"/>
          <w:szCs w:val="28"/>
          <w:u w:val="single"/>
        </w:rPr>
        <w:t>Point de départ de la garantie</w:t>
      </w:r>
      <w:bookmarkEnd w:id="95"/>
      <w:bookmarkEnd w:id="96"/>
    </w:p>
    <w:p>
      <w:pPr>
        <w:pStyle w:val="Normal"/>
        <w:rPr>
          <w:rFonts w:eastAsia="Arial" w:cs="Arial"/>
          <w:color w:val="000000"/>
        </w:rPr>
      </w:pPr>
      <w:r>
        <w:rPr>
          <w:rFonts w:eastAsia="Arial" w:cs="Arial"/>
          <w:color w:val="000000"/>
        </w:rPr>
        <w:t>Conformément à l'article 33.1 du CCAG/FCS, le point de départ du délai de garantie est la date de notification de la décision d'admission.</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97" w:name="__RefHeading___Toc10368_2418032983"/>
      <w:bookmarkStart w:id="98" w:name="_Toc131002973"/>
      <w:bookmarkStart w:id="99" w:name="_Toc126851727"/>
      <w:bookmarkEnd w:id="97"/>
      <w:r>
        <w:rPr>
          <w:rFonts w:ascii="Times New Roman" w:hAnsi="Times New Roman"/>
          <w:b/>
          <w:color w:val="666699"/>
          <w:sz w:val="28"/>
          <w:szCs w:val="36"/>
        </w:rPr>
        <w:t>PROPRIETE INTELLECTUELLE ET UTILISATION DES RESULTATS</w:t>
      </w:r>
      <w:bookmarkEnd w:id="98"/>
      <w:bookmarkEnd w:id="99"/>
    </w:p>
    <w:p>
      <w:pPr>
        <w:pStyle w:val="Normal"/>
        <w:rPr>
          <w:rFonts w:eastAsia="Arial" w:cs="Arial"/>
          <w:color w:val="000000"/>
        </w:rPr>
      </w:pPr>
      <w:r>
        <w:rPr>
          <w:rFonts w:eastAsia="Arial" w:cs="Arial"/>
          <w:color w:val="000000"/>
        </w:rPr>
        <w:t>L'utilisation des résultats, et notamment les droits respectifs du pouvoir adjudicateur et du titulaire en la matière, sont définis à l'article 37 du CCAG FCS.</w:t>
      </w:r>
    </w:p>
    <w:p>
      <w:pPr>
        <w:pStyle w:val="Normal"/>
        <w:rPr>
          <w:rFonts w:eastAsia="Arial" w:cs="Arial"/>
          <w:color w:val="000000"/>
        </w:rPr>
      </w:pPr>
      <w:r>
        <w:rPr>
          <w:rFonts w:eastAsia="Arial" w:cs="Arial"/>
          <w:color w:val="000000"/>
        </w:rPr>
        <w:t>Il n'est pas prévu de disposition particulière.</w:t>
      </w:r>
    </w:p>
    <w:p>
      <w:pPr>
        <w:pStyle w:val="Normal"/>
        <w:rPr/>
      </w:pPr>
      <w:r>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00" w:name="__RefHeading___Toc10370_2418032983"/>
      <w:bookmarkStart w:id="101" w:name="_Toc131002974"/>
      <w:bookmarkStart w:id="102" w:name="_Toc126851728"/>
      <w:bookmarkEnd w:id="100"/>
      <w:r>
        <w:rPr>
          <w:rFonts w:ascii="Times New Roman" w:hAnsi="Times New Roman"/>
          <w:b/>
          <w:color w:val="666699"/>
          <w:sz w:val="28"/>
          <w:szCs w:val="36"/>
        </w:rPr>
        <w:t>CONFIDENTIALITE ET MESURES DE SECURITE</w:t>
      </w:r>
      <w:bookmarkEnd w:id="101"/>
      <w:bookmarkEnd w:id="102"/>
    </w:p>
    <w:p>
      <w:pPr>
        <w:pStyle w:val="Normal"/>
        <w:rPr>
          <w:rFonts w:eastAsia="Arial" w:cs="Arial"/>
          <w:color w:val="000000"/>
        </w:rPr>
      </w:pPr>
      <w:r>
        <w:rPr>
          <w:rFonts w:eastAsia="Arial" w:cs="Arial"/>
          <w:color w:val="000000"/>
        </w:rPr>
        <w:t xml:space="preserve"> </w:t>
      </w:r>
      <w:r>
        <w:rPr>
          <w:rFonts w:eastAsia="Arial" w:cs="Arial"/>
          <w:color w:val="000000"/>
        </w:rPr>
        <w:t>Les dispositions du CCAG FCS (articles 5 et 14) s'appliquent, sans dispositions particulières.</w:t>
      </w:r>
    </w:p>
    <w:p>
      <w:pPr>
        <w:pStyle w:val="Normal"/>
        <w:rPr>
          <w:rFonts w:eastAsia="Arial" w:cs="Arial"/>
          <w:color w:val="000000"/>
        </w:rPr>
      </w:pPr>
      <w:r>
        <w:rPr>
          <w:rFonts w:eastAsia="Arial" w:cs="Arial"/>
          <w:color w:val="000000"/>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03" w:name="__RefHeading___Toc10372_2418032983"/>
      <w:bookmarkStart w:id="104" w:name="_Toc131002975"/>
      <w:bookmarkStart w:id="105" w:name="_Toc126851729"/>
      <w:bookmarkEnd w:id="103"/>
      <w:r>
        <w:rPr>
          <w:rFonts w:ascii="Times New Roman" w:hAnsi="Times New Roman"/>
          <w:b/>
          <w:color w:val="666699"/>
          <w:sz w:val="28"/>
          <w:szCs w:val="36"/>
        </w:rPr>
        <w:t>MODALITES DE DETERMINATION DES PRIX</w:t>
      </w:r>
      <w:bookmarkEnd w:id="104"/>
      <w:bookmarkEnd w:id="105"/>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106" w:name="__RefHeading___Toc10374_2418032983"/>
      <w:bookmarkStart w:id="107" w:name="_Toc131002976"/>
      <w:bookmarkStart w:id="108" w:name="_Toc126851730"/>
      <w:bookmarkEnd w:id="106"/>
      <w:r>
        <w:rPr>
          <w:rFonts w:ascii="Times New Roman" w:hAnsi="Times New Roman"/>
          <w:b/>
          <w:bCs/>
          <w:iCs/>
          <w:color w:val="666699"/>
          <w:szCs w:val="28"/>
          <w:u w:val="single"/>
        </w:rPr>
        <w:t>Nature du prix</w:t>
      </w:r>
      <w:bookmarkEnd w:id="107"/>
      <w:bookmarkEnd w:id="108"/>
    </w:p>
    <w:p>
      <w:pPr>
        <w:pStyle w:val="Normal"/>
        <w:rPr>
          <w:b/>
          <w:b/>
          <w:bCs/>
          <w:u w:val="single"/>
        </w:rPr>
      </w:pPr>
      <w:r>
        <w:rPr>
          <w:b/>
          <w:bCs/>
          <w:u w:val="single"/>
        </w:rPr>
        <w:t>Pour le lot 1 :</w:t>
      </w:r>
    </w:p>
    <w:p>
      <w:pPr>
        <w:pStyle w:val="Normal"/>
        <w:rPr/>
      </w:pPr>
      <w:r>
        <w:rPr>
          <w:bCs/>
        </w:rPr>
        <w:t>Les prestations d’exploitation, aménagement et exploitation sont payées sur la base d'un prix global et forfaitaire</w:t>
      </w:r>
      <w:r>
        <w:rPr/>
        <w:t xml:space="preserve">. Il </w:t>
      </w:r>
      <w:r>
        <w:rPr>
          <w:bCs/>
        </w:rPr>
        <w:t xml:space="preserve">est réputé couvrir notamment l’ensemble des coûts de conception, de réalisation et d’exploitation du Village de Rugby pendant toute la durée du marché. </w:t>
      </w:r>
    </w:p>
    <w:p>
      <w:pPr>
        <w:pStyle w:val="Normal"/>
        <w:rPr>
          <w:bCs/>
        </w:rPr>
      </w:pPr>
      <w:r>
        <w:rPr>
          <w:bCs/>
        </w:rPr>
      </w:r>
    </w:p>
    <w:p>
      <w:pPr>
        <w:pStyle w:val="Normal"/>
        <w:rPr>
          <w:bCs/>
        </w:rPr>
      </w:pPr>
      <w:r>
        <w:rPr>
          <w:bCs/>
        </w:rPr>
      </w:r>
    </w:p>
    <w:p>
      <w:pPr>
        <w:pStyle w:val="Normal"/>
        <w:rPr>
          <w:b/>
          <w:b/>
          <w:u w:val="single"/>
        </w:rPr>
      </w:pPr>
      <w:r>
        <w:rPr>
          <w:b/>
          <w:u w:val="single"/>
        </w:rPr>
        <w:t>Pour le lot 2 :</w:t>
      </w:r>
    </w:p>
    <w:p>
      <w:pPr>
        <w:pStyle w:val="Normal"/>
        <w:suppressAutoHyphens w:val="true"/>
        <w:spacing w:lineRule="auto" w:line="288" w:before="120" w:after="0"/>
        <w:jc w:val="both"/>
        <w:rPr>
          <w:bCs/>
        </w:rPr>
      </w:pPr>
      <w:r>
        <w:rPr>
          <w:bCs/>
        </w:rPr>
        <w:t xml:space="preserve">Le marché est conclu aux prix unitaires figurant en annexe A de l’acte d’engagement. </w:t>
      </w:r>
    </w:p>
    <w:p>
      <w:pPr>
        <w:pStyle w:val="Normal"/>
        <w:rPr>
          <w:bCs/>
        </w:rPr>
      </w:pPr>
      <w:r>
        <w:rPr>
          <w:bCs/>
        </w:rPr>
      </w:r>
    </w:p>
    <w:p>
      <w:pPr>
        <w:pStyle w:val="Normal"/>
        <w:rPr>
          <w:b/>
          <w:b/>
          <w:bCs/>
          <w:u w:val="single"/>
        </w:rPr>
      </w:pPr>
      <w:r>
        <w:rPr>
          <w:b/>
          <w:bCs/>
          <w:u w:val="single"/>
        </w:rPr>
        <w:t>Pour les deux lots :</w:t>
      </w:r>
    </w:p>
    <w:p>
      <w:pPr>
        <w:pStyle w:val="Normal"/>
        <w:rPr>
          <w:bCs/>
        </w:rPr>
      </w:pPr>
      <w:r>
        <w:rPr>
          <w:bCs/>
        </w:rPr>
        <w:t>En complément de l’article 10.1.3 du CCAG-FCS, les précisions suivantes sont apportées en matière de contenu du prix :</w:t>
      </w:r>
    </w:p>
    <w:p>
      <w:pPr>
        <w:pStyle w:val="Normal"/>
        <w:numPr>
          <w:ilvl w:val="0"/>
          <w:numId w:val="3"/>
        </w:numPr>
        <w:spacing w:before="0" w:after="160"/>
        <w:contextualSpacing/>
        <w:rPr>
          <w:bCs/>
        </w:rPr>
      </w:pPr>
      <w:r>
        <w:rPr>
          <w:bCs/>
        </w:rPr>
        <w:t>En cas de cotraitance solidaire ou conjointe, les prix du présent marché sont réputés comprendre toutes les dépenses résultant de l’exécution des prestations de coordination et contrôle effectués par le mandataire, y compris les frais généraux, impôts, taxes ou autre, la marge pour risque et bénéfice ainsi que tous les frais consécutifs aux mesures propres à pallier d’éventuelles défaillances des membres du groupement et les conséquences de ces défaillances.</w:t>
      </w:r>
    </w:p>
    <w:p>
      <w:pPr>
        <w:pStyle w:val="Normal"/>
        <w:numPr>
          <w:ilvl w:val="0"/>
          <w:numId w:val="3"/>
        </w:numPr>
        <w:spacing w:before="0" w:after="160"/>
        <w:contextualSpacing/>
        <w:rPr>
          <w:bCs/>
        </w:rPr>
      </w:pPr>
      <w:r>
        <w:rPr>
          <w:bCs/>
        </w:rPr>
        <w:t>En cas de sous traitance, les prix du présent marché sont réputés couvrir les frais de coordination et de contrôle par le titulaire des prestations confiées à ces sous-traitants, ainsi que les conséquences de leurs défaillances</w:t>
      </w:r>
    </w:p>
    <w:p>
      <w:pPr>
        <w:pStyle w:val="Normal"/>
        <w:numPr>
          <w:ilvl w:val="0"/>
          <w:numId w:val="0"/>
        </w:numPr>
        <w:spacing w:before="0" w:after="160"/>
        <w:ind w:left="720" w:hanging="0"/>
        <w:contextualSpacing/>
        <w:rPr>
          <w:bCs/>
        </w:rPr>
      </w:pPr>
      <w:r>
        <w:rPr>
          <w:bCs/>
        </w:rPr>
      </w:r>
    </w:p>
    <w:p>
      <w:pPr>
        <w:pStyle w:val="Normal"/>
        <w:rPr/>
      </w:pPr>
      <w:r>
        <w:rPr/>
        <w:t>Le titulaire du présent marché sera réputé avoir tenu compte dans ses prix des dispositions réglementaires à appliquer en matière de lutte contre l’épidémie de Coronavirus COVID19</w:t>
      </w:r>
    </w:p>
    <w:p>
      <w:pPr>
        <w:pStyle w:val="Normal"/>
        <w:rPr>
          <w:rFonts w:eastAsia="Arial" w:cs="Arial"/>
          <w:color w:val="000000"/>
        </w:rPr>
      </w:pPr>
      <w:r>
        <w:rPr>
          <w:rFonts w:eastAsia="Arial" w:cs="Arial"/>
          <w:color w:val="000000"/>
        </w:rPr>
        <w:t>Le taux de la TVA à prendre en considération est celui en vigueur à la date du fait générateur, conformément à l'article 269 du CGI.</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09" w:name="__RefHeading___Toc10376_2418032983"/>
      <w:bookmarkStart w:id="110" w:name="_Toc131002977"/>
      <w:bookmarkStart w:id="111" w:name="_Toc126851731"/>
      <w:bookmarkEnd w:id="109"/>
      <w:r>
        <w:rPr>
          <w:rFonts w:ascii="Times New Roman" w:hAnsi="Times New Roman"/>
          <w:b/>
          <w:bCs/>
          <w:iCs/>
          <w:color w:val="666699"/>
          <w:szCs w:val="28"/>
          <w:u w:val="single"/>
        </w:rPr>
        <w:t>Variations de prix</w:t>
      </w:r>
      <w:bookmarkEnd w:id="111"/>
      <w:r>
        <w:rPr>
          <w:rFonts w:ascii="Times New Roman" w:hAnsi="Times New Roman"/>
          <w:b/>
          <w:bCs/>
          <w:iCs/>
          <w:color w:val="666699"/>
          <w:szCs w:val="28"/>
          <w:u w:val="single"/>
        </w:rPr>
        <w:t xml:space="preserve"> et clause de réexamen</w:t>
      </w:r>
      <w:bookmarkEnd w:id="110"/>
    </w:p>
    <w:p>
      <w:pPr>
        <w:pStyle w:val="Normal"/>
        <w:rPr>
          <w:rFonts w:eastAsia="Arial" w:cs="Arial"/>
          <w:color w:val="000000"/>
        </w:rPr>
      </w:pPr>
      <w:r>
        <w:rPr>
          <w:rFonts w:eastAsia="Arial" w:cs="Arial"/>
          <w:color w:val="000000"/>
        </w:rPr>
        <w:t>Par dérogation à l'article 10 du CCAG, les prix du marché sont réputés avoir été établis le mois de la date limite de remise des offres, dénommé mois zéro.</w:t>
      </w:r>
    </w:p>
    <w:p>
      <w:pPr>
        <w:pStyle w:val="Normal"/>
        <w:rPr>
          <w:rFonts w:eastAsia="Arial" w:cs="Arial"/>
          <w:color w:val="000000"/>
        </w:rPr>
      </w:pPr>
      <w:r>
        <w:rPr>
          <w:rFonts w:eastAsia="Arial" w:cs="Arial"/>
          <w:color w:val="000000"/>
        </w:rPr>
        <w:t>Les prix sont fermes.</w:t>
      </w:r>
    </w:p>
    <w:p>
      <w:pPr>
        <w:pStyle w:val="Normal"/>
        <w:rPr>
          <w:rFonts w:eastAsia="Arial" w:cs="Arial"/>
          <w:color w:val="000000"/>
        </w:rPr>
      </w:pPr>
      <w:r>
        <w:rPr>
          <w:rFonts w:eastAsia="Arial" w:cs="Arial"/>
          <w:color w:val="000000"/>
        </w:rPr>
      </w:r>
    </w:p>
    <w:p>
      <w:pPr>
        <w:pStyle w:val="Normal"/>
        <w:rPr>
          <w:rFonts w:eastAsia="Arial" w:cs="Arial"/>
          <w:color w:val="000000"/>
        </w:rPr>
      </w:pPr>
      <w:r>
        <w:rPr>
          <w:rFonts w:eastAsia="Arial" w:cs="Arial"/>
          <w:color w:val="000000"/>
        </w:rPr>
        <w:t xml:space="preserve">Selon les dispositions de l’article R 2194-1 du code de la commande publique, une clause de réexamen pourra modifier le présent marché dans les cas suivants : </w:t>
      </w:r>
    </w:p>
    <w:p>
      <w:pPr>
        <w:pStyle w:val="Normal"/>
        <w:numPr>
          <w:ilvl w:val="0"/>
          <w:numId w:val="4"/>
        </w:numPr>
        <w:spacing w:before="0" w:after="160"/>
        <w:contextualSpacing/>
        <w:rPr>
          <w:rFonts w:eastAsia="Arial" w:cs="Arial"/>
          <w:color w:val="000000"/>
        </w:rPr>
      </w:pPr>
      <w:r>
        <w:rPr>
          <w:rFonts w:eastAsia="Arial" w:cs="Arial"/>
          <w:color w:val="000000"/>
        </w:rPr>
        <w:t xml:space="preserve">transfert de propriété, </w:t>
      </w:r>
    </w:p>
    <w:p>
      <w:pPr>
        <w:pStyle w:val="Normal"/>
        <w:numPr>
          <w:ilvl w:val="0"/>
          <w:numId w:val="4"/>
        </w:numPr>
        <w:spacing w:before="0" w:after="160"/>
        <w:contextualSpacing/>
        <w:rPr>
          <w:rFonts w:eastAsia="Arial" w:cs="Arial"/>
          <w:color w:val="000000"/>
        </w:rPr>
      </w:pPr>
      <w:r>
        <w:rPr>
          <w:rFonts w:eastAsia="Arial" w:cs="Arial"/>
          <w:color w:val="000000"/>
        </w:rPr>
        <w:t xml:space="preserve">fusion / absorption non prévue à l’article R2194-6 du code de la commande publique, </w:t>
      </w:r>
    </w:p>
    <w:p>
      <w:pPr>
        <w:pStyle w:val="Normal"/>
        <w:numPr>
          <w:ilvl w:val="0"/>
          <w:numId w:val="4"/>
        </w:numPr>
        <w:spacing w:before="0" w:after="160"/>
        <w:contextualSpacing/>
        <w:rPr>
          <w:rFonts w:eastAsia="Arial" w:cs="Arial"/>
          <w:color w:val="000000"/>
        </w:rPr>
      </w:pPr>
      <w:r>
        <w:rPr>
          <w:rFonts w:eastAsia="Arial" w:cs="Arial"/>
          <w:color w:val="000000"/>
        </w:rPr>
        <w:t xml:space="preserve">changement de numéro Siret du titulaire, </w:t>
      </w:r>
    </w:p>
    <w:p>
      <w:pPr>
        <w:pStyle w:val="Normal"/>
        <w:numPr>
          <w:ilvl w:val="0"/>
          <w:numId w:val="4"/>
        </w:numPr>
        <w:spacing w:before="0" w:after="160"/>
        <w:contextualSpacing/>
        <w:rPr>
          <w:rFonts w:eastAsia="Arial" w:cs="Arial"/>
          <w:color w:val="000000"/>
        </w:rPr>
      </w:pPr>
      <w:r>
        <w:rPr>
          <w:rFonts w:eastAsia="Arial" w:cs="Arial"/>
          <w:color w:val="000000"/>
        </w:rPr>
        <w:t xml:space="preserve">Changement de domiciliation bancaire du titulaire, </w:t>
      </w:r>
    </w:p>
    <w:p>
      <w:pPr>
        <w:pStyle w:val="Normal"/>
        <w:numPr>
          <w:ilvl w:val="0"/>
          <w:numId w:val="4"/>
        </w:numPr>
        <w:spacing w:before="0" w:after="160"/>
        <w:contextualSpacing/>
        <w:rPr>
          <w:rFonts w:eastAsia="Arial" w:cs="Arial"/>
          <w:color w:val="000000"/>
        </w:rPr>
      </w:pPr>
      <w:r>
        <w:rPr>
          <w:rFonts w:eastAsia="Arial" w:cs="Arial"/>
          <w:color w:val="000000"/>
        </w:rPr>
        <w:t xml:space="preserve">changement d’adresse du titulaire, </w:t>
      </w:r>
    </w:p>
    <w:p>
      <w:pPr>
        <w:pStyle w:val="Normal"/>
        <w:numPr>
          <w:ilvl w:val="0"/>
          <w:numId w:val="4"/>
        </w:numPr>
        <w:spacing w:before="0" w:after="160"/>
        <w:contextualSpacing/>
        <w:rPr>
          <w:rFonts w:eastAsia="Arial" w:cs="Arial"/>
          <w:color w:val="000000"/>
        </w:rPr>
      </w:pPr>
      <w:r>
        <w:rPr>
          <w:rFonts w:eastAsia="Arial" w:cs="Arial"/>
          <w:color w:val="000000"/>
        </w:rPr>
        <w:t xml:space="preserve">modification d’élément important du Kbis du titulaire, </w:t>
      </w:r>
    </w:p>
    <w:p>
      <w:pPr>
        <w:pStyle w:val="Normal"/>
        <w:numPr>
          <w:ilvl w:val="0"/>
          <w:numId w:val="4"/>
        </w:numPr>
        <w:spacing w:before="0" w:after="160"/>
        <w:contextualSpacing/>
        <w:rPr>
          <w:rFonts w:eastAsia="Arial" w:cs="Arial"/>
          <w:color w:val="000000"/>
        </w:rPr>
      </w:pPr>
      <w:r>
        <w:rPr>
          <w:rFonts w:eastAsia="Arial" w:cs="Arial"/>
          <w:color w:val="000000"/>
        </w:rPr>
        <w:t xml:space="preserve">ajout ou suppression de prestations sans pour autant que cette modification n’entraine une remise en cause de la concurrence </w:t>
      </w:r>
    </w:p>
    <w:p>
      <w:pPr>
        <w:pStyle w:val="Normal"/>
        <w:numPr>
          <w:ilvl w:val="0"/>
          <w:numId w:val="4"/>
        </w:numPr>
        <w:spacing w:before="0" w:after="160"/>
        <w:contextualSpacing/>
        <w:rPr>
          <w:rFonts w:eastAsia="Arial" w:cs="Arial"/>
          <w:color w:val="000000"/>
        </w:rPr>
      </w:pPr>
      <w:r>
        <w:rPr>
          <w:rFonts w:eastAsia="Arial" w:cs="Arial"/>
          <w:color w:val="000000"/>
        </w:rPr>
        <w:t xml:space="preserve">prix nouveaux </w:t>
      </w:r>
    </w:p>
    <w:p>
      <w:pPr>
        <w:pStyle w:val="Normal"/>
        <w:numPr>
          <w:ilvl w:val="0"/>
          <w:numId w:val="4"/>
        </w:numPr>
        <w:spacing w:before="0" w:after="160"/>
        <w:contextualSpacing/>
        <w:rPr>
          <w:rFonts w:eastAsia="Arial" w:cs="Arial"/>
          <w:color w:val="000000"/>
        </w:rPr>
      </w:pPr>
      <w:r>
        <w:rPr>
          <w:rFonts w:eastAsia="Arial" w:cs="Arial"/>
          <w:color w:val="000000"/>
        </w:rPr>
        <w:t xml:space="preserve">modification ou complément d’une clause du CCAP ou du CCTP sans pour autant que cette modification n’entraîne une remise en cause de la concurrence </w:t>
      </w:r>
    </w:p>
    <w:p>
      <w:pPr>
        <w:pStyle w:val="Normal"/>
        <w:numPr>
          <w:ilvl w:val="0"/>
          <w:numId w:val="4"/>
        </w:numPr>
        <w:spacing w:before="0" w:after="160"/>
        <w:contextualSpacing/>
        <w:rPr>
          <w:rFonts w:eastAsia="Arial" w:cs="Arial"/>
          <w:color w:val="000000"/>
        </w:rPr>
      </w:pPr>
      <w:r>
        <w:rPr>
          <w:rFonts w:eastAsia="Arial" w:cs="Arial"/>
          <w:color w:val="000000"/>
        </w:rPr>
        <w:t>passage au forfait définitif de la Ville</w:t>
      </w:r>
    </w:p>
    <w:p>
      <w:pPr>
        <w:pStyle w:val="Normal"/>
        <w:spacing w:before="0" w:after="160"/>
        <w:ind w:left="720" w:hanging="0"/>
        <w:contextualSpacing/>
        <w:rPr>
          <w:rFonts w:eastAsia="Arial" w:cs="Arial"/>
          <w:color w:val="000000"/>
        </w:rPr>
      </w:pPr>
      <w:r>
        <w:rPr>
          <w:rFonts w:eastAsia="Arial" w:cs="Arial"/>
          <w:color w:val="000000"/>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12" w:name="__RefHeading___Toc10378_2418032983"/>
      <w:bookmarkStart w:id="113" w:name="_Toc131002978"/>
      <w:bookmarkStart w:id="114" w:name="_Toc126851732"/>
      <w:bookmarkEnd w:id="112"/>
      <w:r>
        <w:rPr>
          <w:rFonts w:ascii="Times New Roman" w:hAnsi="Times New Roman"/>
          <w:b/>
          <w:bCs/>
          <w:iCs/>
          <w:color w:val="666699"/>
          <w:szCs w:val="28"/>
          <w:u w:val="single"/>
        </w:rPr>
        <w:t>Disparition d'indice</w:t>
      </w:r>
      <w:bookmarkEnd w:id="113"/>
      <w:bookmarkEnd w:id="114"/>
    </w:p>
    <w:p>
      <w:pPr>
        <w:pStyle w:val="Normal"/>
        <w:rPr>
          <w:rFonts w:eastAsia="Arial" w:cs="Arial"/>
          <w:color w:val="000000"/>
        </w:rPr>
      </w:pPr>
      <w:r>
        <w:rPr>
          <w:rFonts w:eastAsia="Arial" w:cs="Arial"/>
          <w:color w:val="000000"/>
        </w:rPr>
        <w:t>Les prix étant fermes, il n'y a pas lieu de prévoir la disparition d'indice.</w:t>
      </w:r>
    </w:p>
    <w:p>
      <w:pPr>
        <w:pStyle w:val="Normal"/>
        <w:rPr>
          <w:rFonts w:eastAsia="Arial" w:cs="Arial"/>
          <w:color w:val="000000"/>
        </w:rPr>
      </w:pPr>
      <w:r>
        <w:rPr>
          <w:rFonts w:eastAsia="Arial" w:cs="Arial"/>
          <w:color w:val="000000"/>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15" w:name="__RefHeading___Toc10380_2418032983"/>
      <w:bookmarkStart w:id="116" w:name="_Toc131002979"/>
      <w:bookmarkStart w:id="117" w:name="_Toc126851733"/>
      <w:bookmarkEnd w:id="115"/>
      <w:r>
        <w:rPr>
          <w:rFonts w:ascii="Times New Roman" w:hAnsi="Times New Roman"/>
          <w:b/>
          <w:color w:val="666699"/>
          <w:sz w:val="28"/>
          <w:szCs w:val="36"/>
        </w:rPr>
        <w:t>AVANCE</w:t>
      </w:r>
      <w:bookmarkEnd w:id="116"/>
      <w:bookmarkEnd w:id="117"/>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118" w:name="__RefHeading___Toc10382_2418032983"/>
      <w:bookmarkStart w:id="119" w:name="_Toc131002980"/>
      <w:bookmarkStart w:id="120" w:name="_Toc126851734"/>
      <w:bookmarkEnd w:id="118"/>
      <w:r>
        <w:rPr>
          <w:rFonts w:ascii="Times New Roman" w:hAnsi="Times New Roman"/>
          <w:b/>
          <w:bCs/>
          <w:iCs/>
          <w:color w:val="666699"/>
          <w:szCs w:val="28"/>
          <w:u w:val="single"/>
        </w:rPr>
        <w:t>Régime de l'avance</w:t>
      </w:r>
      <w:bookmarkEnd w:id="119"/>
      <w:bookmarkEnd w:id="120"/>
    </w:p>
    <w:p>
      <w:pPr>
        <w:pStyle w:val="Normal"/>
        <w:rPr>
          <w:rFonts w:eastAsia="Arial" w:cs="Arial"/>
          <w:color w:val="000000"/>
        </w:rPr>
      </w:pPr>
      <w:r>
        <w:rPr>
          <w:rFonts w:eastAsia="Arial" w:cs="Arial"/>
          <w:color w:val="000000"/>
        </w:rPr>
        <w:t xml:space="preserve"> </w:t>
      </w:r>
      <w:r>
        <w:rPr>
          <w:rFonts w:eastAsia="Arial" w:cs="Arial"/>
          <w:color w:val="000000"/>
        </w:rPr>
        <w:t>Sauf renoncement du titulaire porté à l'acte d'engagement, une avance sera versée au titulaire, dans les cas et selon les modalités prévues aux articles R2191-3 à 19 du Code de la commande publique et à l'acte d'engagement.</w:t>
      </w:r>
    </w:p>
    <w:p>
      <w:pPr>
        <w:pStyle w:val="Normal"/>
        <w:rPr>
          <w:rFonts w:eastAsia="Arial" w:cs="Arial"/>
          <w:color w:val="000000"/>
        </w:rPr>
      </w:pPr>
      <w:r>
        <w:rPr>
          <w:rFonts w:eastAsia="Arial" w:cs="Arial"/>
          <w:color w:val="000000"/>
        </w:rPr>
        <w:t>Elle est versée le cas échéant dans le délai de 30 jours à compter de la date de début du délai contractuel d'exécution du marché, du bon de commande ou de la tranche.</w:t>
      </w:r>
    </w:p>
    <w:p>
      <w:pPr>
        <w:pStyle w:val="Normal"/>
        <w:rPr>
          <w:rFonts w:eastAsia="Arial" w:cs="Arial"/>
          <w:color w:val="000000"/>
        </w:rPr>
      </w:pPr>
      <w:r>
        <w:rPr>
          <w:rFonts w:eastAsia="Arial" w:cs="Arial"/>
          <w:color w:val="000000"/>
        </w:rPr>
        <w:t>L'avance est remboursée dans les conditions prévues aux articles R2191-11, R2191-12 et R2191-29 du Code de la commande publique.</w:t>
      </w:r>
    </w:p>
    <w:p>
      <w:pPr>
        <w:pStyle w:val="Normal"/>
        <w:rPr>
          <w:rFonts w:eastAsia="Arial" w:cs="Arial"/>
          <w:color w:val="000000"/>
        </w:rPr>
      </w:pPr>
      <w:r>
        <w:rPr>
          <w:rFonts w:eastAsia="Arial" w:cs="Arial"/>
          <w:color w:val="000000"/>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21" w:name="__RefHeading___Toc10384_2418032983"/>
      <w:bookmarkStart w:id="122" w:name="_Toc131002981"/>
      <w:bookmarkStart w:id="123" w:name="_Toc126851735"/>
      <w:bookmarkEnd w:id="121"/>
      <w:r>
        <w:rPr>
          <w:rFonts w:ascii="Times New Roman" w:hAnsi="Times New Roman"/>
          <w:b/>
          <w:bCs/>
          <w:iCs/>
          <w:color w:val="666699"/>
          <w:szCs w:val="28"/>
          <w:u w:val="single"/>
        </w:rPr>
        <w:t>Dispositions complémentaires</w:t>
      </w:r>
      <w:bookmarkEnd w:id="122"/>
      <w:bookmarkEnd w:id="123"/>
    </w:p>
    <w:p>
      <w:pPr>
        <w:pStyle w:val="Normal"/>
        <w:rPr>
          <w:rFonts w:eastAsia="Arial" w:cs="Arial"/>
          <w:color w:val="000000"/>
        </w:rPr>
      </w:pPr>
      <w:r>
        <w:rPr>
          <w:rFonts w:eastAsia="Arial" w:cs="Arial"/>
          <w:color w:val="000000"/>
        </w:rPr>
        <w:t>Il n'est pas exigé la production d'une garantie à première demande ou d'une caution personnelle et solidaire pour le versement de l'avance.</w:t>
      </w:r>
    </w:p>
    <w:p>
      <w:pPr>
        <w:pStyle w:val="Normal"/>
        <w:rPr>
          <w:rFonts w:eastAsia="Arial" w:cs="Arial"/>
          <w:color w:val="000000"/>
        </w:rPr>
      </w:pPr>
      <w:r>
        <w:rPr>
          <w:rFonts w:eastAsia="Arial" w:cs="Arial"/>
          <w:color w:val="000000"/>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24" w:name="__RefHeading___Toc10386_2418032983"/>
      <w:bookmarkStart w:id="125" w:name="_Toc131002982"/>
      <w:bookmarkStart w:id="126" w:name="_Toc126851736"/>
      <w:bookmarkEnd w:id="124"/>
      <w:r>
        <w:rPr>
          <w:rFonts w:ascii="Times New Roman" w:hAnsi="Times New Roman"/>
          <w:b/>
          <w:color w:val="666699"/>
          <w:sz w:val="28"/>
          <w:szCs w:val="36"/>
        </w:rPr>
        <w:t>MODALITÉS DE R</w:t>
      </w:r>
      <w:bookmarkEnd w:id="125"/>
      <w:bookmarkEnd w:id="126"/>
      <w:r>
        <w:rPr>
          <w:rFonts w:ascii="Times New Roman" w:hAnsi="Times New Roman"/>
          <w:b/>
          <w:color w:val="666699"/>
          <w:sz w:val="28"/>
          <w:szCs w:val="36"/>
        </w:rPr>
        <w:t>ÈGLEMENT</w:t>
      </w:r>
    </w:p>
    <w:p>
      <w:pPr>
        <w:pStyle w:val="Normal"/>
        <w:rPr>
          <w:rFonts w:eastAsia="Arial" w:cs="Arial"/>
          <w:color w:val="000000"/>
        </w:rPr>
      </w:pPr>
      <w:r>
        <w:rPr>
          <w:rFonts w:eastAsia="Arial" w:cs="Arial"/>
          <w:color w:val="000000"/>
        </w:rPr>
        <w:t>Les dispositions des articles R2191-20 à 22 du Code de la commande publique relatives aux acomptes sont applicables.</w:t>
      </w:r>
    </w:p>
    <w:p>
      <w:pPr>
        <w:pStyle w:val="Normal"/>
        <w:rPr>
          <w:rFonts w:eastAsia="Arial" w:cs="Arial"/>
          <w:color w:val="000000"/>
        </w:rPr>
      </w:pPr>
      <w:r>
        <w:rPr>
          <w:rFonts w:eastAsia="Arial" w:cs="Arial"/>
          <w:color w:val="000000"/>
        </w:rPr>
        <w:t>A chaque réalisation de prestations et décisions d’admission distinctes, l'entreprise émettra une demande de paiement sous la forme d’un règlement unique.</w:t>
      </w:r>
    </w:p>
    <w:p>
      <w:pPr>
        <w:pStyle w:val="Normal"/>
        <w:rPr>
          <w:rFonts w:eastAsia="Arial" w:cs="Arial"/>
          <w:color w:val="000000"/>
        </w:rPr>
      </w:pPr>
      <w:r>
        <w:rPr>
          <w:rFonts w:eastAsia="Arial" w:cs="Arial"/>
          <w:color w:val="000000"/>
        </w:rPr>
        <w:t>Elle indique les prestations effectuées donnant droit à paiement pour la période considérée.</w:t>
      </w:r>
    </w:p>
    <w:p>
      <w:pPr>
        <w:pStyle w:val="Normal"/>
        <w:rPr>
          <w:rFonts w:eastAsia="Arial" w:cs="Arial"/>
          <w:color w:val="000000"/>
        </w:rPr>
      </w:pPr>
      <w:r>
        <w:rPr>
          <w:rFonts w:eastAsia="Arial" w:cs="Arial"/>
          <w:color w:val="000000"/>
        </w:rPr>
        <w:t>En complément des dispositions au CCAG, la demande de paiement est datée et comporte, selon le cas :</w:t>
      </w:r>
    </w:p>
    <w:p>
      <w:pPr>
        <w:pStyle w:val="Normal"/>
        <w:numPr>
          <w:ilvl w:val="0"/>
          <w:numId w:val="3"/>
        </w:numPr>
        <w:spacing w:before="0" w:after="160"/>
        <w:contextualSpacing/>
        <w:rPr>
          <w:rFonts w:eastAsia="Arial" w:cs="Arial"/>
          <w:color w:val="000000"/>
        </w:rPr>
      </w:pPr>
      <w:r>
        <w:rPr>
          <w:rFonts w:eastAsia="Arial" w:cs="Arial"/>
          <w:color w:val="000000"/>
        </w:rPr>
        <w:t>Les références du marché ;</w:t>
      </w:r>
    </w:p>
    <w:p>
      <w:pPr>
        <w:pStyle w:val="Normal"/>
        <w:numPr>
          <w:ilvl w:val="0"/>
          <w:numId w:val="3"/>
        </w:numPr>
        <w:spacing w:before="0" w:after="160"/>
        <w:contextualSpacing/>
        <w:rPr>
          <w:rFonts w:eastAsia="Arial" w:cs="Arial"/>
          <w:color w:val="000000"/>
        </w:rPr>
      </w:pPr>
      <w:r>
        <w:rPr>
          <w:rFonts w:eastAsia="Arial" w:cs="Arial"/>
          <w:color w:val="000000"/>
        </w:rPr>
        <w:t>Le montant des prestations reçues, établie conformément aux stipulations du marché, hors TVA et, le cas échéant diminué des réfactions ou le montant des prestations correspondant à la période en cause ;</w:t>
      </w:r>
    </w:p>
    <w:p>
      <w:pPr>
        <w:pStyle w:val="Normal"/>
        <w:numPr>
          <w:ilvl w:val="0"/>
          <w:numId w:val="3"/>
        </w:numPr>
        <w:spacing w:before="0" w:after="160"/>
        <w:contextualSpacing/>
        <w:rPr>
          <w:rFonts w:eastAsia="Arial" w:cs="Arial"/>
          <w:color w:val="000000"/>
        </w:rPr>
      </w:pPr>
      <w:r>
        <w:rPr>
          <w:rFonts w:eastAsia="Arial" w:cs="Arial"/>
          <w:color w:val="000000"/>
        </w:rPr>
        <w:t>En cas de sous-traitance, la nature des prestations exécutées par le sous-traitant, leur montant total hors taxes, leurs montant TTC</w:t>
      </w:r>
    </w:p>
    <w:p>
      <w:pPr>
        <w:pStyle w:val="Normal"/>
        <w:numPr>
          <w:ilvl w:val="0"/>
          <w:numId w:val="3"/>
        </w:numPr>
        <w:spacing w:before="0" w:after="160"/>
        <w:contextualSpacing/>
        <w:rPr>
          <w:rFonts w:eastAsia="Arial" w:cs="Arial"/>
          <w:color w:val="000000"/>
        </w:rPr>
      </w:pPr>
      <w:r>
        <w:rPr>
          <w:rFonts w:eastAsia="Arial" w:cs="Arial"/>
          <w:color w:val="000000"/>
        </w:rPr>
        <w:t>En cas de groupement conjoint, pour chaque opérateur économique, le montant des prestations effectuées par l’opérateur économiques ;</w:t>
      </w:r>
    </w:p>
    <w:p>
      <w:pPr>
        <w:pStyle w:val="Normal"/>
        <w:numPr>
          <w:ilvl w:val="0"/>
          <w:numId w:val="3"/>
        </w:numPr>
        <w:spacing w:before="0" w:after="160"/>
        <w:contextualSpacing/>
        <w:rPr>
          <w:rFonts w:eastAsia="Arial" w:cs="Arial"/>
          <w:color w:val="000000"/>
        </w:rPr>
      </w:pPr>
      <w:r>
        <w:rPr>
          <w:rFonts w:eastAsia="Arial" w:cs="Arial"/>
          <w:color w:val="000000"/>
        </w:rPr>
        <w:t>L’application de l’actualisation</w:t>
      </w:r>
    </w:p>
    <w:p>
      <w:pPr>
        <w:pStyle w:val="Normal"/>
        <w:numPr>
          <w:ilvl w:val="0"/>
          <w:numId w:val="3"/>
        </w:numPr>
        <w:spacing w:before="0" w:after="160"/>
        <w:contextualSpacing/>
        <w:rPr>
          <w:rFonts w:eastAsia="Arial" w:cs="Arial"/>
          <w:color w:val="000000"/>
        </w:rPr>
      </w:pPr>
      <w:r>
        <w:rPr>
          <w:rFonts w:eastAsia="Arial" w:cs="Arial"/>
          <w:color w:val="000000"/>
        </w:rPr>
        <w:t>Le cas échéant, les indemnités, primes et retenues en fonction du compte d’exploitation ;</w:t>
      </w:r>
    </w:p>
    <w:p>
      <w:pPr>
        <w:pStyle w:val="Normal"/>
        <w:numPr>
          <w:ilvl w:val="0"/>
          <w:numId w:val="3"/>
        </w:numPr>
        <w:spacing w:before="0" w:after="160"/>
        <w:contextualSpacing/>
        <w:rPr>
          <w:rFonts w:eastAsia="Arial" w:cs="Arial"/>
          <w:color w:val="000000"/>
        </w:rPr>
      </w:pPr>
      <w:r>
        <w:rPr>
          <w:rFonts w:eastAsia="Arial" w:cs="Arial"/>
          <w:color w:val="000000"/>
        </w:rPr>
        <w:t>Les pénalités éventuelles pour retard ;</w:t>
      </w:r>
    </w:p>
    <w:p>
      <w:pPr>
        <w:pStyle w:val="Normal"/>
        <w:numPr>
          <w:ilvl w:val="0"/>
          <w:numId w:val="3"/>
        </w:numPr>
        <w:spacing w:before="0" w:after="160"/>
        <w:contextualSpacing/>
        <w:rPr>
          <w:rFonts w:eastAsia="Arial" w:cs="Arial"/>
          <w:color w:val="000000"/>
        </w:rPr>
      </w:pPr>
      <w:r>
        <w:rPr>
          <w:rFonts w:eastAsia="Arial" w:cs="Arial"/>
          <w:color w:val="000000"/>
        </w:rPr>
        <w:t>Le montant de la TVA</w:t>
      </w:r>
    </w:p>
    <w:p>
      <w:pPr>
        <w:pStyle w:val="Normal"/>
        <w:numPr>
          <w:ilvl w:val="0"/>
          <w:numId w:val="3"/>
        </w:numPr>
        <w:spacing w:before="0" w:after="160"/>
        <w:contextualSpacing/>
        <w:rPr>
          <w:rFonts w:eastAsia="Arial" w:cs="Arial"/>
          <w:color w:val="000000"/>
        </w:rPr>
      </w:pPr>
      <w:r>
        <w:rPr>
          <w:rFonts w:eastAsia="Arial" w:cs="Arial"/>
          <w:color w:val="000000"/>
        </w:rPr>
        <w:t>Le montant TTC</w:t>
      </w:r>
    </w:p>
    <w:p>
      <w:pPr>
        <w:pStyle w:val="Normal"/>
        <w:rPr>
          <w:rFonts w:eastAsia="Arial" w:cs="Arial"/>
          <w:color w:val="000000"/>
        </w:rPr>
      </w:pPr>
      <w:r>
        <w:rPr>
          <w:rFonts w:eastAsia="Arial" w:cs="Arial"/>
          <w:color w:val="000000"/>
        </w:rPr>
        <w:t>La Ville de Marseille se réserve le droit de compléter ou de rectifier les demandes de paiement d’acompte qui comporteraient des erreurs ou seraient incomplètes. Dans ce cas la demande de paiement est rectifiée.</w:t>
      </w:r>
    </w:p>
    <w:p>
      <w:pPr>
        <w:pStyle w:val="Normal"/>
        <w:rPr>
          <w:rFonts w:eastAsia="Arial" w:cs="Arial"/>
          <w:color w:val="000000"/>
        </w:rPr>
      </w:pPr>
      <w:r>
        <w:rPr>
          <w:rFonts w:eastAsia="Arial" w:cs="Arial"/>
          <w:color w:val="000000"/>
        </w:rPr>
        <w:t xml:space="preserve">Après validation de la Ville, un numéro d’engagement/ou bon de commande sera transmis au prestataire pour lui permettre de déposer sa facture dans CHORUS. </w:t>
      </w:r>
    </w:p>
    <w:p>
      <w:pPr>
        <w:pStyle w:val="Normal"/>
        <w:rPr/>
      </w:pPr>
      <w:r>
        <w:rPr/>
      </w:r>
    </w:p>
    <w:p>
      <w:pPr>
        <w:pStyle w:val="Normal"/>
        <w:keepNext w:val="true"/>
        <w:widowControl w:val="false"/>
        <w:numPr>
          <w:ilvl w:val="0"/>
          <w:numId w:val="1"/>
        </w:numPr>
        <w:suppressAutoHyphens w:val="true"/>
        <w:spacing w:beforeAutospacing="1" w:after="160"/>
        <w:ind w:firstLine="284"/>
        <w:outlineLvl w:val="0"/>
        <w:rPr>
          <w:rFonts w:ascii="Times New Roman" w:hAnsi="Times New Roman"/>
          <w:b/>
          <w:b/>
          <w:color w:val="666699"/>
          <w:sz w:val="28"/>
          <w:szCs w:val="36"/>
        </w:rPr>
      </w:pPr>
      <w:bookmarkStart w:id="127" w:name="__RefHeading___Toc10388_2418032983"/>
      <w:bookmarkStart w:id="128" w:name="_Toc131002983"/>
      <w:bookmarkStart w:id="129" w:name="_Toc126851737"/>
      <w:bookmarkEnd w:id="127"/>
      <w:r>
        <w:rPr>
          <w:rFonts w:ascii="Times New Roman" w:hAnsi="Times New Roman"/>
          <w:b/>
          <w:color w:val="666699"/>
          <w:sz w:val="28"/>
          <w:szCs w:val="36"/>
        </w:rPr>
        <w:t>PAIEMENT ET ÉTABLISSEMENT DE LA FACTURE</w:t>
      </w:r>
      <w:bookmarkEnd w:id="128"/>
      <w:bookmarkEnd w:id="129"/>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130" w:name="__RefHeading___Toc10390_2418032983"/>
      <w:bookmarkStart w:id="131" w:name="_Toc131002984"/>
      <w:bookmarkStart w:id="132" w:name="_Toc126851738"/>
      <w:bookmarkEnd w:id="130"/>
      <w:r>
        <w:rPr>
          <w:rFonts w:ascii="Times New Roman" w:hAnsi="Times New Roman"/>
          <w:b/>
          <w:bCs/>
          <w:iCs/>
          <w:color w:val="666699"/>
          <w:szCs w:val="28"/>
          <w:u w:val="single"/>
        </w:rPr>
        <w:t>Délais de paiements</w:t>
      </w:r>
      <w:bookmarkEnd w:id="131"/>
      <w:bookmarkEnd w:id="132"/>
    </w:p>
    <w:p>
      <w:pPr>
        <w:pStyle w:val="Normal"/>
        <w:rPr>
          <w:rFonts w:eastAsia="Arial" w:cs="Arial"/>
          <w:color w:val="000000"/>
        </w:rPr>
      </w:pPr>
      <w:r>
        <w:rPr>
          <w:rFonts w:eastAsia="Arial" w:cs="Arial"/>
          <w:color w:val="000000"/>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rPr/>
      </w:pPr>
      <w:r>
        <w:rPr/>
      </w:r>
    </w:p>
    <w:p>
      <w:pPr>
        <w:pStyle w:val="Normal"/>
        <w:rPr>
          <w:rFonts w:eastAsia="Arial" w:cs="Arial"/>
          <w:color w:val="000000"/>
        </w:rPr>
      </w:pPr>
      <w:r>
        <w:rPr>
          <w:rFonts w:eastAsia="Arial" w:cs="Arial"/>
          <w:color w:val="000000"/>
        </w:rPr>
        <w:t>Le délai global de paiement pourra être suspendu dans les conditions prévues par la réglementation en vigueur.</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33" w:name="__RefHeading___Toc10392_2418032983"/>
      <w:bookmarkStart w:id="134" w:name="_Toc131002985"/>
      <w:bookmarkStart w:id="135" w:name="_Toc126851739"/>
      <w:bookmarkEnd w:id="133"/>
      <w:r>
        <w:rPr>
          <w:rFonts w:ascii="Times New Roman" w:hAnsi="Times New Roman"/>
          <w:b/>
          <w:bCs/>
          <w:iCs/>
          <w:color w:val="666699"/>
          <w:szCs w:val="28"/>
          <w:u w:val="single"/>
        </w:rPr>
        <w:t>Intérêts moratoires</w:t>
      </w:r>
      <w:bookmarkEnd w:id="134"/>
      <w:bookmarkEnd w:id="135"/>
    </w:p>
    <w:p>
      <w:pPr>
        <w:pStyle w:val="Normal"/>
        <w:rPr>
          <w:rFonts w:eastAsia="Arial" w:cs="Arial"/>
          <w:color w:val="000000"/>
        </w:rPr>
      </w:pPr>
      <w:r>
        <w:rPr>
          <w:rFonts w:eastAsia="Arial" w:cs="Arial"/>
          <w:color w:val="000000"/>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rPr/>
      </w:pPr>
      <w:r>
        <w:rPr/>
      </w:r>
    </w:p>
    <w:p>
      <w:pPr>
        <w:pStyle w:val="Normal"/>
        <w:rPr>
          <w:rFonts w:eastAsia="Arial" w:cs="Arial"/>
          <w:color w:val="000000"/>
        </w:rPr>
      </w:pPr>
      <w:r>
        <w:rPr>
          <w:rFonts w:eastAsia="Arial" w:cs="Arial"/>
          <w:color w:val="000000"/>
        </w:rPr>
        <w:t>Le montant de l'indemnité forfaitaire pour frais de recouvrement est fixé à 40 Euros conformément à l'article D2192-35 du Code de la commande publique.</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36" w:name="__RefHeading___Toc10394_2418032983"/>
      <w:bookmarkStart w:id="137" w:name="_Toc131002986"/>
      <w:bookmarkStart w:id="138" w:name="_Toc126851740"/>
      <w:bookmarkEnd w:id="136"/>
      <w:r>
        <w:rPr>
          <w:rFonts w:ascii="Times New Roman" w:hAnsi="Times New Roman"/>
          <w:b/>
          <w:bCs/>
          <w:iCs/>
          <w:color w:val="666699"/>
          <w:szCs w:val="28"/>
          <w:u w:val="single"/>
        </w:rPr>
        <w:t>Modalités de paiement direct des sous-traitants</w:t>
      </w:r>
      <w:bookmarkEnd w:id="137"/>
      <w:bookmarkEnd w:id="138"/>
    </w:p>
    <w:p>
      <w:pPr>
        <w:pStyle w:val="Normal"/>
        <w:rPr>
          <w:rFonts w:eastAsia="Arial" w:cs="Arial"/>
          <w:color w:val="000000"/>
        </w:rPr>
      </w:pPr>
      <w:r>
        <w:rPr>
          <w:rFonts w:eastAsia="Arial" w:cs="Arial"/>
          <w:color w:val="000000"/>
        </w:rPr>
        <w:t xml:space="preserve"> </w:t>
      </w:r>
      <w:r>
        <w:rPr>
          <w:rFonts w:eastAsia="Arial" w:cs="Arial"/>
          <w:color w:val="000000"/>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rPr/>
      </w:pPr>
      <w:r>
        <w:rPr/>
      </w:r>
    </w:p>
    <w:p>
      <w:pPr>
        <w:pStyle w:val="Normal"/>
        <w:rPr>
          <w:rFonts w:eastAsia="Arial" w:cs="Arial"/>
          <w:color w:val="000000"/>
        </w:rPr>
      </w:pPr>
      <w:r>
        <w:rPr>
          <w:rFonts w:eastAsia="Arial" w:cs="Arial"/>
          <w:color w:val="000000"/>
        </w:rPr>
        <w:t>Le paiement direct des sous-traitants régulièrement acceptés est mis en œuvre selon les modalités prévues par le Code de la commande publique, et notamment, par ses articles R2193-11 à 16.</w:t>
      </w:r>
    </w:p>
    <w:p>
      <w:pPr>
        <w:pStyle w:val="Normal"/>
        <w:rPr/>
      </w:pPr>
      <w:r>
        <w:rPr/>
      </w:r>
    </w:p>
    <w:p>
      <w:pPr>
        <w:pStyle w:val="Normal"/>
        <w:rPr>
          <w:rFonts w:eastAsia="Arial" w:cs="Arial"/>
          <w:color w:val="000000"/>
        </w:rPr>
      </w:pPr>
      <w:r>
        <w:rPr>
          <w:rFonts w:eastAsia="Arial" w:cs="Arial"/>
          <w:color w:val="000000"/>
        </w:rPr>
        <w:t>Les sous-traitants adressent leur demande de paiement, libellée au nom du pouvoir adjudicateur, au titulaire ainsi qu'à la personne désignée ci-après :</w:t>
      </w:r>
    </w:p>
    <w:p>
      <w:pPr>
        <w:pStyle w:val="Normal"/>
        <w:rPr>
          <w:rFonts w:eastAsia="Arial" w:cs="Arial"/>
          <w:b/>
          <w:b/>
          <w:bCs/>
          <w:color w:val="000000"/>
        </w:rPr>
      </w:pPr>
      <w:r>
        <w:rPr>
          <w:rFonts w:eastAsia="Arial" w:cs="Arial"/>
          <w:b/>
          <w:bCs/>
          <w:color w:val="000000"/>
        </w:rPr>
        <w:t>Ville de Marseille</w:t>
      </w:r>
    </w:p>
    <w:p>
      <w:pPr>
        <w:pStyle w:val="Normal"/>
        <w:rPr>
          <w:rFonts w:eastAsia="Arial" w:cs="Arial"/>
          <w:b/>
          <w:b/>
          <w:bCs/>
          <w:color w:val="000000"/>
        </w:rPr>
      </w:pPr>
      <w:r>
        <w:rPr>
          <w:rFonts w:eastAsia="Arial" w:cs="Arial"/>
          <w:b/>
          <w:bCs/>
          <w:color w:val="000000"/>
        </w:rPr>
        <w:t>506 avenue du Prado</w:t>
      </w:r>
    </w:p>
    <w:p>
      <w:pPr>
        <w:pStyle w:val="Normal"/>
        <w:rPr>
          <w:rFonts w:eastAsia="Arial" w:cs="Arial"/>
          <w:b/>
          <w:b/>
          <w:bCs/>
          <w:color w:val="000000"/>
        </w:rPr>
      </w:pPr>
      <w:r>
        <w:rPr>
          <w:rFonts w:eastAsia="Arial" w:cs="Arial"/>
          <w:b/>
          <w:bCs/>
          <w:color w:val="000000"/>
        </w:rPr>
        <w:t>13233 MARSEILLE CEDEX 20</w:t>
      </w:r>
    </w:p>
    <w:p>
      <w:pPr>
        <w:pStyle w:val="Normal"/>
        <w:rPr>
          <w:rFonts w:eastAsia="Arial" w:cs="Arial"/>
          <w:color w:val="000000"/>
        </w:rPr>
      </w:pPr>
      <w:r>
        <w:rPr>
          <w:rFonts w:eastAsia="Arial" w:cs="Arial"/>
          <w:color w:val="000000"/>
        </w:rPr>
        <w:t xml:space="preserve"> </w:t>
      </w:r>
      <w:r>
        <w:rPr>
          <w:rFonts w:eastAsia="Arial" w:cs="Arial"/>
          <w:color w:val="000000"/>
        </w:rPr>
        <w:t>Le délai global de paiement du sous-traitant est de 30 jours. Ce délai est computé dans les conditions prévues aux articles R2192-22 et R2192-23 du Code de la commande publique.</w:t>
      </w:r>
    </w:p>
    <w:p>
      <w:pPr>
        <w:pStyle w:val="Normal"/>
        <w:rPr/>
      </w:pPr>
      <w:r>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39" w:name="__RefHeading___Toc10396_2418032983"/>
      <w:bookmarkStart w:id="140" w:name="_Toc131002987"/>
      <w:bookmarkStart w:id="141" w:name="_Toc126851741"/>
      <w:bookmarkEnd w:id="139"/>
      <w:r>
        <w:rPr>
          <w:rFonts w:ascii="Times New Roman" w:hAnsi="Times New Roman"/>
          <w:b/>
          <w:bCs/>
          <w:iCs/>
          <w:color w:val="666699"/>
          <w:szCs w:val="28"/>
          <w:u w:val="single"/>
        </w:rPr>
        <w:t>Présentation des demandes de paiement</w:t>
      </w:r>
      <w:bookmarkEnd w:id="140"/>
      <w:bookmarkEnd w:id="141"/>
    </w:p>
    <w:p>
      <w:pPr>
        <w:pStyle w:val="Normal"/>
        <w:rPr>
          <w:rFonts w:eastAsia="Arial" w:cs="Arial"/>
          <w:color w:val="000000"/>
        </w:rPr>
      </w:pPr>
      <w:r>
        <w:rPr>
          <w:rFonts w:eastAsia="Arial" w:cs="Arial"/>
          <w:color w:val="000000"/>
        </w:rPr>
        <w:t xml:space="preserve"> </w:t>
      </w:r>
      <w:r>
        <w:rPr>
          <w:rFonts w:eastAsia="Arial" w:cs="Arial"/>
          <w:color w:val="000000"/>
        </w:rPr>
        <w:t>Les factures afférentes au marché sont établies en portant, outre les mentions légales, les indications suivantes :</w:t>
      </w:r>
    </w:p>
    <w:p>
      <w:pPr>
        <w:pStyle w:val="Normal"/>
        <w:rPr>
          <w:rFonts w:eastAsia="Arial" w:cs="Arial"/>
          <w:color w:val="000000"/>
        </w:rPr>
      </w:pPr>
      <w:r>
        <w:rPr>
          <w:rFonts w:eastAsia="Arial" w:cs="Arial"/>
          <w:color w:val="000000"/>
        </w:rPr>
        <w:t xml:space="preserve">- Le nom / la raison sociale et l'adresses du créancier </w:t>
      </w:r>
    </w:p>
    <w:p>
      <w:pPr>
        <w:pStyle w:val="Normal"/>
        <w:rPr>
          <w:rFonts w:eastAsia="Arial" w:cs="Arial"/>
          <w:color w:val="000000"/>
        </w:rPr>
      </w:pPr>
      <w:r>
        <w:rPr>
          <w:rFonts w:eastAsia="Arial" w:cs="Arial"/>
          <w:color w:val="000000"/>
        </w:rPr>
        <w:t xml:space="preserve">- le numéro de SIRET </w:t>
      </w:r>
    </w:p>
    <w:p>
      <w:pPr>
        <w:pStyle w:val="Normal"/>
        <w:rPr>
          <w:rFonts w:eastAsia="Arial" w:cs="Arial"/>
          <w:color w:val="000000"/>
        </w:rPr>
      </w:pPr>
      <w:r>
        <w:rPr>
          <w:rFonts w:eastAsia="Arial" w:cs="Arial"/>
          <w:color w:val="000000"/>
        </w:rPr>
        <w:t xml:space="preserve">- Le numéro de son compte bancaire ou postal tel qu'il est précisé à l'acte d'engagement </w:t>
      </w:r>
    </w:p>
    <w:p>
      <w:pPr>
        <w:pStyle w:val="Normal"/>
        <w:rPr>
          <w:rFonts w:eastAsia="Arial" w:cs="Arial"/>
          <w:color w:val="000000"/>
        </w:rPr>
      </w:pPr>
      <w:r>
        <w:rPr>
          <w:rFonts w:eastAsia="Arial" w:cs="Arial"/>
          <w:color w:val="000000"/>
        </w:rPr>
        <w:t xml:space="preserve">- Le numéro et la date du marché et de chaque avenant </w:t>
      </w:r>
    </w:p>
    <w:p>
      <w:pPr>
        <w:pStyle w:val="Normal"/>
        <w:rPr>
          <w:rFonts w:eastAsia="Arial" w:cs="Arial"/>
          <w:b/>
          <w:b/>
          <w:color w:val="000000"/>
        </w:rPr>
      </w:pPr>
      <w:r>
        <w:rPr>
          <w:rFonts w:eastAsia="Arial" w:cs="Arial"/>
          <w:b/>
          <w:color w:val="000000"/>
        </w:rPr>
        <w:t>- La date et le numéro du bon de commande</w:t>
      </w:r>
    </w:p>
    <w:p>
      <w:pPr>
        <w:pStyle w:val="Normal"/>
        <w:rPr>
          <w:rFonts w:eastAsia="Arial" w:cs="Arial"/>
          <w:color w:val="000000"/>
        </w:rPr>
      </w:pPr>
      <w:r>
        <w:rPr>
          <w:rFonts w:eastAsia="Arial" w:cs="Arial"/>
          <w:color w:val="000000"/>
        </w:rPr>
        <w:t>- La nature des prestations</w:t>
      </w:r>
    </w:p>
    <w:p>
      <w:pPr>
        <w:pStyle w:val="Normal"/>
        <w:rPr>
          <w:rFonts w:eastAsia="Arial" w:cs="Arial"/>
          <w:color w:val="000000"/>
        </w:rPr>
      </w:pPr>
      <w:r>
        <w:rPr>
          <w:rFonts w:eastAsia="Arial" w:cs="Arial"/>
          <w:color w:val="000000"/>
        </w:rPr>
        <w:t xml:space="preserve">- La quantité </w:t>
      </w:r>
    </w:p>
    <w:p>
      <w:pPr>
        <w:pStyle w:val="Normal"/>
        <w:rPr>
          <w:rFonts w:eastAsia="Arial" w:cs="Arial"/>
          <w:color w:val="000000"/>
        </w:rPr>
      </w:pPr>
      <w:r>
        <w:rPr>
          <w:rFonts w:eastAsia="Arial" w:cs="Arial"/>
          <w:color w:val="000000"/>
        </w:rPr>
        <w:t xml:space="preserve">- Le prix de base hors révision et hors taxes </w:t>
      </w:r>
    </w:p>
    <w:p>
      <w:pPr>
        <w:pStyle w:val="Normal"/>
        <w:rPr>
          <w:rFonts w:eastAsia="Arial" w:cs="Arial"/>
          <w:color w:val="000000"/>
        </w:rPr>
      </w:pPr>
      <w:r>
        <w:rPr>
          <w:rFonts w:eastAsia="Arial" w:cs="Arial"/>
          <w:color w:val="000000"/>
        </w:rPr>
        <w:t xml:space="preserve">- Le taux et le montant de la T.V.A. </w:t>
      </w:r>
    </w:p>
    <w:p>
      <w:pPr>
        <w:pStyle w:val="Normal"/>
        <w:rPr>
          <w:rFonts w:eastAsia="Arial" w:cs="Arial"/>
          <w:color w:val="000000"/>
        </w:rPr>
      </w:pPr>
      <w:r>
        <w:rPr>
          <w:rFonts w:eastAsia="Arial" w:cs="Arial"/>
          <w:color w:val="000000"/>
        </w:rPr>
        <w:t>- Le montant total de la facture en euro HT et TTC</w:t>
      </w:r>
    </w:p>
    <w:p>
      <w:pPr>
        <w:pStyle w:val="Normal"/>
        <w:rPr>
          <w:rFonts w:eastAsia="Arial" w:cs="Arial"/>
          <w:color w:val="000000"/>
        </w:rPr>
      </w:pPr>
      <w:r>
        <w:rPr>
          <w:rFonts w:eastAsia="Arial" w:cs="Arial"/>
          <w:color w:val="000000"/>
        </w:rPr>
        <w:t>- La date et le numéro de facture.</w:t>
      </w:r>
    </w:p>
    <w:p>
      <w:pPr>
        <w:pStyle w:val="Normal"/>
        <w:rPr>
          <w:rFonts w:eastAsia="Arial" w:cs="Arial"/>
          <w:color w:val="000000"/>
        </w:rPr>
      </w:pPr>
      <w:r>
        <w:rPr>
          <w:rFonts w:eastAsia="Arial" w:cs="Arial"/>
          <w:color w:val="000000"/>
        </w:rPr>
        <w:t>- Tout rabais remise ristourne ou escompte acquis et chiffrable lors de l'opération et directement applicable à cette opération</w:t>
      </w:r>
    </w:p>
    <w:p>
      <w:pPr>
        <w:pStyle w:val="Normal"/>
        <w:rPr/>
      </w:pPr>
      <w:r>
        <w:rPr/>
      </w:r>
    </w:p>
    <w:p>
      <w:pPr>
        <w:pStyle w:val="Normal"/>
        <w:rPr>
          <w:rFonts w:eastAsia="Arial" w:cs="Arial"/>
          <w:color w:val="000000"/>
        </w:rPr>
      </w:pPr>
      <w:r>
        <w:rPr>
          <w:rFonts w:eastAsia="Arial" w:cs="Arial"/>
          <w:color w:val="000000"/>
        </w:rPr>
        <w:t xml:space="preserve">Les factures dématérialisées indiquent l'adresse suivante : </w:t>
      </w:r>
    </w:p>
    <w:p>
      <w:pPr>
        <w:pStyle w:val="Normal"/>
        <w:rPr>
          <w:rFonts w:eastAsia="Arial" w:cs="Arial"/>
          <w:b/>
          <w:b/>
          <w:bCs/>
          <w:color w:val="000000"/>
        </w:rPr>
      </w:pPr>
      <w:r>
        <w:rPr>
          <w:rFonts w:eastAsia="Arial" w:cs="Arial"/>
          <w:b/>
          <w:bCs/>
          <w:color w:val="000000"/>
        </w:rPr>
        <w:t>Ville de Marseille</w:t>
      </w:r>
    </w:p>
    <w:p>
      <w:pPr>
        <w:pStyle w:val="Normal"/>
        <w:rPr>
          <w:rFonts w:eastAsia="Arial" w:cs="Arial"/>
          <w:b/>
          <w:b/>
          <w:bCs/>
          <w:color w:val="000000"/>
        </w:rPr>
      </w:pPr>
      <w:r>
        <w:rPr>
          <w:rFonts w:eastAsia="Arial" w:cs="Arial"/>
          <w:b/>
          <w:bCs/>
          <w:color w:val="000000"/>
        </w:rPr>
        <w:t>506 avenue du Prado</w:t>
      </w:r>
    </w:p>
    <w:p>
      <w:pPr>
        <w:pStyle w:val="Normal"/>
        <w:rPr>
          <w:rFonts w:eastAsia="Arial" w:cs="Arial"/>
          <w:b/>
          <w:b/>
          <w:bCs/>
          <w:color w:val="000000"/>
        </w:rPr>
      </w:pPr>
      <w:r>
        <w:rPr>
          <w:rFonts w:eastAsia="Arial" w:cs="Arial"/>
          <w:b/>
          <w:bCs/>
          <w:color w:val="000000"/>
        </w:rPr>
        <w:t>13 233 MARSEILLE CEDEX 20</w:t>
      </w:r>
    </w:p>
    <w:p>
      <w:pPr>
        <w:pStyle w:val="Normal"/>
        <w:rPr>
          <w:rFonts w:eastAsia="Arial" w:cs="Arial"/>
          <w:color w:val="000000"/>
        </w:rPr>
      </w:pPr>
      <w:r>
        <w:rPr>
          <w:rFonts w:eastAsia="Arial" w:cs="Arial"/>
          <w:color w:val="000000"/>
        </w:rPr>
        <w:t xml:space="preserve"> </w:t>
      </w:r>
      <w:r>
        <w:rPr>
          <w:rFonts w:eastAsia="Arial" w:cs="Arial"/>
          <w:color w:val="000000"/>
        </w:rPr>
        <w:t>Le paiement s'effectue suivant les règles de la comptabilité publique dans les conditions prévues aux articles 11 et 12 du C.C.A.G./F.C.S.</w:t>
      </w:r>
    </w:p>
    <w:p>
      <w:pPr>
        <w:pStyle w:val="Normal"/>
        <w:rPr/>
      </w:pPr>
      <w:r>
        <w:rPr>
          <w:rFonts w:eastAsia="Arial" w:cs="Arial"/>
          <w:color w:val="000000"/>
          <w:u w:val="single"/>
        </w:rPr>
        <w:t>Pour les candidats européens sans établissement en France</w:t>
      </w:r>
      <w:r>
        <w:rPr>
          <w:rFonts w:eastAsia="Arial" w:cs="Arial"/>
          <w:color w:val="000000"/>
        </w:rPr>
        <w:t xml:space="preserve"> : en lieu et place du numéro de SIRET, indiquer le N° de TVA intracommunautaire</w:t>
      </w:r>
    </w:p>
    <w:p>
      <w:pPr>
        <w:pStyle w:val="Normal"/>
        <w:rPr>
          <w:rFonts w:eastAsia="Arial" w:cs="Arial"/>
          <w:color w:val="000000"/>
        </w:rPr>
      </w:pPr>
      <w:r>
        <w:rPr>
          <w:rFonts w:eastAsia="Arial" w:cs="Arial"/>
          <w:color w:val="000000"/>
        </w:rPr>
        <w:t>N° de TVA intracommunautaire de la Ville de Marseille : FR75211300553</w:t>
      </w:r>
    </w:p>
    <w:p>
      <w:pPr>
        <w:pStyle w:val="Normal"/>
        <w:rPr/>
      </w:pPr>
      <w:r>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42" w:name="__RefHeading___Toc10398_2418032983"/>
      <w:bookmarkStart w:id="143" w:name="_Toc131002988"/>
      <w:bookmarkStart w:id="144" w:name="_Toc126851742"/>
      <w:bookmarkEnd w:id="142"/>
      <w:r>
        <w:rPr>
          <w:rFonts w:ascii="Times New Roman" w:hAnsi="Times New Roman"/>
          <w:b/>
          <w:bCs/>
          <w:iCs/>
          <w:color w:val="666699"/>
          <w:szCs w:val="28"/>
          <w:u w:val="single"/>
        </w:rPr>
        <w:t>Dématérialisation des factures</w:t>
      </w:r>
      <w:bookmarkEnd w:id="143"/>
      <w:bookmarkEnd w:id="144"/>
    </w:p>
    <w:p>
      <w:pPr>
        <w:pStyle w:val="Normal"/>
        <w:rPr>
          <w:rFonts w:eastAsia="Arial" w:cs="Arial"/>
          <w:color w:val="000000"/>
        </w:rPr>
      </w:pPr>
      <w:r>
        <w:rPr>
          <w:rFonts w:eastAsia="Arial" w:cs="Arial"/>
          <w:color w:val="000000"/>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rPr>
          <w:rFonts w:eastAsia="Arial" w:cs="Arial"/>
          <w:color w:val="000000"/>
        </w:rPr>
      </w:pPr>
      <w:r>
        <w:rPr>
          <w:rFonts w:eastAsia="Arial" w:cs="Arial"/>
          <w:color w:val="000000"/>
        </w:rPr>
        <w:t>Les factures doivent être envoyées de façon dématérialisée et gratuite en utilisant le "portail public de facturation" sécurisé Chorus Pro à l'adresse suivante : https://chorus-pro.gouv.fr</w:t>
      </w:r>
    </w:p>
    <w:p>
      <w:pPr>
        <w:pStyle w:val="Normal"/>
        <w:rPr>
          <w:rFonts w:eastAsia="Arial" w:cs="Arial"/>
          <w:color w:val="000000"/>
        </w:rPr>
      </w:pPr>
      <w:r>
        <w:rPr>
          <w:rFonts w:eastAsia="Arial" w:cs="Arial"/>
          <w:color w:val="000000"/>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rPr/>
      </w:pPr>
      <w:r>
        <w:rPr/>
      </w:r>
    </w:p>
    <w:p>
      <w:pPr>
        <w:pStyle w:val="Normal"/>
        <w:rPr/>
      </w:pPr>
      <w:r>
        <w:rPr>
          <w:rFonts w:eastAsia="Arial" w:cs="Arial"/>
          <w:color w:val="000000"/>
        </w:rPr>
        <w:t xml:space="preserve">Toutes les informations utiles aux modalités d'utilisation du portail et de transmission des factures sont </w:t>
      </w:r>
      <w:r>
        <w:rPr>
          <w:rFonts w:eastAsia="Arial" w:cs="Arial"/>
          <w:b/>
          <w:color w:val="000000"/>
          <w:u w:val="single"/>
        </w:rPr>
        <w:t>disponibles directement sur le site</w:t>
      </w:r>
      <w:r>
        <w:rPr>
          <w:rFonts w:eastAsia="Arial" w:cs="Arial"/>
          <w:color w:val="000000"/>
        </w:rPr>
        <w:t>.</w:t>
      </w:r>
    </w:p>
    <w:p>
      <w:pPr>
        <w:pStyle w:val="Normal"/>
        <w:rPr/>
      </w:pPr>
      <w:r>
        <w:rPr/>
      </w:r>
    </w:p>
    <w:p>
      <w:pPr>
        <w:pStyle w:val="Normal"/>
        <w:rPr/>
      </w:pPr>
      <w:r>
        <w:rPr>
          <w:rFonts w:eastAsia="Arial" w:cs="Arial"/>
          <w:color w:val="000000"/>
        </w:rPr>
        <w:t xml:space="preserve">Pour accéder à la « structure »(au sens CHORUS PRO) Ville de Marseille adéquate, le titulaire sera informé du </w:t>
      </w:r>
      <w:r>
        <w:rPr>
          <w:rFonts w:eastAsia="Arial" w:cs="Arial"/>
          <w:b/>
          <w:color w:val="000000"/>
          <w:u w:val="single"/>
        </w:rPr>
        <w:t>numéro SIRET</w:t>
      </w:r>
      <w:r>
        <w:rPr>
          <w:rFonts w:eastAsia="Arial" w:cs="Arial"/>
          <w:color w:val="000000"/>
        </w:rPr>
        <w:t xml:space="preserve"> devant être utilisé.</w:t>
      </w:r>
    </w:p>
    <w:p>
      <w:pPr>
        <w:pStyle w:val="Normal"/>
        <w:rPr/>
      </w:pPr>
      <w:r>
        <w:rPr>
          <w:rFonts w:eastAsia="Arial" w:cs="Arial"/>
          <w:color w:val="000000"/>
        </w:rPr>
        <w:t xml:space="preserve">De même, la Ville de Marseille a choisi de rendre obligatoire la </w:t>
      </w:r>
      <w:r>
        <w:rPr>
          <w:rFonts w:eastAsia="Arial" w:cs="Arial"/>
          <w:b/>
          <w:color w:val="000000"/>
          <w:u w:val="single"/>
        </w:rPr>
        <w:t>référence à l'engagement</w:t>
      </w:r>
      <w:r>
        <w:rPr>
          <w:rFonts w:eastAsia="Arial" w:cs="Arial"/>
          <w:color w:val="000000"/>
        </w:rPr>
        <w:t>. Le ou les numéros d'engagement seront communiqués au titulaire par le service gestionnaire du marché ou par le service acheteur.</w:t>
      </w:r>
    </w:p>
    <w:p>
      <w:pPr>
        <w:pStyle w:val="Normal"/>
        <w:rPr>
          <w:rFonts w:eastAsia="Arial" w:cs="Arial"/>
          <w:b/>
          <w:b/>
          <w:color w:val="000000"/>
        </w:rPr>
      </w:pPr>
      <w:r>
        <w:rPr>
          <w:rFonts w:eastAsia="Arial" w:cs="Arial"/>
          <w:b/>
          <w:color w:val="000000"/>
        </w:rPr>
        <w:t>Sous peine d'irrecevabilité, les factures seront déposées dans CHORUS PRO en respectant l'obligation de renseignement exact des 2 numéros précités.</w:t>
      </w:r>
    </w:p>
    <w:p>
      <w:pPr>
        <w:pStyle w:val="Normal"/>
        <w:rPr>
          <w:rFonts w:eastAsia="Arial" w:cs="Arial"/>
          <w:b/>
          <w:b/>
          <w:color w:val="000000"/>
        </w:rPr>
      </w:pPr>
      <w:r>
        <w:rPr>
          <w:rFonts w:eastAsia="Arial" w:cs="Arial"/>
          <w:b/>
          <w:color w:val="000000"/>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45" w:name="__RefHeading___Toc10400_2418032983"/>
      <w:bookmarkStart w:id="146" w:name="_Toc131002989"/>
      <w:bookmarkStart w:id="147" w:name="_Toc126851743"/>
      <w:bookmarkEnd w:id="145"/>
      <w:r>
        <w:rPr>
          <w:rFonts w:ascii="Times New Roman" w:hAnsi="Times New Roman"/>
          <w:b/>
          <w:color w:val="666699"/>
          <w:sz w:val="28"/>
          <w:szCs w:val="36"/>
        </w:rPr>
        <w:t>PENALITES</w:t>
      </w:r>
      <w:bookmarkEnd w:id="146"/>
      <w:bookmarkEnd w:id="147"/>
    </w:p>
    <w:p>
      <w:pPr>
        <w:pStyle w:val="Normal"/>
        <w:rPr/>
      </w:pPr>
      <w:bookmarkStart w:id="148" w:name="_Toc126851744"/>
      <w:bookmarkStart w:id="149" w:name="_Toc125620919"/>
      <w:r>
        <w:rPr/>
        <w:t>Les pénalités seront appliquées par l’émission d’un titre de recette, dès la constatation du non-respect des stipulations contractuelles.</w:t>
      </w:r>
      <w:bookmarkStart w:id="150" w:name="_Toc126851745"/>
      <w:bookmarkStart w:id="151" w:name="_Toc125620920"/>
      <w:bookmarkEnd w:id="148"/>
      <w:bookmarkEnd w:id="149"/>
    </w:p>
    <w:p>
      <w:pPr>
        <w:pStyle w:val="Normal"/>
        <w:rPr/>
      </w:pPr>
      <w:r>
        <w:rPr/>
        <w:t>Par dérogation au CCAG FCS, le titulaire ne bénéficiera d’aucune exonération prévue à l’article 14.1.3 du CCAG</w:t>
      </w:r>
      <w:bookmarkStart w:id="152" w:name="_Toc126851746"/>
      <w:bookmarkStart w:id="153" w:name="_Toc125620921"/>
      <w:bookmarkEnd w:id="150"/>
      <w:bookmarkEnd w:id="151"/>
      <w:r>
        <w:rPr/>
        <w:t xml:space="preserve">. </w:t>
      </w:r>
    </w:p>
    <w:p>
      <w:pPr>
        <w:pStyle w:val="Normal"/>
        <w:rPr/>
      </w:pPr>
      <w:r>
        <w:rPr/>
        <w:t>En application de l’article 14.1.2 du CCAG FCS, le montant total des pénalités de retard ne peut excéder 10 % du montant total hors taxes du marché</w:t>
      </w:r>
      <w:bookmarkEnd w:id="152"/>
      <w:bookmarkEnd w:id="153"/>
      <w:r>
        <w:rPr/>
        <w:t>.</w:t>
      </w:r>
    </w:p>
    <w:p>
      <w:pPr>
        <w:pStyle w:val="Normal"/>
        <w:rPr/>
      </w:pPr>
      <w:r>
        <w:rPr/>
        <w:t xml:space="preserve"> </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54" w:name="__RefHeading___Toc10402_2418032983"/>
      <w:bookmarkStart w:id="155" w:name="_Toc131002990"/>
      <w:bookmarkStart w:id="156" w:name="_Toc126851747"/>
      <w:bookmarkEnd w:id="154"/>
      <w:r>
        <w:rPr>
          <w:rFonts w:ascii="Times New Roman" w:hAnsi="Times New Roman"/>
          <w:b/>
          <w:bCs/>
          <w:iCs/>
          <w:color w:val="666699"/>
          <w:szCs w:val="28"/>
          <w:u w:val="single"/>
        </w:rPr>
        <w:t>Pénalités de retard et réfactions</w:t>
      </w:r>
      <w:bookmarkEnd w:id="155"/>
      <w:bookmarkEnd w:id="156"/>
    </w:p>
    <w:p>
      <w:pPr>
        <w:pStyle w:val="Normal"/>
        <w:rPr/>
      </w:pPr>
      <w:r>
        <w:rPr>
          <w:rFonts w:eastAsia="Arial" w:cs="Arial"/>
          <w:color w:val="000000"/>
        </w:rPr>
        <w:t xml:space="preserve"> </w:t>
      </w:r>
      <w:r>
        <w:rPr>
          <w:rFonts w:eastAsia="Arial" w:cs="Arial"/>
          <w:color w:val="000000"/>
        </w:rPr>
        <w:t xml:space="preserve">Par dérogation à l'article 14.1.1 du CCAG, le titulaire subira par heure de retard (toute heure de retard commencée est considérée comme due dans son intégralité) par rapport au délai arrêté entre le titulaire et la Ville ayant pour conséquence de retarder le début de l’évènement, et </w:t>
      </w:r>
      <w:r>
        <w:rPr>
          <w:rFonts w:eastAsia="Arial" w:cs="Arial"/>
          <w:b/>
          <w:color w:val="000000"/>
        </w:rPr>
        <w:t>sans mise en demeure préalable</w:t>
      </w:r>
      <w:r>
        <w:rPr>
          <w:rFonts w:eastAsia="Arial" w:cs="Arial"/>
          <w:color w:val="000000"/>
        </w:rPr>
        <w:t xml:space="preserve">, une pénalité de </w:t>
      </w:r>
      <w:r>
        <w:rPr>
          <w:rFonts w:eastAsia="Arial" w:cs="Arial"/>
          <w:b/>
          <w:color w:val="000000"/>
        </w:rPr>
        <w:t>10 000</w:t>
      </w:r>
      <w:r>
        <w:rPr>
          <w:rFonts w:eastAsia="Arial" w:cs="Arial"/>
          <w:color w:val="000000"/>
        </w:rPr>
        <w:t xml:space="preserve"> Euros pour chaque heure de retard.</w:t>
      </w:r>
    </w:p>
    <w:p>
      <w:pPr>
        <w:pStyle w:val="Normal"/>
        <w:rPr/>
      </w:pPr>
      <w:r>
        <w:rPr/>
        <w:t xml:space="preserve">Dans le cas où le titulaire ne respecterait pas le planning arrêté avec la Ville, une pénalité de 1000Euros s’appliquera, cumulativement à chaque heure de retard (toute heure de retard commencée est considérée comme due dans son intégralité). </w:t>
      </w:r>
    </w:p>
    <w:p>
      <w:pPr>
        <w:pStyle w:val="Normal"/>
        <w:rPr/>
      </w:pPr>
      <w:r>
        <w:rPr/>
        <w:t>En cas de dépassement des délais, date d’exécution fixés entre le titulaire et la Ville (exemple : retard d’ouverture du village restauration, nettoyage intérieur ou extérieur…), une pénalité de 500Euros sera appliquée par manquement constaté.</w:t>
      </w:r>
    </w:p>
    <w:p>
      <w:pPr>
        <w:pStyle w:val="Normal"/>
        <w:rPr/>
      </w:pPr>
      <w:r>
        <w:rPr/>
        <w:t xml:space="preserve">En cas de non-respect des conditions d’exécution liées à une obligation contractuelle règlementaire ou légale (CCTP, Mémoire Technique, CCAP…) par exemple chartre France 2023/WCR, le prestataire se verra infliger une pénalité d’un montant de </w:t>
      </w:r>
      <w:r>
        <w:rPr>
          <w:b/>
          <w:bCs/>
        </w:rPr>
        <w:t>1000</w:t>
      </w:r>
      <w:r>
        <w:rPr/>
        <w:t xml:space="preserve"> Euros par manquement constaté.</w:t>
      </w:r>
    </w:p>
    <w:p>
      <w:pPr>
        <w:pStyle w:val="Normal"/>
        <w:rPr/>
      </w:pPr>
      <w:r>
        <w:rPr/>
        <w:t xml:space="preserve">En cas de retard ou absence d’un agent non remplacé dans un délai de 2 heures une pénalité forfaitaire de </w:t>
      </w:r>
      <w:r>
        <w:rPr>
          <w:b/>
          <w:bCs/>
        </w:rPr>
        <w:t>50</w:t>
      </w:r>
      <w:r>
        <w:rPr/>
        <w:t xml:space="preserve"> Euros sera appliquée par manquement constaté, cumulativement à chaque heure de retard (toute heure de retard commencée est comme due dans son intégralité)</w:t>
      </w:r>
    </w:p>
    <w:p>
      <w:pPr>
        <w:pStyle w:val="Normal"/>
        <w:rPr/>
      </w:pPr>
      <w:r>
        <w:rPr/>
        <w:t xml:space="preserve">Une réfaction forfaitaire de </w:t>
      </w:r>
      <w:r>
        <w:rPr>
          <w:b/>
          <w:bCs/>
        </w:rPr>
        <w:t>500</w:t>
      </w:r>
      <w:r>
        <w:rPr/>
        <w:t xml:space="preserve"> Euros sera appliquée en cas de livraison d’un matériel sale, mal entretenu ou défectueux, constaté par tout moyen par le représentant du pouvoir adjudicateur. Cette réfaction s’applique par manquement constaté.</w:t>
      </w:r>
    </w:p>
    <w:p>
      <w:pPr>
        <w:pStyle w:val="Normal"/>
        <w:rPr/>
      </w:pPr>
      <w:r>
        <w:rPr/>
        <w:t xml:space="preserve">Une réfaction forfaitaire de </w:t>
      </w:r>
      <w:r>
        <w:rPr>
          <w:b/>
          <w:bCs/>
        </w:rPr>
        <w:t>500</w:t>
      </w:r>
      <w:r>
        <w:rPr/>
        <w:t xml:space="preserve"> Euros sera appliquée par matériel livré s’il est différent de celui décrit par le prestataire. Cette réfaction s’applique par manquement constaté.</w:t>
      </w:r>
    </w:p>
    <w:p>
      <w:pPr>
        <w:pStyle w:val="Normal"/>
        <w:rPr/>
      </w:pPr>
      <w:r>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57" w:name="__RefHeading___Toc10404_2418032983"/>
      <w:bookmarkStart w:id="158" w:name="_Toc131002991"/>
      <w:bookmarkStart w:id="159" w:name="_Toc126851748"/>
      <w:bookmarkEnd w:id="157"/>
      <w:r>
        <w:rPr>
          <w:rFonts w:ascii="Times New Roman" w:hAnsi="Times New Roman"/>
          <w:b/>
          <w:bCs/>
          <w:iCs/>
          <w:color w:val="666699"/>
          <w:szCs w:val="28"/>
          <w:u w:val="single"/>
        </w:rPr>
        <w:t>Pénalités pour non-respect des obligations environnementales du titulaire</w:t>
      </w:r>
      <w:bookmarkEnd w:id="158"/>
      <w:bookmarkEnd w:id="159"/>
    </w:p>
    <w:p>
      <w:pPr>
        <w:pStyle w:val="Normal"/>
        <w:rPr>
          <w:rFonts w:eastAsia="Arial" w:cs="Arial"/>
          <w:color w:val="000000"/>
        </w:rPr>
      </w:pPr>
      <w:r>
        <w:rPr>
          <w:rFonts w:eastAsia="Arial" w:cs="Arial"/>
          <w:color w:val="000000"/>
        </w:rPr>
      </w:r>
    </w:p>
    <w:p>
      <w:pPr>
        <w:pStyle w:val="Normal"/>
        <w:rPr/>
      </w:pPr>
      <w:r>
        <w:rPr>
          <w:rFonts w:eastAsia="Arial" w:cs="Arial"/>
          <w:color w:val="000000"/>
        </w:rPr>
        <w:t>En application de l'article 16.2 du CCAG FCS,</w:t>
      </w:r>
      <w:r>
        <w:rPr>
          <w:rFonts w:eastAsia="Arial" w:cs="Arial"/>
          <w:b/>
          <w:color w:val="000000"/>
        </w:rPr>
        <w:t xml:space="preserve"> le présent CCAP </w:t>
      </w:r>
      <w:r>
        <w:rPr>
          <w:rFonts w:eastAsia="Arial" w:cs="Arial"/>
          <w:color w:val="000000"/>
        </w:rPr>
        <w:t>précise les obligations environnementales du titulaire dans l'exécution du marché.</w:t>
      </w:r>
    </w:p>
    <w:p>
      <w:pPr>
        <w:pStyle w:val="Normal"/>
        <w:rPr>
          <w:rFonts w:eastAsia="Arial" w:cs="Arial"/>
          <w:color w:val="000000"/>
        </w:rPr>
      </w:pPr>
      <w:r>
        <w:rPr>
          <w:rFonts w:eastAsia="Arial" w:cs="Arial"/>
          <w:color w:val="000000"/>
        </w:rPr>
        <w:t>Le pouvoir adjudicateur procédera à des contrôles afin de s'assurer de la mise en œuvre des engagements du titulaire, et se réserve la possibilité d'opérer par contrôle inopiné.</w:t>
      </w:r>
    </w:p>
    <w:p>
      <w:pPr>
        <w:pStyle w:val="Normal"/>
        <w:rPr/>
      </w:pPr>
      <w:r>
        <w:rPr>
          <w:rFonts w:eastAsia="Arial" w:cs="Arial"/>
          <w:color w:val="000000"/>
        </w:rPr>
        <w:t>En cas de non-respect des obligations prévues en la matière, et conformément à l'article 16.2.3 du CCAG FCS, le titulaire se voit appliquer pour chaque manquement, après mise en demeure restée infructueuse, une pénalité dont le montant est fixé à</w:t>
      </w:r>
      <w:r>
        <w:rPr>
          <w:rFonts w:eastAsia="Arial" w:cs="Arial"/>
          <w:b/>
          <w:color w:val="000000"/>
        </w:rPr>
        <w:t xml:space="preserve"> 50Euros.</w:t>
      </w:r>
    </w:p>
    <w:p>
      <w:pPr>
        <w:pStyle w:val="Normal"/>
        <w:rPr>
          <w:rFonts w:eastAsia="Arial" w:cs="Arial"/>
          <w:color w:val="000000"/>
        </w:rPr>
      </w:pPr>
      <w:r>
        <w:rPr>
          <w:rFonts w:eastAsia="Arial" w:cs="Arial"/>
          <w:color w:val="000000"/>
        </w:rPr>
        <w:t>En outre, conformément à l'article 20.4 du CCAG FCS, la valorisation ou l'élimination des déchets créés lors de l'exécution des prestations est de la responsabilité du titulaire pendant la durée du marché.</w:t>
      </w:r>
    </w:p>
    <w:p>
      <w:pPr>
        <w:pStyle w:val="Normal"/>
        <w:rPr>
          <w:rFonts w:eastAsia="Arial" w:cs="Arial"/>
          <w:color w:val="000000"/>
        </w:rPr>
      </w:pPr>
      <w:r>
        <w:rPr>
          <w:rFonts w:eastAsia="Arial" w:cs="Arial"/>
          <w:color w:val="000000"/>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Normal"/>
        <w:rPr>
          <w:rFonts w:eastAsia="Arial" w:cs="Arial"/>
          <w:color w:val="000000"/>
        </w:rPr>
      </w:pPr>
      <w:r>
        <w:rPr>
          <w:rFonts w:eastAsia="Arial" w:cs="Arial"/>
          <w:color w:val="000000"/>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Normal"/>
        <w:rPr/>
      </w:pPr>
      <w:r>
        <w:rPr/>
      </w:r>
    </w:p>
    <w:p>
      <w:pPr>
        <w:pStyle w:val="Normal"/>
        <w:rPr/>
      </w:pPr>
      <w:r>
        <w:rPr>
          <w:rFonts w:eastAsia="Arial" w:cs="Arial"/>
          <w:color w:val="000000"/>
        </w:rPr>
        <w:t xml:space="preserve">En cas d'absence de production des éléments attestant la traçabilité des déchets, et en application de l'article 20.4 du CCAG FCS, le titulaire se voit appliquer, après mise en demeure restée infructueuse, une pénalité dont le montant est fixé à </w:t>
      </w:r>
      <w:r>
        <w:rPr>
          <w:rFonts w:eastAsia="Arial" w:cs="Arial"/>
          <w:b/>
          <w:color w:val="000000"/>
        </w:rPr>
        <w:t>150 Euros.</w:t>
      </w:r>
    </w:p>
    <w:p>
      <w:pPr>
        <w:pStyle w:val="Normal"/>
        <w:rPr/>
      </w:pPr>
      <w:r>
        <w:rPr/>
        <w:t xml:space="preserve">     </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60" w:name="__RefHeading___Toc10406_2418032983"/>
      <w:bookmarkStart w:id="161" w:name="_Toc131002992"/>
      <w:bookmarkStart w:id="162" w:name="_Toc126851749"/>
      <w:bookmarkEnd w:id="160"/>
      <w:r>
        <w:rPr>
          <w:rFonts w:ascii="Times New Roman" w:hAnsi="Times New Roman"/>
          <w:b/>
          <w:bCs/>
          <w:iCs/>
          <w:color w:val="666699"/>
          <w:szCs w:val="28"/>
          <w:u w:val="single"/>
        </w:rPr>
        <w:t>Pénalités pour non-respect des dispositions du Code du Travail</w:t>
      </w:r>
      <w:bookmarkEnd w:id="161"/>
      <w:bookmarkEnd w:id="162"/>
    </w:p>
    <w:p>
      <w:pPr>
        <w:pStyle w:val="Normal"/>
        <w:rPr/>
      </w:pPr>
      <w:r>
        <w:rPr>
          <w:rFonts w:eastAsia="Arial" w:cs="Arial"/>
          <w:color w:val="000000"/>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b/>
          <w:color w:val="000000"/>
        </w:rPr>
        <w:t>de</w:t>
      </w:r>
      <w:r>
        <w:rPr>
          <w:rFonts w:eastAsia="Arial" w:cs="Arial"/>
          <w:color w:val="000000"/>
        </w:rPr>
        <w:t xml:space="preserve"> 50E</w:t>
      </w:r>
      <w:r>
        <w:rPr>
          <w:rFonts w:eastAsia="Arial" w:cs="Arial"/>
          <w:b/>
          <w:color w:val="000000"/>
        </w:rPr>
        <w:t>uros par jour de retard.</w:t>
      </w:r>
    </w:p>
    <w:p>
      <w:pPr>
        <w:pStyle w:val="Normal"/>
        <w:rPr>
          <w:rFonts w:eastAsia="Arial" w:cs="Arial"/>
          <w:color w:val="000000"/>
        </w:rPr>
      </w:pPr>
      <w:r>
        <w:rPr>
          <w:rFonts w:eastAsia="Arial" w:cs="Arial"/>
          <w:color w:val="000000"/>
        </w:rPr>
        <w:t>Le montant de cette pénalité sera au plus égal à 10% du montant du présent contrat et ne pourra excéder le montant des amendes encourues en application des articles L.8224-1, L.8224-2 et L.8224-5 du Code du Travail.</w:t>
      </w:r>
    </w:p>
    <w:p>
      <w:pPr>
        <w:pStyle w:val="Normal"/>
        <w:rPr>
          <w:rFonts w:eastAsia="Arial" w:cs="Arial"/>
          <w:color w:val="000000"/>
        </w:rPr>
      </w:pPr>
      <w:r>
        <w:rPr>
          <w:rFonts w:eastAsia="Arial" w:cs="Arial"/>
          <w:color w:val="000000"/>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63" w:name="__RefHeading___Toc10408_2418032983"/>
      <w:bookmarkStart w:id="164" w:name="_Toc131002993"/>
      <w:bookmarkStart w:id="165" w:name="_Toc126851750"/>
      <w:bookmarkEnd w:id="163"/>
      <w:r>
        <w:rPr>
          <w:rFonts w:ascii="Times New Roman" w:hAnsi="Times New Roman"/>
          <w:b/>
          <w:bCs/>
          <w:iCs/>
          <w:color w:val="666699"/>
          <w:szCs w:val="28"/>
          <w:u w:val="single"/>
        </w:rPr>
        <w:t>Autres pénalités</w:t>
      </w:r>
      <w:bookmarkEnd w:id="164"/>
      <w:bookmarkEnd w:id="165"/>
    </w:p>
    <w:p>
      <w:pPr>
        <w:pStyle w:val="Normal"/>
        <w:spacing w:before="0" w:after="160"/>
        <w:ind w:left="720" w:hanging="0"/>
        <w:contextualSpacing/>
        <w:rPr/>
      </w:pPr>
      <w:r>
        <w:rPr/>
        <w:t>Sans objet</w:t>
      </w:r>
    </w:p>
    <w:p>
      <w:pPr>
        <w:pStyle w:val="Normal"/>
        <w:spacing w:before="0" w:after="160"/>
        <w:ind w:left="720" w:hanging="0"/>
        <w:contextualSpacing/>
        <w:rPr/>
      </w:pPr>
      <w:r>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66" w:name="__RefHeading___Toc10410_2418032983"/>
      <w:bookmarkStart w:id="167" w:name="_Toc131002994"/>
      <w:bookmarkStart w:id="168" w:name="_Toc126851751"/>
      <w:bookmarkEnd w:id="166"/>
      <w:r>
        <w:rPr>
          <w:rFonts w:ascii="Times New Roman" w:hAnsi="Times New Roman"/>
          <w:b/>
          <w:color w:val="666699"/>
          <w:sz w:val="28"/>
          <w:szCs w:val="36"/>
        </w:rPr>
        <w:t>RÉSILIATION ET EXÉCUTION DES PRESTATIONS AUX FRAIS ET RISQUES DU TITULAIRE</w:t>
      </w:r>
      <w:bookmarkEnd w:id="167"/>
      <w:bookmarkEnd w:id="168"/>
    </w:p>
    <w:p>
      <w:pPr>
        <w:pStyle w:val="Normal"/>
        <w:rPr>
          <w:rFonts w:eastAsia="Arial" w:cs="Arial"/>
          <w:color w:val="000000"/>
        </w:rPr>
      </w:pPr>
      <w:r>
        <w:rPr>
          <w:rFonts w:eastAsia="Arial" w:cs="Arial"/>
          <w:color w:val="000000"/>
        </w:rPr>
        <w:t>L'ensemble des dispositions du CCAG/FCS (chapitre 7) est applicable.</w:t>
      </w:r>
    </w:p>
    <w:p>
      <w:pPr>
        <w:pStyle w:val="Normal"/>
        <w:rPr>
          <w:rFonts w:eastAsia="Arial" w:cs="Arial"/>
          <w:color w:val="000000"/>
        </w:rPr>
      </w:pPr>
      <w:r>
        <w:rPr>
          <w:rFonts w:eastAsia="Arial" w:cs="Arial"/>
          <w:color w:val="000000"/>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rFonts w:eastAsia="Arial" w:cs="Arial"/>
          <w:color w:val="000000"/>
        </w:rPr>
      </w:pPr>
      <w:r>
        <w:rPr>
          <w:rFonts w:eastAsia="Arial" w:cs="Arial"/>
          <w:color w:val="000000"/>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Normal"/>
        <w:rPr>
          <w:rFonts w:eastAsia="Arial" w:cs="Arial"/>
          <w:color w:val="000000"/>
        </w:rPr>
      </w:pPr>
      <w:r>
        <w:rPr>
          <w:rFonts w:eastAsia="Arial" w:cs="Arial"/>
          <w:color w:val="000000"/>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69" w:name="__RefHeading___Toc10412_2418032983"/>
      <w:bookmarkStart w:id="170" w:name="_Toc131002995"/>
      <w:bookmarkStart w:id="171" w:name="_Toc126851752"/>
      <w:bookmarkEnd w:id="169"/>
      <w:r>
        <w:rPr>
          <w:rFonts w:ascii="Times New Roman" w:hAnsi="Times New Roman"/>
          <w:b/>
          <w:color w:val="666699"/>
          <w:sz w:val="28"/>
          <w:szCs w:val="36"/>
        </w:rPr>
        <w:t>CLAUSES DE GESTION DES D</w:t>
      </w:r>
      <w:bookmarkEnd w:id="170"/>
      <w:bookmarkEnd w:id="171"/>
      <w:r>
        <w:rPr>
          <w:rFonts w:ascii="Times New Roman" w:hAnsi="Times New Roman"/>
          <w:b/>
          <w:color w:val="666699"/>
          <w:sz w:val="28"/>
          <w:szCs w:val="36"/>
        </w:rPr>
        <w:t>ONNÉES</w:t>
      </w:r>
    </w:p>
    <w:p>
      <w:pPr>
        <w:pStyle w:val="Normal"/>
        <w:keepNext w:val="true"/>
        <w:widowControl w:val="false"/>
        <w:numPr>
          <w:ilvl w:val="1"/>
          <w:numId w:val="1"/>
        </w:numPr>
        <w:spacing w:before="0" w:after="240"/>
        <w:outlineLvl w:val="1"/>
        <w:rPr>
          <w:rFonts w:ascii="Times New Roman" w:hAnsi="Times New Roman"/>
          <w:b/>
          <w:b/>
          <w:bCs/>
          <w:iCs/>
          <w:color w:val="666699"/>
          <w:szCs w:val="28"/>
          <w:u w:val="single"/>
        </w:rPr>
      </w:pPr>
      <w:bookmarkStart w:id="172" w:name="__RefHeading___Toc10414_2418032983"/>
      <w:bookmarkStart w:id="173" w:name="_Toc131002996"/>
      <w:bookmarkStart w:id="174" w:name="_Toc126851753"/>
      <w:bookmarkEnd w:id="172"/>
      <w:r>
        <w:rPr>
          <w:rFonts w:ascii="Times New Roman" w:hAnsi="Times New Roman"/>
          <w:b/>
          <w:bCs/>
          <w:iCs/>
          <w:color w:val="666699"/>
          <w:szCs w:val="28"/>
          <w:u w:val="single"/>
        </w:rPr>
        <w:t>Les contraintes réglementaires</w:t>
      </w:r>
      <w:bookmarkEnd w:id="173"/>
      <w:bookmarkEnd w:id="174"/>
      <w:r>
        <w:rPr>
          <w:rFonts w:ascii="Times New Roman" w:hAnsi="Times New Roman"/>
          <w:b/>
          <w:bCs/>
          <w:iCs/>
          <w:color w:val="666699"/>
          <w:szCs w:val="28"/>
          <w:u w:val="single"/>
        </w:rPr>
        <w:t xml:space="preserve"> </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75" w:name="__RefHeading___Toc10416_2418032983"/>
      <w:bookmarkStart w:id="176" w:name="_Toc131002997"/>
      <w:bookmarkStart w:id="177" w:name="_Toc126851754"/>
      <w:bookmarkEnd w:id="175"/>
      <w:r>
        <w:rPr>
          <w:rFonts w:ascii="Times New Roman" w:hAnsi="Times New Roman"/>
          <w:b/>
          <w:bCs/>
          <w:iCs/>
          <w:color w:val="666699"/>
          <w:szCs w:val="28"/>
          <w:u w:val="single"/>
        </w:rPr>
        <w:t>Le RGS</w:t>
      </w:r>
      <w:bookmarkEnd w:id="176"/>
      <w:bookmarkEnd w:id="177"/>
    </w:p>
    <w:p>
      <w:pPr>
        <w:pStyle w:val="Normal"/>
        <w:rPr>
          <w:rFonts w:eastAsia="Arial" w:cs="Arial"/>
          <w:color w:val="000000"/>
        </w:rPr>
      </w:pPr>
      <w:r>
        <w:rPr>
          <w:rFonts w:eastAsia="Arial" w:cs="Arial"/>
          <w:color w:val="000000"/>
        </w:rPr>
        <w:t xml:space="preserve">Le décret </w:t>
      </w:r>
      <w:r>
        <w:rPr>
          <w:rFonts w:eastAsia="Arial" w:cs="Arial"/>
          <w:b/>
          <w:color w:val="000000"/>
        </w:rPr>
        <w:t>RGS</w:t>
      </w:r>
      <w:r>
        <w:rPr>
          <w:rFonts w:eastAsia="Arial" w:cs="Arial"/>
          <w:i/>
          <w:color w:val="000000"/>
        </w:rPr>
        <w:t>(Référentiel Général de Sécurité)</w:t>
      </w:r>
      <w:r>
        <w:rPr>
          <w:rFonts w:eastAsia="Arial" w:cs="Arial"/>
          <w:color w:val="000000"/>
        </w:rPr>
        <w:t>, pris en application de</w:t>
      </w:r>
      <w:r>
        <w:rPr>
          <w:rFonts w:eastAsia="Arial" w:cs="Arial"/>
          <w:b/>
          <w:color w:val="000000"/>
        </w:rPr>
        <w:t xml:space="preserve"> l'ordonnance n° 2005-1516 du 8 Décembre 2005</w:t>
      </w:r>
      <w:r>
        <w:rPr>
          <w:rFonts w:eastAsia="Arial" w:cs="Arial"/>
          <w:color w:val="000000"/>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b/>
          <w:color w:val="000000"/>
        </w:rPr>
        <w:t xml:space="preserve"> télé-services</w:t>
      </w:r>
      <w:r>
        <w:rPr>
          <w:rFonts w:eastAsia="Arial" w:cs="Arial"/>
          <w:color w:val="000000"/>
        </w:rPr>
        <w:t>.</w:t>
      </w:r>
    </w:p>
    <w:p>
      <w:pPr>
        <w:pStyle w:val="Normal"/>
        <w:rPr/>
      </w:pPr>
      <w:r>
        <w:rPr/>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178" w:name="__RefHeading___Toc10418_2418032983"/>
      <w:bookmarkStart w:id="179" w:name="_Toc131002998"/>
      <w:bookmarkStart w:id="180" w:name="_Toc126851755"/>
      <w:bookmarkEnd w:id="178"/>
      <w:r>
        <w:rPr>
          <w:rFonts w:ascii="Times New Roman" w:hAnsi="Times New Roman"/>
          <w:bCs/>
          <w:color w:val="666699"/>
          <w:sz w:val="26"/>
          <w:szCs w:val="26"/>
          <w:u w:val="single"/>
        </w:rPr>
        <w:t>Le Règlement Général sur la Protection des Données (RGPD)</w:t>
      </w:r>
      <w:bookmarkEnd w:id="179"/>
      <w:bookmarkEnd w:id="180"/>
    </w:p>
    <w:p>
      <w:pPr>
        <w:pStyle w:val="Normal"/>
        <w:rPr>
          <w:rFonts w:eastAsia="Arial" w:cs="Arial"/>
          <w:color w:val="000000"/>
        </w:rPr>
      </w:pPr>
      <w:r>
        <w:rPr>
          <w:rFonts w:eastAsia="Arial" w:cs="Arial"/>
          <w:color w:val="000000"/>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rPr>
          <w:rFonts w:eastAsia="Arial" w:cs="Arial"/>
          <w:color w:val="000000"/>
        </w:rPr>
      </w:pPr>
      <w:r>
        <w:rPr>
          <w:rFonts w:eastAsia="Arial" w:cs="Arial"/>
          <w:color w:val="000000"/>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rPr>
          <w:rFonts w:eastAsia="Arial" w:cs="Arial"/>
          <w:color w:val="000000"/>
        </w:rPr>
      </w:pPr>
      <w:r>
        <w:rPr>
          <w:rFonts w:eastAsia="Arial" w:cs="Arial"/>
          <w:color w:val="000000"/>
        </w:rPr>
        <w:t>L'ensemble des conditions sont définies dans l'annexe « Protection des données et Politique de sécurité » de l'acte d'engagement, le cas échéant.</w:t>
      </w:r>
    </w:p>
    <w:p>
      <w:pPr>
        <w:pStyle w:val="Normal"/>
        <w:rPr>
          <w:rFonts w:eastAsia="Arial" w:cs="Arial"/>
          <w:color w:val="000000"/>
        </w:rPr>
      </w:pPr>
      <w:r>
        <w:rPr>
          <w:rFonts w:eastAsia="Arial" w:cs="Arial"/>
          <w:color w:val="000000"/>
        </w:rPr>
      </w:r>
    </w:p>
    <w:p>
      <w:pPr>
        <w:pStyle w:val="Normal"/>
        <w:keepNext w:val="true"/>
        <w:widowControl w:val="false"/>
        <w:numPr>
          <w:ilvl w:val="2"/>
          <w:numId w:val="1"/>
        </w:numPr>
        <w:spacing w:before="240" w:after="160"/>
        <w:outlineLvl w:val="2"/>
        <w:rPr>
          <w:rFonts w:ascii="Times New Roman" w:hAnsi="Times New Roman"/>
          <w:bCs/>
          <w:color w:val="666699"/>
          <w:sz w:val="26"/>
          <w:szCs w:val="26"/>
          <w:u w:val="single"/>
        </w:rPr>
      </w:pPr>
      <w:bookmarkStart w:id="181" w:name="__RefHeading___Toc10420_2418032983"/>
      <w:bookmarkStart w:id="182" w:name="_Toc131002999"/>
      <w:bookmarkStart w:id="183" w:name="_Toc126851756"/>
      <w:bookmarkEnd w:id="181"/>
      <w:r>
        <w:rPr>
          <w:rFonts w:ascii="Times New Roman" w:hAnsi="Times New Roman"/>
          <w:bCs/>
          <w:color w:val="666699"/>
          <w:sz w:val="26"/>
          <w:szCs w:val="26"/>
          <w:u w:val="single"/>
        </w:rPr>
        <w:t>Le Code du Patrimoine</w:t>
      </w:r>
      <w:bookmarkEnd w:id="182"/>
      <w:bookmarkEnd w:id="183"/>
    </w:p>
    <w:p>
      <w:pPr>
        <w:pStyle w:val="Normal"/>
        <w:rPr>
          <w:rFonts w:eastAsia="Arial" w:cs="Arial"/>
          <w:color w:val="000000"/>
        </w:rPr>
      </w:pPr>
      <w:r>
        <w:rPr>
          <w:rFonts w:eastAsia="Arial" w:cs="Arial"/>
          <w:color w:val="000000"/>
        </w:rPr>
        <w:t>Les documents et données produits ou reçus par la Ville de Marseille constituent des archives publiques.</w:t>
      </w:r>
    </w:p>
    <w:p>
      <w:pPr>
        <w:pStyle w:val="Normal"/>
        <w:rPr>
          <w:rFonts w:eastAsia="Arial" w:cs="Arial"/>
          <w:color w:val="000000"/>
        </w:rPr>
      </w:pPr>
      <w:r>
        <w:rPr>
          <w:rFonts w:eastAsia="Arial" w:cs="Arial"/>
          <w:color w:val="000000"/>
        </w:rPr>
        <w:t xml:space="preserve">Or, la </w:t>
      </w:r>
      <w:r>
        <w:rPr>
          <w:rFonts w:eastAsia="Arial" w:cs="Arial"/>
          <w:b/>
          <w:color w:val="000000"/>
        </w:rPr>
        <w:t>loi n°2015-195</w:t>
      </w:r>
      <w:r>
        <w:rPr>
          <w:rFonts w:eastAsia="Arial" w:cs="Arial"/>
          <w:color w:val="000000"/>
        </w:rPr>
        <w:t xml:space="preserve"> promulguée le 20 février 2015 et modifiant</w:t>
      </w:r>
      <w:r>
        <w:rPr>
          <w:rFonts w:eastAsia="Arial" w:cs="Arial"/>
          <w:b/>
          <w:color w:val="000000"/>
        </w:rPr>
        <w:t xml:space="preserve"> l'article L.111-1 du Code du Patrimoine</w:t>
      </w:r>
      <w:r>
        <w:rPr>
          <w:rFonts w:eastAsia="Arial" w:cs="Arial"/>
          <w:color w:val="000000"/>
        </w:rPr>
        <w:t>, qualifie les archives publiques de "</w:t>
      </w:r>
      <w:r>
        <w:rPr>
          <w:rFonts w:eastAsia="Arial" w:cs="Arial"/>
          <w:color w:val="000000"/>
          <w:u w:val="single"/>
        </w:rPr>
        <w:t>Trésors nationaux</w:t>
      </w:r>
      <w:r>
        <w:rPr>
          <w:rFonts w:eastAsia="Arial" w:cs="Arial"/>
          <w:color w:val="000000"/>
        </w:rPr>
        <w:t>" et ne peuvent donc sortir du territoire douanier qu'après autorisation du Service interministériel des Archives de France (SIAF) et seulement dans certains cas précis.</w:t>
      </w:r>
    </w:p>
    <w:p>
      <w:pPr>
        <w:pStyle w:val="Normal"/>
        <w:rPr/>
      </w:pPr>
      <w:r>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84" w:name="__RefHeading___Toc10422_2418032983"/>
      <w:bookmarkStart w:id="185" w:name="_Toc131003000"/>
      <w:bookmarkStart w:id="186" w:name="_Toc126851757"/>
      <w:bookmarkEnd w:id="184"/>
      <w:r>
        <w:rPr>
          <w:rFonts w:ascii="Times New Roman" w:hAnsi="Times New Roman"/>
          <w:b/>
          <w:bCs/>
          <w:iCs/>
          <w:color w:val="666699"/>
          <w:szCs w:val="28"/>
          <w:u w:val="single"/>
        </w:rPr>
        <w:t>Les clauses générales de confidentialité</w:t>
      </w:r>
      <w:bookmarkEnd w:id="185"/>
      <w:bookmarkEnd w:id="186"/>
    </w:p>
    <w:p>
      <w:pPr>
        <w:pStyle w:val="Normal"/>
        <w:rPr/>
      </w:pPr>
      <w:r>
        <w:rPr>
          <w:rFonts w:eastAsia="Arial" w:cs="Arial"/>
          <w:color w:val="000000"/>
        </w:rPr>
        <w:t xml:space="preserve">Les supports informatiques physiques et documents fournis par la </w:t>
      </w:r>
      <w:r>
        <w:rPr>
          <w:rFonts w:eastAsia="Arial" w:cs="Arial"/>
          <w:b/>
          <w:color w:val="000000"/>
        </w:rPr>
        <w:t>Ville de Marseille</w:t>
      </w:r>
      <w:r>
        <w:rPr>
          <w:rFonts w:eastAsia="Arial" w:cs="Arial"/>
          <w:color w:val="000000"/>
        </w:rPr>
        <w:t xml:space="preserve"> à la société prestataire restent la propriété de la </w:t>
      </w:r>
      <w:r>
        <w:rPr>
          <w:rFonts w:eastAsia="Arial" w:cs="Arial"/>
          <w:b/>
          <w:color w:val="000000"/>
        </w:rPr>
        <w:t>Ville de Marseille</w:t>
      </w:r>
      <w:r>
        <w:rPr>
          <w:rFonts w:eastAsia="Arial" w:cs="Arial"/>
          <w:color w:val="000000"/>
        </w:rPr>
        <w:t>.</w:t>
      </w:r>
    </w:p>
    <w:p>
      <w:pPr>
        <w:pStyle w:val="Normal"/>
        <w:rPr/>
      </w:pPr>
      <w:r>
        <w:rPr/>
      </w:r>
    </w:p>
    <w:p>
      <w:pPr>
        <w:pStyle w:val="Normal"/>
        <w:rPr/>
      </w:pPr>
      <w:r>
        <w:rPr>
          <w:rFonts w:eastAsia="Arial" w:cs="Arial"/>
          <w:b/>
          <w:color w:val="000000"/>
        </w:rPr>
        <w:t>Les données</w:t>
      </w:r>
      <w:r>
        <w:rPr>
          <w:rFonts w:eastAsia="Arial" w:cs="Arial"/>
          <w:color w:val="000000"/>
        </w:rPr>
        <w:t xml:space="preserve"> contenues dans ces supports et documents sont </w:t>
      </w:r>
      <w:r>
        <w:rPr>
          <w:rFonts w:eastAsia="Arial" w:cs="Arial"/>
          <w:b/>
          <w:color w:val="000000"/>
        </w:rPr>
        <w:t>strictement couvertes par le secret professionnel</w:t>
      </w:r>
      <w:r>
        <w:rPr>
          <w:rFonts w:eastAsia="Arial" w:cs="Arial"/>
          <w:color w:val="000000"/>
        </w:rPr>
        <w:t xml:space="preserve"> (article 226-13 du Code pénal), il en va de même pour toutes les données dont la société prestataire prendra connaissance à l'occasion de l'exécution de ce marché.</w:t>
      </w:r>
    </w:p>
    <w:p>
      <w:pPr>
        <w:pStyle w:val="Normal"/>
        <w:rPr/>
      </w:pPr>
      <w:r>
        <w:rPr/>
      </w:r>
    </w:p>
    <w:p>
      <w:pPr>
        <w:pStyle w:val="Normal"/>
        <w:rPr>
          <w:rFonts w:eastAsia="Arial" w:cs="Arial"/>
          <w:color w:val="000000"/>
        </w:rPr>
      </w:pPr>
      <w:r>
        <w:rPr>
          <w:rFonts w:eastAsia="Arial" w:cs="Arial"/>
          <w:color w:val="000000"/>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rPr/>
      </w:pPr>
      <w:r>
        <w:rPr/>
      </w:r>
    </w:p>
    <w:p>
      <w:pPr>
        <w:pStyle w:val="Normal"/>
        <w:rPr/>
      </w:pPr>
      <w:r>
        <w:rPr>
          <w:rFonts w:eastAsia="Arial" w:cs="Arial"/>
          <w:b/>
          <w:color w:val="000000"/>
        </w:rPr>
        <w:t>La société</w:t>
      </w:r>
      <w:r>
        <w:rPr>
          <w:rFonts w:eastAsia="Arial" w:cs="Arial"/>
          <w:color w:val="000000"/>
        </w:rPr>
        <w:t xml:space="preserve"> prestataire s'engage donc à respecter les obligations suivantes et à les faire respecter par son personnel :</w:t>
      </w:r>
    </w:p>
    <w:p>
      <w:pPr>
        <w:pStyle w:val="Normal"/>
        <w:numPr>
          <w:ilvl w:val="0"/>
          <w:numId w:val="2"/>
        </w:numPr>
        <w:rPr>
          <w:rFonts w:eastAsia="Arial" w:cs="Arial"/>
          <w:color w:val="000000"/>
        </w:rPr>
      </w:pPr>
      <w:r>
        <w:rPr>
          <w:rFonts w:eastAsia="Arial" w:cs="Arial"/>
          <w:color w:val="000000"/>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2"/>
        </w:numPr>
        <w:rPr>
          <w:rFonts w:eastAsia="Arial" w:cs="Arial"/>
          <w:color w:val="000000"/>
        </w:rPr>
      </w:pPr>
      <w:r>
        <w:rPr>
          <w:rFonts w:eastAsia="Arial" w:cs="Arial"/>
          <w:color w:val="000000"/>
        </w:rPr>
        <w:t>ne pas utiliser les documents et informations traités à des fins autres que celles spécifiées dans ce marché ;</w:t>
      </w:r>
    </w:p>
    <w:p>
      <w:pPr>
        <w:pStyle w:val="Normal"/>
        <w:numPr>
          <w:ilvl w:val="0"/>
          <w:numId w:val="2"/>
        </w:numPr>
        <w:rPr>
          <w:rFonts w:eastAsia="Arial" w:cs="Arial"/>
          <w:color w:val="000000"/>
        </w:rPr>
      </w:pPr>
      <w:r>
        <w:rPr>
          <w:rFonts w:eastAsia="Arial" w:cs="Arial"/>
          <w:color w:val="000000"/>
        </w:rPr>
        <w:t>ne pas divulguer ces documents ou informations à d'autres personnes, qu'il s'agisse de personnes privées ou publiques, physiques ou morales ;</w:t>
      </w:r>
    </w:p>
    <w:p>
      <w:pPr>
        <w:pStyle w:val="Normal"/>
        <w:numPr>
          <w:ilvl w:val="0"/>
          <w:numId w:val="2"/>
        </w:numPr>
        <w:rPr>
          <w:rFonts w:eastAsia="Arial" w:cs="Arial"/>
          <w:color w:val="000000"/>
        </w:rPr>
      </w:pPr>
      <w:r>
        <w:rPr>
          <w:rFonts w:eastAsia="Arial" w:cs="Arial"/>
          <w:color w:val="000000"/>
        </w:rPr>
        <w:t>prendre toutes mesures permettant d'éviter toute utilisation détournée ou frauduleuse des fichiers informatiques en cours d'exécution du marché ;</w:t>
      </w:r>
    </w:p>
    <w:p>
      <w:pPr>
        <w:pStyle w:val="Normal"/>
        <w:numPr>
          <w:ilvl w:val="0"/>
          <w:numId w:val="2"/>
        </w:numPr>
        <w:rPr>
          <w:rFonts w:eastAsia="Arial" w:cs="Arial"/>
          <w:color w:val="000000"/>
        </w:rPr>
      </w:pPr>
      <w:r>
        <w:rPr>
          <w:rFonts w:eastAsia="Arial" w:cs="Arial"/>
          <w:color w:val="000000"/>
        </w:rPr>
        <w:t>prendre toutes mesures de sécurité, notamment matérielle, pour assurer la conservation et l'intégrité des documents et informations traités pendant la durée du marché ;</w:t>
      </w:r>
    </w:p>
    <w:p>
      <w:pPr>
        <w:pStyle w:val="Normal"/>
        <w:numPr>
          <w:ilvl w:val="0"/>
          <w:numId w:val="2"/>
        </w:numPr>
        <w:rPr>
          <w:rFonts w:eastAsia="Arial" w:cs="Arial"/>
          <w:color w:val="000000"/>
        </w:rPr>
      </w:pPr>
      <w:r>
        <w:rPr>
          <w:rFonts w:eastAsia="Arial" w:cs="Arial"/>
          <w:color w:val="000000"/>
        </w:rPr>
        <w:t>échanger des informations personnelles, sensibles ou des authentifications/identifications uniquement de manière chiffrée ;</w:t>
      </w:r>
    </w:p>
    <w:p>
      <w:pPr>
        <w:pStyle w:val="Normal"/>
        <w:numPr>
          <w:ilvl w:val="0"/>
          <w:numId w:val="2"/>
        </w:numPr>
        <w:rPr>
          <w:rFonts w:eastAsia="Arial" w:cs="Arial"/>
          <w:color w:val="000000"/>
        </w:rPr>
      </w:pPr>
      <w:r>
        <w:rPr>
          <w:rFonts w:eastAsia="Arial" w:cs="Arial"/>
          <w:color w:val="000000"/>
        </w:rPr>
        <w:t>en fin de marché à procéder à la mise à disposition de toutes les données appartenant à la Ville de Marseille ;</w:t>
      </w:r>
    </w:p>
    <w:p>
      <w:pPr>
        <w:pStyle w:val="Normal"/>
        <w:numPr>
          <w:ilvl w:val="0"/>
          <w:numId w:val="2"/>
        </w:numPr>
        <w:rPr>
          <w:rFonts w:eastAsia="Arial" w:cs="Arial"/>
          <w:color w:val="000000"/>
        </w:rPr>
      </w:pPr>
      <w:r>
        <w:rPr>
          <w:rFonts w:eastAsia="Arial" w:cs="Arial"/>
          <w:color w:val="000000"/>
        </w:rPr>
        <w:t>et en fin de marché à procéder à la destruction de tous fichiers manuels ou informatisés stockant les informations saisies.</w:t>
      </w:r>
    </w:p>
    <w:p>
      <w:pPr>
        <w:pStyle w:val="Normal"/>
        <w:ind w:left="720" w:hanging="0"/>
        <w:rPr>
          <w:rFonts w:eastAsia="Arial" w:cs="Arial"/>
          <w:color w:val="000000"/>
        </w:rPr>
      </w:pPr>
      <w:r>
        <w:rPr>
          <w:rFonts w:eastAsia="Arial" w:cs="Arial"/>
          <w:color w:val="000000"/>
        </w:rPr>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87" w:name="__RefHeading___Toc10424_2418032983"/>
      <w:bookmarkStart w:id="188" w:name="_Toc131003001"/>
      <w:bookmarkStart w:id="189" w:name="_Toc126851758"/>
      <w:bookmarkEnd w:id="187"/>
      <w:r>
        <w:rPr>
          <w:rFonts w:ascii="Times New Roman" w:hAnsi="Times New Roman"/>
          <w:b/>
          <w:bCs/>
          <w:iCs/>
          <w:color w:val="666699"/>
          <w:szCs w:val="28"/>
          <w:u w:val="single"/>
        </w:rPr>
        <w:t>Les contrôles</w:t>
      </w:r>
      <w:bookmarkEnd w:id="188"/>
      <w:bookmarkEnd w:id="189"/>
    </w:p>
    <w:p>
      <w:pPr>
        <w:pStyle w:val="Normal"/>
        <w:rPr/>
      </w:pPr>
      <w:r>
        <w:rPr>
          <w:rFonts w:eastAsia="Arial" w:cs="Arial"/>
          <w:b/>
          <w:color w:val="000000"/>
        </w:rPr>
        <w:t>La Ville de Marseille</w:t>
      </w:r>
      <w:r>
        <w:rPr>
          <w:rFonts w:eastAsia="Arial" w:cs="Arial"/>
          <w:color w:val="000000"/>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rPr>
          <w:rFonts w:eastAsia="Arial" w:cs="Arial"/>
          <w:color w:val="000000"/>
        </w:rPr>
      </w:pPr>
      <w:r>
        <w:rPr>
          <w:rFonts w:eastAsia="Arial" w:cs="Arial"/>
          <w:color w:val="000000"/>
        </w:rPr>
        <w:t>En cas de non-respect des dispositions précitées, la responsabilité du titulaire peut également être engagée sur la base des dispositions des articles 226-5 et 226-17 du nouveau code pénal.</w:t>
      </w:r>
    </w:p>
    <w:p>
      <w:pPr>
        <w:pStyle w:val="Normal"/>
        <w:rPr/>
      </w:pPr>
      <w:r>
        <w:rPr/>
      </w:r>
    </w:p>
    <w:p>
      <w:pPr>
        <w:pStyle w:val="Normal"/>
        <w:rPr/>
      </w:pPr>
      <w:r>
        <w:rPr>
          <w:rFonts w:eastAsia="Arial" w:cs="Arial"/>
          <w:b/>
          <w:color w:val="000000"/>
        </w:rPr>
        <w:t>La Ville de Marseille</w:t>
      </w:r>
      <w:r>
        <w:rPr>
          <w:rFonts w:eastAsia="Arial" w:cs="Arial"/>
          <w:color w:val="000000"/>
        </w:rPr>
        <w:t xml:space="preserve"> pourra prononcer la résiliation du marché, sans indemnisation du titulaire, en cas de violation du secret professionnel ou de non-respect des dispositions précitées.</w:t>
      </w:r>
    </w:p>
    <w:p>
      <w:pPr>
        <w:pStyle w:val="Normal"/>
        <w:keepNext w:val="true"/>
        <w:widowControl w:val="false"/>
        <w:numPr>
          <w:ilvl w:val="1"/>
          <w:numId w:val="1"/>
        </w:numPr>
        <w:spacing w:before="240" w:after="240"/>
        <w:outlineLvl w:val="1"/>
        <w:rPr>
          <w:rFonts w:ascii="Times New Roman" w:hAnsi="Times New Roman"/>
          <w:b/>
          <w:b/>
          <w:bCs/>
          <w:iCs/>
          <w:color w:val="666699"/>
          <w:szCs w:val="28"/>
          <w:u w:val="single"/>
        </w:rPr>
      </w:pPr>
      <w:bookmarkStart w:id="190" w:name="__RefHeading___Toc10426_2418032983"/>
      <w:bookmarkStart w:id="191" w:name="_Toc131003002"/>
      <w:bookmarkStart w:id="192" w:name="_Toc126851759"/>
      <w:bookmarkEnd w:id="190"/>
      <w:r>
        <w:rPr>
          <w:rFonts w:ascii="Times New Roman" w:hAnsi="Times New Roman"/>
          <w:b/>
          <w:bCs/>
          <w:iCs/>
          <w:color w:val="666699"/>
          <w:szCs w:val="28"/>
          <w:u w:val="single"/>
        </w:rPr>
        <w:t>Phase de réversibilité</w:t>
      </w:r>
      <w:bookmarkEnd w:id="191"/>
      <w:bookmarkEnd w:id="192"/>
    </w:p>
    <w:p>
      <w:pPr>
        <w:pStyle w:val="Normal"/>
        <w:rPr/>
      </w:pPr>
      <w:r>
        <w:rPr>
          <w:rFonts w:eastAsia="Arial" w:cs="Arial"/>
          <w:color w:val="000000"/>
        </w:rPr>
        <w:t xml:space="preserve">Au terme du marché, le prestataire s'engage à faciliter la réversibilité selon les modalités choisies par la </w:t>
      </w:r>
      <w:r>
        <w:rPr>
          <w:rFonts w:eastAsia="Arial" w:cs="Arial"/>
          <w:b/>
          <w:color w:val="000000"/>
        </w:rPr>
        <w:t>Ville de Marseille</w:t>
      </w:r>
      <w:r>
        <w:rPr>
          <w:rFonts w:eastAsia="Arial" w:cs="Arial"/>
          <w:color w:val="000000"/>
        </w:rPr>
        <w:t xml:space="preserve"> et à fournir toutes les informations et prestations utiles à sa mise en œuvre.</w:t>
      </w:r>
    </w:p>
    <w:p>
      <w:pPr>
        <w:pStyle w:val="Normal"/>
        <w:rPr/>
      </w:pPr>
      <w:r>
        <w:rPr>
          <w:rFonts w:eastAsia="Arial" w:cs="Arial"/>
          <w:color w:val="000000"/>
        </w:rPr>
        <w:t>a fourniture de toutes les</w:t>
      </w:r>
      <w:r>
        <w:rPr>
          <w:rFonts w:eastAsia="Arial" w:cs="Arial"/>
          <w:b/>
          <w:color w:val="000000"/>
        </w:rPr>
        <w:t xml:space="preserve"> informations relatives à l'exécution du marché</w:t>
      </w:r>
      <w:r>
        <w:rPr>
          <w:rFonts w:eastAsia="Arial" w:cs="Arial"/>
          <w:color w:val="000000"/>
        </w:rPr>
        <w:t xml:space="preserve">, la </w:t>
      </w:r>
      <w:r>
        <w:rPr>
          <w:rFonts w:eastAsia="Arial" w:cs="Arial"/>
          <w:b/>
          <w:color w:val="000000"/>
        </w:rPr>
        <w:t>documentation</w:t>
      </w:r>
      <w:r>
        <w:rPr>
          <w:rFonts w:eastAsia="Arial" w:cs="Arial"/>
          <w:color w:val="000000"/>
        </w:rPr>
        <w:t xml:space="preserve"> constituée durant la prestation, sous forme électronique mise à jour, ainsi que le</w:t>
      </w:r>
      <w:r>
        <w:rPr>
          <w:rFonts w:eastAsia="Arial" w:cs="Arial"/>
          <w:b/>
          <w:color w:val="000000"/>
        </w:rPr>
        <w:t xml:space="preserve"> transfert de connaissance</w:t>
      </w:r>
      <w:r>
        <w:rPr>
          <w:rFonts w:eastAsia="Arial" w:cs="Arial"/>
          <w:color w:val="000000"/>
        </w:rPr>
        <w:t xml:space="preserve"> sont inclus dans le présent marché.</w:t>
      </w:r>
    </w:p>
    <w:p>
      <w:pPr>
        <w:pStyle w:val="Normal"/>
        <w:rPr>
          <w:rFonts w:eastAsia="Arial" w:cs="Arial"/>
          <w:color w:val="000000"/>
        </w:rPr>
      </w:pPr>
      <w:r>
        <w:rPr>
          <w:rFonts w:eastAsia="Arial" w:cs="Arial"/>
          <w:color w:val="000000"/>
        </w:rPr>
        <w:t>Ce transfert se fera directement aux équipes de la Ville de Marseille.</w:t>
      </w:r>
    </w:p>
    <w:p>
      <w:pPr>
        <w:pStyle w:val="Normal"/>
        <w:rPr>
          <w:rFonts w:eastAsia="Arial" w:cs="Arial"/>
          <w:color w:val="000000"/>
        </w:rPr>
      </w:pPr>
      <w:r>
        <w:rPr>
          <w:rFonts w:eastAsia="Arial" w:cs="Arial"/>
          <w:color w:val="000000"/>
        </w:rPr>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93" w:name="__RefHeading___Toc10428_2418032983"/>
      <w:bookmarkStart w:id="194" w:name="_Toc131003003"/>
      <w:bookmarkStart w:id="195" w:name="_Toc126851760"/>
      <w:bookmarkEnd w:id="193"/>
      <w:r>
        <w:rPr>
          <w:rFonts w:ascii="Times New Roman" w:hAnsi="Times New Roman"/>
          <w:b/>
          <w:color w:val="666699"/>
          <w:sz w:val="28"/>
          <w:szCs w:val="36"/>
        </w:rPr>
        <w:t>LOGICIEL E-ATTESTATIONS</w:t>
      </w:r>
      <w:bookmarkEnd w:id="194"/>
      <w:bookmarkEnd w:id="195"/>
    </w:p>
    <w:p>
      <w:pPr>
        <w:pStyle w:val="Normal"/>
        <w:rPr>
          <w:rFonts w:eastAsia="Arial" w:cs="Arial"/>
          <w:color w:val="000000"/>
        </w:rPr>
      </w:pPr>
      <w:r>
        <w:rPr>
          <w:rFonts w:eastAsia="Arial" w:cs="Arial"/>
          <w:color w:val="000000"/>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rPr>
          <w:rFonts w:eastAsia="Arial" w:cs="Arial"/>
          <w:color w:val="000000"/>
        </w:rPr>
      </w:pPr>
      <w:r>
        <w:rPr>
          <w:rFonts w:eastAsia="Arial" w:cs="Arial"/>
          <w:color w:val="000000"/>
        </w:rPr>
        <w:t>- les attestations fiscales et sociales,</w:t>
      </w:r>
    </w:p>
    <w:p>
      <w:pPr>
        <w:pStyle w:val="Normal"/>
        <w:rPr>
          <w:rFonts w:eastAsia="Arial" w:cs="Arial"/>
          <w:color w:val="000000"/>
        </w:rPr>
      </w:pPr>
      <w:r>
        <w:rPr>
          <w:rFonts w:eastAsia="Arial" w:cs="Arial"/>
          <w:color w:val="000000"/>
        </w:rPr>
        <w:t>- l'inscription au RCS (K ou K Bis),</w:t>
      </w:r>
    </w:p>
    <w:p>
      <w:pPr>
        <w:pStyle w:val="Normal"/>
        <w:rPr>
          <w:rFonts w:eastAsia="Arial" w:cs="Arial"/>
          <w:color w:val="000000"/>
        </w:rPr>
      </w:pPr>
      <w:r>
        <w:rPr>
          <w:rFonts w:eastAsia="Arial" w:cs="Arial"/>
          <w:color w:val="000000"/>
        </w:rPr>
        <w:t>- la garantie décennale pour les marchés de travaux,</w:t>
      </w:r>
    </w:p>
    <w:p>
      <w:pPr>
        <w:pStyle w:val="Normal"/>
        <w:rPr>
          <w:rFonts w:eastAsia="Arial" w:cs="Arial"/>
          <w:color w:val="000000"/>
        </w:rPr>
      </w:pPr>
      <w:r>
        <w:rPr>
          <w:rFonts w:eastAsia="Arial" w:cs="Arial"/>
          <w:color w:val="000000"/>
        </w:rPr>
        <w:t>- la liste nominative des travailleurs étrangers</w:t>
      </w:r>
    </w:p>
    <w:p>
      <w:pPr>
        <w:pStyle w:val="Normal"/>
        <w:rPr>
          <w:rFonts w:eastAsia="Arial" w:cs="Arial"/>
          <w:color w:val="000000"/>
        </w:rPr>
      </w:pPr>
      <w:r>
        <w:rPr>
          <w:rFonts w:eastAsia="Arial" w:cs="Arial"/>
          <w:color w:val="000000"/>
        </w:rPr>
        <w:t>- l'attestation sur l'honneur relative à l'égalité réelle entre les femmes et les hommes</w:t>
      </w:r>
    </w:p>
    <w:p>
      <w:pPr>
        <w:pStyle w:val="Normal"/>
        <w:rPr/>
      </w:pPr>
      <w:r>
        <w:rPr/>
      </w:r>
    </w:p>
    <w:p>
      <w:pPr>
        <w:pStyle w:val="Normal"/>
        <w:rPr>
          <w:rFonts w:eastAsia="Arial" w:cs="Arial"/>
          <w:color w:val="000000"/>
        </w:rPr>
      </w:pPr>
      <w:r>
        <w:rPr>
          <w:rFonts w:eastAsia="Arial" w:cs="Arial"/>
          <w:color w:val="000000"/>
        </w:rPr>
        <w:t>Cette démarche présente l'avantage de limiter les échanges administratifs lors de la notification et de l'exécution des marchés. Par ailleurs, le logiciel garantit la confidentialité des documents déposés.</w:t>
      </w:r>
    </w:p>
    <w:p>
      <w:pPr>
        <w:pStyle w:val="Normal"/>
        <w:rPr>
          <w:rFonts w:eastAsia="Arial" w:cs="Arial"/>
          <w:color w:val="000000"/>
        </w:rPr>
      </w:pPr>
      <w:r>
        <w:rPr>
          <w:rFonts w:eastAsia="Arial" w:cs="Arial"/>
          <w:color w:val="000000"/>
        </w:rPr>
        <w:t xml:space="preserve">L'interface e-attestations est une solution </w:t>
      </w:r>
      <w:r>
        <w:rPr>
          <w:rFonts w:eastAsia="Arial" w:cs="Arial"/>
          <w:b/>
          <w:color w:val="000000"/>
        </w:rPr>
        <w:t>gratuite</w:t>
      </w:r>
      <w:r>
        <w:rPr>
          <w:rFonts w:eastAsia="Arial" w:cs="Arial"/>
          <w:color w:val="000000"/>
        </w:rPr>
        <w:t xml:space="preserve"> de dépôt et de mise à jour, l'adresse du site est la suivante : </w:t>
      </w:r>
      <w:hyperlink r:id="rId3">
        <w:r>
          <w:rPr>
            <w:rStyle w:val="LienInternet"/>
            <w:rFonts w:eastAsia="Arial" w:cs="Arial"/>
          </w:rPr>
          <w:t>http://www.e-attestations.com/</w:t>
        </w:r>
      </w:hyperlink>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96" w:name="__RefHeading___Toc10430_2418032983"/>
      <w:bookmarkStart w:id="197" w:name="_Toc131003004"/>
      <w:bookmarkStart w:id="198" w:name="_Toc126851761"/>
      <w:bookmarkEnd w:id="196"/>
      <w:r>
        <w:rPr>
          <w:rFonts w:ascii="Times New Roman" w:hAnsi="Times New Roman"/>
          <w:b/>
          <w:color w:val="666699"/>
          <w:sz w:val="28"/>
          <w:szCs w:val="36"/>
        </w:rPr>
        <w:t>LOI APPLICABLE</w:t>
      </w:r>
      <w:bookmarkEnd w:id="197"/>
      <w:bookmarkEnd w:id="198"/>
    </w:p>
    <w:p>
      <w:pPr>
        <w:pStyle w:val="Normal"/>
        <w:rPr>
          <w:rFonts w:eastAsia="Arial" w:cs="Arial"/>
          <w:color w:val="000000"/>
        </w:rPr>
      </w:pPr>
      <w:r>
        <w:rPr>
          <w:rFonts w:eastAsia="Arial" w:cs="Arial"/>
          <w:color w:val="000000"/>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199" w:name="__RefHeading___Toc10432_2418032983"/>
      <w:bookmarkStart w:id="200" w:name="_Toc131003005"/>
      <w:bookmarkStart w:id="201" w:name="_Toc126851762"/>
      <w:bookmarkEnd w:id="199"/>
      <w:r>
        <w:rPr>
          <w:rFonts w:ascii="Times New Roman" w:hAnsi="Times New Roman"/>
          <w:b/>
          <w:color w:val="666699"/>
          <w:sz w:val="28"/>
          <w:szCs w:val="36"/>
        </w:rPr>
        <w:t>CONFORMITÉ AUX NORMES</w:t>
      </w:r>
      <w:bookmarkEnd w:id="200"/>
      <w:bookmarkEnd w:id="201"/>
    </w:p>
    <w:p>
      <w:pPr>
        <w:pStyle w:val="Normal"/>
        <w:rPr>
          <w:rFonts w:eastAsia="Arial" w:cs="Arial"/>
          <w:color w:val="000000"/>
        </w:rPr>
      </w:pPr>
      <w:r>
        <w:rPr>
          <w:rFonts w:eastAsia="Arial" w:cs="Arial"/>
          <w:color w:val="000000"/>
        </w:rPr>
        <w:t>Les fournitures seront conformes aux normes en vigueur, normes homologuées ou autres normes reconnues équivalentes, en vertu de l'article R2111-11 du Code de la commande publique.</w:t>
      </w:r>
    </w:p>
    <w:p>
      <w:pPr>
        <w:pStyle w:val="Normal"/>
        <w:rPr>
          <w:rFonts w:eastAsia="Arial" w:cs="Arial"/>
          <w:color w:val="000000"/>
        </w:rPr>
      </w:pPr>
      <w:r>
        <w:rPr>
          <w:rFonts w:eastAsia="Arial" w:cs="Arial"/>
          <w:color w:val="000000"/>
        </w:rPr>
        <w:t>Toute norme décrite dans le présent marché, dont l'usage n'est pas rendu obligatoire par une réglementation, est entendue comme comprenant la mention "ou équivalent" même si elle n'est pas expressément suivie de cette mention.</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202" w:name="__RefHeading___Toc10434_2418032983"/>
      <w:bookmarkStart w:id="203" w:name="_Toc131003006"/>
      <w:bookmarkStart w:id="204" w:name="_Toc126851763"/>
      <w:bookmarkEnd w:id="202"/>
      <w:r>
        <w:rPr>
          <w:rFonts w:ascii="Times New Roman" w:hAnsi="Times New Roman"/>
          <w:b/>
          <w:color w:val="666699"/>
          <w:sz w:val="28"/>
          <w:szCs w:val="36"/>
        </w:rPr>
        <w:t>ASSURANCES</w:t>
      </w:r>
      <w:bookmarkEnd w:id="203"/>
      <w:bookmarkEnd w:id="204"/>
    </w:p>
    <w:p>
      <w:pPr>
        <w:pStyle w:val="Normal"/>
        <w:rPr>
          <w:rFonts w:eastAsia="Arial" w:cs="Arial"/>
          <w:color w:val="000000"/>
        </w:rPr>
      </w:pPr>
      <w:r>
        <w:rPr>
          <w:rFonts w:eastAsia="Arial" w:cs="Arial"/>
          <w:color w:val="000000"/>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rPr>
          <w:rFonts w:eastAsia="Arial" w:cs="Arial"/>
          <w:color w:val="000000"/>
        </w:rPr>
      </w:pPr>
      <w:r>
        <w:rPr>
          <w:rFonts w:eastAsia="Arial" w:cs="Arial"/>
          <w:color w:val="000000"/>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rPr>
          <w:rFonts w:eastAsia="Arial" w:cs="Arial"/>
          <w:color w:val="000000"/>
        </w:rPr>
      </w:pPr>
      <w:r>
        <w:rPr>
          <w:rFonts w:eastAsia="Arial" w:cs="Arial"/>
          <w:color w:val="000000"/>
        </w:rPr>
        <w:t>À tout moment durant l'exécution du marché, le titulaire doit être en mesure de produire cette attestation, sur demande du pouvoir adjudicateur et dans un délai de quinze jours à compter de la réception de la demande.</w:t>
      </w:r>
    </w:p>
    <w:p>
      <w:pPr>
        <w:pStyle w:val="Normal"/>
        <w:keepNext w:val="true"/>
        <w:widowControl w:val="false"/>
        <w:numPr>
          <w:ilvl w:val="0"/>
          <w:numId w:val="1"/>
        </w:numPr>
        <w:spacing w:beforeAutospacing="1" w:after="160"/>
        <w:outlineLvl w:val="0"/>
        <w:rPr>
          <w:rFonts w:ascii="Times New Roman" w:hAnsi="Times New Roman"/>
          <w:b/>
          <w:b/>
          <w:color w:val="666699"/>
          <w:sz w:val="28"/>
          <w:szCs w:val="36"/>
        </w:rPr>
      </w:pPr>
      <w:bookmarkStart w:id="205" w:name="__RefHeading___Toc10436_2418032983"/>
      <w:bookmarkStart w:id="206" w:name="_Toc131003007"/>
      <w:bookmarkStart w:id="207" w:name="_Toc126851764"/>
      <w:bookmarkEnd w:id="205"/>
      <w:r>
        <w:rPr>
          <w:rFonts w:ascii="Times New Roman" w:hAnsi="Times New Roman"/>
          <w:b/>
          <w:color w:val="666699"/>
          <w:sz w:val="28"/>
          <w:szCs w:val="36"/>
        </w:rPr>
        <w:t>DÉROGATIONS AUX DOCUMENTS G</w:t>
      </w:r>
      <w:bookmarkEnd w:id="206"/>
      <w:bookmarkEnd w:id="207"/>
      <w:r>
        <w:rPr>
          <w:rFonts w:ascii="Times New Roman" w:hAnsi="Times New Roman"/>
          <w:b/>
          <w:color w:val="666699"/>
          <w:sz w:val="28"/>
          <w:szCs w:val="36"/>
        </w:rPr>
        <w:t>ÉNÉRAUX</w:t>
      </w:r>
    </w:p>
    <w:p>
      <w:pPr>
        <w:pStyle w:val="Normal"/>
        <w:rPr>
          <w:rFonts w:eastAsia="Arial" w:cs="Arial"/>
          <w:color w:val="000000"/>
        </w:rPr>
      </w:pPr>
      <w:r>
        <w:rPr>
          <w:rFonts w:eastAsia="Arial" w:cs="Arial"/>
          <w:color w:val="000000"/>
        </w:rPr>
        <w:t>Les dérogations explicitées dans les articles désignés ci-après du C.C.A.P. sont apportées aux articles suivants des documents et des normes françaises homologuées ci-après :</w:t>
      </w:r>
    </w:p>
    <w:p>
      <w:pPr>
        <w:pStyle w:val="Normal"/>
        <w:rPr>
          <w:rFonts w:eastAsia="Arial" w:cs="Arial"/>
          <w:color w:val="000000"/>
        </w:rPr>
      </w:pPr>
      <w:r>
        <w:rPr>
          <w:rFonts w:eastAsia="Arial" w:cs="Arial"/>
          <w:color w:val="000000"/>
        </w:rPr>
        <w:t>Dérogations au CCAG-FCS:</w:t>
      </w:r>
    </w:p>
    <w:p>
      <w:pPr>
        <w:pStyle w:val="Normal"/>
        <w:rPr/>
      </w:pPr>
      <w:r>
        <w:rPr/>
        <w:t>- l'article 2 déroge à l'article 4.1 du CCAG</w:t>
      </w:r>
    </w:p>
    <w:p>
      <w:pPr>
        <w:pStyle w:val="Normal"/>
        <w:rPr/>
      </w:pPr>
      <w:r>
        <w:rPr/>
        <w:t>- l’article 1.8.1 déroge à l’article 16.1.4.3 du CCAG</w:t>
      </w:r>
    </w:p>
    <w:p>
      <w:pPr>
        <w:pStyle w:val="Normal"/>
        <w:rPr/>
      </w:pPr>
      <w:r>
        <w:rPr/>
        <w:t>- l'article 7.1 déroge à l'article 27.3 du CCAG</w:t>
      </w:r>
    </w:p>
    <w:p>
      <w:pPr>
        <w:pStyle w:val="Normal"/>
        <w:rPr/>
      </w:pPr>
      <w:r>
        <w:rPr/>
        <w:t>- l'article 11.2 déroge à l’article 10 du CCAG</w:t>
      </w:r>
    </w:p>
    <w:p>
      <w:pPr>
        <w:pStyle w:val="Normal"/>
        <w:rPr/>
      </w:pPr>
      <w:r>
        <w:rPr/>
        <w:t>- l'article 15 déroge à l'article 14.1.3 du CCAG</w:t>
      </w:r>
    </w:p>
    <w:p>
      <w:pPr>
        <w:pStyle w:val="Normal"/>
        <w:rPr>
          <w:rFonts w:eastAsia="Arial" w:cs="Arial"/>
          <w:color w:val="000000"/>
        </w:rPr>
      </w:pPr>
      <w:r>
        <w:rPr>
          <w:rFonts w:eastAsia="Arial" w:cs="Arial"/>
          <w:color w:val="000000"/>
        </w:rPr>
        <w:t>- l'article 15.1 déroge à l'article 14.1.1   du CCAG</w:t>
      </w:r>
    </w:p>
    <w:p>
      <w:pPr>
        <w:pStyle w:val="Normal"/>
        <w:widowControl w:val="false"/>
        <w:spacing w:before="0" w:after="160"/>
        <w:rPr/>
      </w:pPr>
      <w:r>
        <w:rPr/>
      </w:r>
    </w:p>
    <w:sectPr>
      <w:footerReference w:type="default" r:id="rId4"/>
      <w:type w:val="nextPage"/>
      <w:pgSz w:w="11906" w:h="16838"/>
      <w:pgMar w:left="1417" w:right="1417" w:gutter="0" w:header="0" w:top="1417" w:footer="482"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Segoe UI">
    <w:charset w:val="00"/>
    <w:family w:val="roman"/>
    <w:pitch w:val="variable"/>
  </w:font>
  <w:font w:name="arial gras">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Trebuchet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160"/>
      <w:rPr/>
    </w:pPr>
    <w:r>
      <w:rPr>
        <w:i/>
        <w:color w:val="4472C4" w:themeColor="accent1"/>
        <w:szCs w:val="18"/>
        <w:highlight w:val="white"/>
      </w:rPr>
      <w:t>Cahier des clauses administratives particulières</w:t>
    </w:r>
    <w:r>
      <w:rPr>
        <w:i/>
        <w:color w:val="000000"/>
        <w:szCs w:val="18"/>
        <w:highlight w:val="white"/>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w:cs="Arial" w:asciiTheme="minorHAnsi" w:cstheme="minorBidi" w:eastAsiaTheme="minorEastAsia" w:hAnsiTheme="minorHAnsi"/>
        <w:sz w:val="22"/>
        <w:szCs w:val="22"/>
        <w:lang w:val="fr-FR" w:eastAsia="ja-JP" w:bidi="fa-IR"/>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2422"/>
    <w:pPr>
      <w:widowControl/>
      <w:suppressAutoHyphens w:val="false"/>
      <w:bidi w:val="0"/>
      <w:spacing w:lineRule="auto" w:line="259" w:before="0" w:after="160"/>
      <w:jc w:val="left"/>
    </w:pPr>
    <w:rPr>
      <w:rFonts w:ascii="Calibri" w:hAnsi="Calibri" w:eastAsia="Arial" w:cs="Arial" w:asciiTheme="minorHAnsi" w:cstheme="minorBidi" w:eastAsiaTheme="minorEastAsia" w:hAnsiTheme="minorHAnsi"/>
      <w:color w:val="auto"/>
      <w:kern w:val="0"/>
      <w:sz w:val="22"/>
      <w:szCs w:val="22"/>
      <w:lang w:val="fr-FR" w:eastAsia="ja-JP" w:bidi="fa-IR"/>
    </w:rPr>
  </w:style>
  <w:style w:type="paragraph" w:styleId="Titre1">
    <w:name w:val="Heading 1"/>
    <w:basedOn w:val="Normal"/>
    <w:next w:val="Normal"/>
    <w:link w:val="Titre1Car"/>
    <w:uiPriority w:val="9"/>
    <w:qFormat/>
    <w:rsid w:val="00882422"/>
    <w:pPr>
      <w:keepNext w:val="true"/>
      <w:keepLines/>
      <w:spacing w:lineRule="auto" w:line="240" w:before="400" w:after="40"/>
      <w:outlineLvl w:val="0"/>
    </w:pPr>
    <w:rPr>
      <w:rFonts w:ascii="Calibri Light" w:hAnsi="Calibri Light" w:eastAsia="Arial" w:cs="Arial" w:asciiTheme="majorHAnsi" w:cstheme="majorBidi" w:eastAsiaTheme="majorEastAsia" w:hAnsiTheme="majorHAnsi"/>
      <w:color w:val="1F3864" w:themeColor="accent1" w:themeShade="80"/>
      <w:sz w:val="36"/>
      <w:szCs w:val="36"/>
    </w:rPr>
  </w:style>
  <w:style w:type="paragraph" w:styleId="Titre2">
    <w:name w:val="Heading 2"/>
    <w:basedOn w:val="Normal"/>
    <w:next w:val="Normal"/>
    <w:link w:val="Titre2Car"/>
    <w:uiPriority w:val="9"/>
    <w:unhideWhenUsed/>
    <w:qFormat/>
    <w:rsid w:val="00882422"/>
    <w:pPr>
      <w:keepNext w:val="true"/>
      <w:keepLines/>
      <w:spacing w:lineRule="auto" w:line="240" w:before="40" w:after="0"/>
      <w:outlineLvl w:val="1"/>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Titre3">
    <w:name w:val="Heading 3"/>
    <w:basedOn w:val="Normal"/>
    <w:next w:val="Normal"/>
    <w:link w:val="Titre3Car"/>
    <w:uiPriority w:val="9"/>
    <w:unhideWhenUsed/>
    <w:qFormat/>
    <w:rsid w:val="00882422"/>
    <w:pPr>
      <w:keepNext w:val="true"/>
      <w:keepLines/>
      <w:spacing w:lineRule="auto" w:line="240" w:before="40" w:after="0"/>
      <w:outlineLvl w:val="2"/>
    </w:pPr>
    <w:rPr>
      <w:rFonts w:ascii="Calibri Light" w:hAnsi="Calibri Light" w:eastAsia="Arial" w:cs="Arial" w:asciiTheme="majorHAnsi" w:cstheme="majorBidi" w:eastAsiaTheme="majorEastAsia" w:hAnsiTheme="majorHAnsi"/>
      <w:color w:val="2F5496" w:themeColor="accent1" w:themeShade="bf"/>
      <w:sz w:val="28"/>
      <w:szCs w:val="28"/>
    </w:rPr>
  </w:style>
  <w:style w:type="paragraph" w:styleId="Titre4">
    <w:name w:val="Heading 4"/>
    <w:basedOn w:val="Normal"/>
    <w:next w:val="Normal"/>
    <w:link w:val="Titre4Car"/>
    <w:uiPriority w:val="9"/>
    <w:unhideWhenUsed/>
    <w:qFormat/>
    <w:rsid w:val="00882422"/>
    <w:pPr>
      <w:keepNext w:val="true"/>
      <w:keepLines/>
      <w:spacing w:before="40" w:after="0"/>
      <w:outlineLvl w:val="3"/>
    </w:pPr>
    <w:rPr>
      <w:rFonts w:ascii="Calibri Light" w:hAnsi="Calibri Light" w:eastAsia="Arial" w:cs="Arial" w:asciiTheme="majorHAnsi" w:cstheme="majorBidi" w:eastAsiaTheme="majorEastAsia" w:hAnsiTheme="majorHAnsi"/>
      <w:color w:val="2F5496" w:themeColor="accent1" w:themeShade="bf"/>
      <w:sz w:val="24"/>
      <w:szCs w:val="24"/>
    </w:rPr>
  </w:style>
  <w:style w:type="paragraph" w:styleId="Titre5">
    <w:name w:val="Heading 5"/>
    <w:basedOn w:val="Normal"/>
    <w:next w:val="Normal"/>
    <w:link w:val="Titre5Car"/>
    <w:uiPriority w:val="9"/>
    <w:unhideWhenUsed/>
    <w:qFormat/>
    <w:rsid w:val="00882422"/>
    <w:pPr>
      <w:keepNext w:val="true"/>
      <w:keepLines/>
      <w:spacing w:before="40" w:after="0"/>
      <w:outlineLvl w:val="4"/>
    </w:pPr>
    <w:rPr>
      <w:rFonts w:ascii="Calibri Light" w:hAnsi="Calibri Light" w:eastAsia="Arial" w:cs="Arial" w:asciiTheme="majorHAnsi" w:cstheme="majorBidi" w:eastAsiaTheme="majorEastAsia" w:hAnsiTheme="majorHAnsi"/>
      <w:caps/>
      <w:color w:val="2F5496" w:themeColor="accent1" w:themeShade="bf"/>
    </w:rPr>
  </w:style>
  <w:style w:type="paragraph" w:styleId="Titre6">
    <w:name w:val="Heading 6"/>
    <w:basedOn w:val="Normal"/>
    <w:next w:val="Normal"/>
    <w:link w:val="Titre6Car"/>
    <w:uiPriority w:val="9"/>
    <w:unhideWhenUsed/>
    <w:qFormat/>
    <w:rsid w:val="00882422"/>
    <w:pPr>
      <w:keepNext w:val="true"/>
      <w:keepLines/>
      <w:spacing w:before="40" w:after="0"/>
      <w:outlineLvl w:val="5"/>
    </w:pPr>
    <w:rPr>
      <w:rFonts w:ascii="Calibri Light" w:hAnsi="Calibri Light" w:eastAsia="Arial" w:cs="Arial" w:asciiTheme="majorHAnsi" w:cstheme="majorBidi" w:eastAsiaTheme="majorEastAsia" w:hAnsiTheme="majorHAnsi"/>
      <w:i/>
      <w:iCs/>
      <w:caps/>
      <w:color w:val="1F3864" w:themeColor="accent1" w:themeShade="80"/>
    </w:rPr>
  </w:style>
  <w:style w:type="paragraph" w:styleId="Titre7">
    <w:name w:val="Heading 7"/>
    <w:basedOn w:val="Normal"/>
    <w:next w:val="Normal"/>
    <w:link w:val="Titre7Car"/>
    <w:uiPriority w:val="9"/>
    <w:unhideWhenUsed/>
    <w:qFormat/>
    <w:rsid w:val="00882422"/>
    <w:pPr>
      <w:keepNext w:val="true"/>
      <w:keepLines/>
      <w:spacing w:before="40" w:after="0"/>
      <w:outlineLvl w:val="6"/>
    </w:pPr>
    <w:rPr>
      <w:rFonts w:ascii="Calibri Light" w:hAnsi="Calibri Light" w:eastAsia="Arial" w:cs="Arial" w:asciiTheme="majorHAnsi" w:cstheme="majorBidi" w:eastAsiaTheme="majorEastAsia" w:hAnsiTheme="majorHAnsi"/>
      <w:b/>
      <w:bCs/>
      <w:color w:val="1F3864" w:themeColor="accent1" w:themeShade="80"/>
    </w:rPr>
  </w:style>
  <w:style w:type="paragraph" w:styleId="Titre8">
    <w:name w:val="Heading 8"/>
    <w:basedOn w:val="Normal"/>
    <w:next w:val="Normal"/>
    <w:link w:val="Titre8Car"/>
    <w:uiPriority w:val="9"/>
    <w:unhideWhenUsed/>
    <w:qFormat/>
    <w:rsid w:val="00882422"/>
    <w:pPr>
      <w:keepNext w:val="true"/>
      <w:keepLines/>
      <w:spacing w:before="40" w:after="0"/>
      <w:outlineLvl w:val="7"/>
    </w:pPr>
    <w:rPr>
      <w:rFonts w:ascii="Calibri Light" w:hAnsi="Calibri Light" w:eastAsia="Arial" w:cs="Arial" w:asciiTheme="majorHAnsi" w:cstheme="majorBidi" w:eastAsiaTheme="majorEastAsia" w:hAnsiTheme="majorHAnsi"/>
      <w:b/>
      <w:bCs/>
      <w:i/>
      <w:iCs/>
      <w:color w:val="1F3864" w:themeColor="accent1" w:themeShade="80"/>
    </w:rPr>
  </w:style>
  <w:style w:type="paragraph" w:styleId="Titre9">
    <w:name w:val="Heading 9"/>
    <w:basedOn w:val="Normal"/>
    <w:next w:val="Normal"/>
    <w:link w:val="Titre9Car"/>
    <w:uiPriority w:val="9"/>
    <w:unhideWhenUsed/>
    <w:qFormat/>
    <w:rsid w:val="00882422"/>
    <w:pPr>
      <w:keepNext w:val="true"/>
      <w:keepLines/>
      <w:spacing w:before="40" w:after="0"/>
      <w:outlineLvl w:val="8"/>
    </w:pPr>
    <w:rPr>
      <w:rFonts w:ascii="Calibri Light" w:hAnsi="Calibri Light" w:eastAsia="Arial" w:cs="Arial" w:asciiTheme="majorHAnsi" w:cstheme="majorBidi" w:eastAsiaTheme="majorEastAsia" w:hAnsiTheme="majorHAnsi"/>
      <w:i/>
      <w:iCs/>
      <w:color w:val="1F3864" w:themeColor="accent1" w:themeShade="8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Pr>
      <w:rFonts w:ascii="Arial" w:hAnsi="Arial" w:eastAsia="Arial" w:cs="Arial"/>
      <w:sz w:val="40"/>
      <w:szCs w:val="40"/>
    </w:rPr>
  </w:style>
  <w:style w:type="character" w:styleId="Heading2Char" w:customStyle="1">
    <w:name w:val="Heading 2 Char"/>
    <w:basedOn w:val="DefaultParagraphFont"/>
    <w:qFormat/>
    <w:rPr>
      <w:rFonts w:ascii="Arial" w:hAnsi="Arial" w:eastAsia="Arial" w:cs="Arial"/>
      <w:sz w:val="34"/>
    </w:rPr>
  </w:style>
  <w:style w:type="character" w:styleId="Heading3Char" w:customStyle="1">
    <w:name w:val="Heading 3 Char"/>
    <w:basedOn w:val="DefaultParagraphFont"/>
    <w:qFormat/>
    <w:rPr>
      <w:rFonts w:ascii="Arial" w:hAnsi="Arial" w:eastAsia="Arial" w:cs="Arial"/>
      <w:sz w:val="30"/>
      <w:szCs w:val="30"/>
    </w:rPr>
  </w:style>
  <w:style w:type="character" w:styleId="Heading4Char" w:customStyle="1">
    <w:name w:val="Heading 4 Char"/>
    <w:basedOn w:val="DefaultParagraphFont"/>
    <w:qFormat/>
    <w:rPr>
      <w:rFonts w:ascii="Arial" w:hAnsi="Arial" w:eastAsia="Arial" w:cs="Arial"/>
      <w:b/>
      <w:bCs/>
      <w:sz w:val="26"/>
      <w:szCs w:val="26"/>
    </w:rPr>
  </w:style>
  <w:style w:type="character" w:styleId="Heading5Char" w:customStyle="1">
    <w:name w:val="Heading 5 Char"/>
    <w:basedOn w:val="DefaultParagraphFont"/>
    <w:qFormat/>
    <w:rPr>
      <w:rFonts w:ascii="Arial" w:hAnsi="Arial" w:eastAsia="Arial" w:cs="Arial"/>
      <w:b/>
      <w:bCs/>
      <w:sz w:val="24"/>
      <w:szCs w:val="24"/>
    </w:rPr>
  </w:style>
  <w:style w:type="character" w:styleId="Heading6Char" w:customStyle="1">
    <w:name w:val="Heading 6 Char"/>
    <w:basedOn w:val="DefaultParagraphFont"/>
    <w:qFormat/>
    <w:rPr>
      <w:rFonts w:ascii="Arial" w:hAnsi="Arial" w:eastAsia="Arial" w:cs="Arial"/>
      <w:b/>
      <w:bCs/>
      <w:sz w:val="22"/>
      <w:szCs w:val="22"/>
    </w:rPr>
  </w:style>
  <w:style w:type="character" w:styleId="Heading7Char" w:customStyle="1">
    <w:name w:val="Heading 7 Char"/>
    <w:basedOn w:val="DefaultParagraphFont"/>
    <w:qFormat/>
    <w:rPr>
      <w:rFonts w:ascii="Arial" w:hAnsi="Arial" w:eastAsia="Arial" w:cs="Arial"/>
      <w:b/>
      <w:bCs/>
      <w:i/>
      <w:iCs/>
      <w:sz w:val="22"/>
      <w:szCs w:val="22"/>
    </w:rPr>
  </w:style>
  <w:style w:type="character" w:styleId="Heading8Char" w:customStyle="1">
    <w:name w:val="Heading 8 Char"/>
    <w:basedOn w:val="DefaultParagraphFont"/>
    <w:qFormat/>
    <w:rPr>
      <w:rFonts w:ascii="Arial" w:hAnsi="Arial" w:eastAsia="Arial" w:cs="Arial"/>
      <w:i/>
      <w:iCs/>
      <w:sz w:val="22"/>
      <w:szCs w:val="22"/>
    </w:rPr>
  </w:style>
  <w:style w:type="character" w:styleId="Heading9Char" w:customStyle="1">
    <w:name w:val="Heading 9 Char"/>
    <w:basedOn w:val="DefaultParagraphFont"/>
    <w:qFormat/>
    <w:rPr>
      <w:rFonts w:ascii="Arial" w:hAnsi="Arial" w:eastAsia="Arial" w:cs="Arial"/>
      <w:i/>
      <w:iCs/>
      <w:sz w:val="21"/>
      <w:szCs w:val="21"/>
    </w:rPr>
  </w:style>
  <w:style w:type="character" w:styleId="TitreCar1" w:customStyle="1">
    <w:name w:val="Titre Car1"/>
    <w:basedOn w:val="DefaultParagraphFont"/>
    <w:qFormat/>
    <w:rPr>
      <w:sz w:val="48"/>
      <w:szCs w:val="48"/>
    </w:rPr>
  </w:style>
  <w:style w:type="character" w:styleId="SoustitreCar1" w:customStyle="1">
    <w:name w:val="Sous-titre Car1"/>
    <w:basedOn w:val="DefaultParagraphFont"/>
    <w:qFormat/>
    <w:rPr>
      <w:sz w:val="24"/>
      <w:szCs w:val="24"/>
    </w:rPr>
  </w:style>
  <w:style w:type="character" w:styleId="CitationCar1" w:customStyle="1">
    <w:name w:val="Citation Car1"/>
    <w:qFormat/>
    <w:rPr>
      <w:i/>
    </w:rPr>
  </w:style>
  <w:style w:type="character" w:styleId="CitationintenseCar1" w:customStyle="1">
    <w:name w:val="Citation intense Car1"/>
    <w:qFormat/>
    <w:rPr>
      <w:i/>
    </w:rPr>
  </w:style>
  <w:style w:type="character" w:styleId="EntteCar1" w:customStyle="1">
    <w:name w:val="En-tête Car1"/>
    <w:basedOn w:val="DefaultParagraphFont"/>
    <w:qFormat/>
    <w:rPr/>
  </w:style>
  <w:style w:type="character" w:styleId="CaptionChar" w:customStyle="1">
    <w:name w:val="Caption Char"/>
    <w:qFormat/>
    <w:rPr/>
  </w:style>
  <w:style w:type="character" w:styleId="LienInternet">
    <w:name w:val="Lien Internet"/>
    <w:basedOn w:val="DefaultParagraphFont"/>
    <w:uiPriority w:val="99"/>
    <w:unhideWhenUsed/>
    <w:rsid w:val="00c72e4e"/>
    <w:rPr>
      <w:color w:val="0563C1" w:themeColor="hyperlink"/>
      <w:u w:val="single"/>
    </w:rPr>
  </w:style>
  <w:style w:type="character" w:styleId="FootnoteTextChar" w:customStyle="1">
    <w:name w:val="Footnote Text Char"/>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nhideWhenUsed/>
    <w:qFormat/>
    <w:rPr>
      <w:vertAlign w:val="superscript"/>
    </w:rPr>
  </w:style>
  <w:style w:type="character" w:styleId="EndnoteTextChar" w:customStyle="1">
    <w:name w:val="Endnote Text Char"/>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nhideWhenUsed/>
    <w:qFormat/>
    <w:rPr>
      <w:vertAlign w:val="superscript"/>
    </w:rPr>
  </w:style>
  <w:style w:type="character" w:styleId="Titre1Car" w:customStyle="1">
    <w:name w:val="Titre 1 Car"/>
    <w:basedOn w:val="DefaultParagraphFont"/>
    <w:link w:val="Titre1"/>
    <w:uiPriority w:val="9"/>
    <w:qFormat/>
    <w:rsid w:val="00882422"/>
    <w:rPr>
      <w:rFonts w:ascii="Calibri Light" w:hAnsi="Calibri Light" w:eastAsia="Arial" w:cs="Arial" w:asciiTheme="majorHAnsi" w:cstheme="majorBidi" w:eastAsiaTheme="majorEastAsia" w:hAnsiTheme="majorHAnsi"/>
      <w:color w:val="1F3864" w:themeColor="accent1" w:themeShade="80"/>
      <w:sz w:val="36"/>
      <w:szCs w:val="36"/>
    </w:rPr>
  </w:style>
  <w:style w:type="character" w:styleId="Titre2Car" w:customStyle="1">
    <w:name w:val="Titre 2 Car"/>
    <w:basedOn w:val="DefaultParagraphFont"/>
    <w:link w:val="Titre2"/>
    <w:uiPriority w:val="9"/>
    <w:qFormat/>
    <w:rsid w:val="00882422"/>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Titre3Car" w:customStyle="1">
    <w:name w:val="Titre 3 Car"/>
    <w:basedOn w:val="DefaultParagraphFont"/>
    <w:link w:val="Titre3"/>
    <w:uiPriority w:val="9"/>
    <w:qFormat/>
    <w:rsid w:val="00882422"/>
    <w:rPr>
      <w:rFonts w:ascii="Calibri Light" w:hAnsi="Calibri Light" w:eastAsia="Arial" w:cs="Arial" w:asciiTheme="majorHAnsi" w:cstheme="majorBidi" w:eastAsiaTheme="majorEastAsia" w:hAnsiTheme="majorHAnsi"/>
      <w:color w:val="2F5496" w:themeColor="accent1" w:themeShade="bf"/>
      <w:sz w:val="28"/>
      <w:szCs w:val="28"/>
    </w:rPr>
  </w:style>
  <w:style w:type="character" w:styleId="Titre4Car" w:customStyle="1">
    <w:name w:val="Titre 4 Car"/>
    <w:basedOn w:val="DefaultParagraphFont"/>
    <w:link w:val="Titre4"/>
    <w:uiPriority w:val="9"/>
    <w:qFormat/>
    <w:rsid w:val="00882422"/>
    <w:rPr>
      <w:rFonts w:ascii="Calibri Light" w:hAnsi="Calibri Light" w:eastAsia="Arial" w:cs="Arial" w:asciiTheme="majorHAnsi" w:cstheme="majorBidi" w:eastAsiaTheme="majorEastAsia" w:hAnsiTheme="majorHAnsi"/>
      <w:color w:val="2F5496" w:themeColor="accent1" w:themeShade="bf"/>
      <w:sz w:val="24"/>
      <w:szCs w:val="24"/>
    </w:rPr>
  </w:style>
  <w:style w:type="character" w:styleId="Titre5Car" w:customStyle="1">
    <w:name w:val="Titre 5 Car"/>
    <w:basedOn w:val="DefaultParagraphFont"/>
    <w:link w:val="Titre5"/>
    <w:uiPriority w:val="9"/>
    <w:qFormat/>
    <w:rsid w:val="00882422"/>
    <w:rPr>
      <w:rFonts w:ascii="Calibri Light" w:hAnsi="Calibri Light" w:eastAsia="Arial" w:cs="Arial" w:asciiTheme="majorHAnsi" w:cstheme="majorBidi" w:eastAsiaTheme="majorEastAsia" w:hAnsiTheme="majorHAnsi"/>
      <w:caps/>
      <w:color w:val="2F5496" w:themeColor="accent1" w:themeShade="bf"/>
    </w:rPr>
  </w:style>
  <w:style w:type="character" w:styleId="Titre6Car" w:customStyle="1">
    <w:name w:val="Titre 6 Car"/>
    <w:basedOn w:val="DefaultParagraphFont"/>
    <w:link w:val="Titre6"/>
    <w:uiPriority w:val="9"/>
    <w:qFormat/>
    <w:rsid w:val="00882422"/>
    <w:rPr>
      <w:rFonts w:ascii="Calibri Light" w:hAnsi="Calibri Light" w:eastAsia="Arial" w:cs="Arial" w:asciiTheme="majorHAnsi" w:cstheme="majorBidi" w:eastAsiaTheme="majorEastAsia" w:hAnsiTheme="majorHAnsi"/>
      <w:i/>
      <w:iCs/>
      <w:caps/>
      <w:color w:val="1F3864" w:themeColor="accent1" w:themeShade="80"/>
    </w:rPr>
  </w:style>
  <w:style w:type="character" w:styleId="Titre7Car" w:customStyle="1">
    <w:name w:val="Titre 7 Car"/>
    <w:basedOn w:val="DefaultParagraphFont"/>
    <w:link w:val="Titre7"/>
    <w:uiPriority w:val="9"/>
    <w:qFormat/>
    <w:rsid w:val="00882422"/>
    <w:rPr>
      <w:rFonts w:ascii="Calibri Light" w:hAnsi="Calibri Light" w:eastAsia="Arial" w:cs="Arial" w:asciiTheme="majorHAnsi" w:cstheme="majorBidi" w:eastAsiaTheme="majorEastAsia" w:hAnsiTheme="majorHAnsi"/>
      <w:b/>
      <w:bCs/>
      <w:color w:val="1F3864" w:themeColor="accent1" w:themeShade="80"/>
    </w:rPr>
  </w:style>
  <w:style w:type="character" w:styleId="Titre8Car" w:customStyle="1">
    <w:name w:val="Titre 8 Car"/>
    <w:basedOn w:val="DefaultParagraphFont"/>
    <w:link w:val="Titre8"/>
    <w:uiPriority w:val="9"/>
    <w:qFormat/>
    <w:rsid w:val="00882422"/>
    <w:rPr>
      <w:rFonts w:ascii="Calibri Light" w:hAnsi="Calibri Light" w:eastAsia="Arial" w:cs="Arial" w:asciiTheme="majorHAnsi" w:cstheme="majorBidi" w:eastAsiaTheme="majorEastAsia" w:hAnsiTheme="majorHAnsi"/>
      <w:b/>
      <w:bCs/>
      <w:i/>
      <w:iCs/>
      <w:color w:val="1F3864" w:themeColor="accent1" w:themeShade="80"/>
    </w:rPr>
  </w:style>
  <w:style w:type="character" w:styleId="Titre9Car" w:customStyle="1">
    <w:name w:val="Titre 9 Car"/>
    <w:basedOn w:val="DefaultParagraphFont"/>
    <w:link w:val="Titre9"/>
    <w:uiPriority w:val="9"/>
    <w:qFormat/>
    <w:rsid w:val="00882422"/>
    <w:rPr>
      <w:rFonts w:ascii="Calibri Light" w:hAnsi="Calibri Light" w:eastAsia="Arial" w:cs="Arial" w:asciiTheme="majorHAnsi" w:cstheme="majorBidi" w:eastAsiaTheme="majorEastAsia" w:hAnsiTheme="majorHAnsi"/>
      <w:i/>
      <w:iCs/>
      <w:color w:val="1F3864" w:themeColor="accent1" w:themeShade="80"/>
    </w:rPr>
  </w:style>
  <w:style w:type="character" w:styleId="TitreCar" w:customStyle="1">
    <w:name w:val="Titre Car"/>
    <w:basedOn w:val="DefaultParagraphFont"/>
    <w:link w:val="Titre"/>
    <w:uiPriority w:val="10"/>
    <w:qFormat/>
    <w:rsid w:val="00882422"/>
    <w:rPr>
      <w:rFonts w:ascii="Calibri Light" w:hAnsi="Calibri Light" w:eastAsia="Arial" w:cs="Arial" w:asciiTheme="majorHAnsi" w:cstheme="majorBidi" w:eastAsiaTheme="majorEastAsia" w:hAnsiTheme="majorHAnsi"/>
      <w:caps/>
      <w:color w:val="44546A" w:themeColor="text2"/>
      <w:spacing w:val="-15"/>
      <w:sz w:val="72"/>
      <w:szCs w:val="72"/>
    </w:rPr>
  </w:style>
  <w:style w:type="character" w:styleId="SoustitreCar" w:customStyle="1">
    <w:name w:val="Sous-titre Car"/>
    <w:basedOn w:val="DefaultParagraphFont"/>
    <w:uiPriority w:val="11"/>
    <w:qFormat/>
    <w:rsid w:val="00882422"/>
    <w:rPr>
      <w:rFonts w:ascii="Calibri Light" w:hAnsi="Calibri Light" w:eastAsia="Arial" w:cs="Arial" w:asciiTheme="majorHAnsi" w:cstheme="majorBidi" w:eastAsiaTheme="majorEastAsia" w:hAnsiTheme="majorHAnsi"/>
      <w:color w:val="4472C4" w:themeColor="accent1"/>
      <w:sz w:val="28"/>
      <w:szCs w:val="28"/>
    </w:rPr>
  </w:style>
  <w:style w:type="character" w:styleId="CitationCar" w:customStyle="1">
    <w:name w:val="Citation Car"/>
    <w:basedOn w:val="DefaultParagraphFont"/>
    <w:link w:val="Citation"/>
    <w:uiPriority w:val="29"/>
    <w:qFormat/>
    <w:rsid w:val="00882422"/>
    <w:rPr>
      <w:color w:val="44546A" w:themeColor="text2"/>
      <w:sz w:val="24"/>
      <w:szCs w:val="24"/>
    </w:rPr>
  </w:style>
  <w:style w:type="character" w:styleId="CitationintenseCar" w:customStyle="1">
    <w:name w:val="Citation intense Car"/>
    <w:basedOn w:val="DefaultParagraphFont"/>
    <w:link w:val="Citationintense"/>
    <w:uiPriority w:val="30"/>
    <w:qFormat/>
    <w:rsid w:val="00882422"/>
    <w:rPr>
      <w:rFonts w:ascii="Calibri Light" w:hAnsi="Calibri Light" w:eastAsia="Arial" w:cs="Arial" w:asciiTheme="majorHAnsi" w:cstheme="majorBidi" w:eastAsiaTheme="majorEastAsia" w:hAnsiTheme="majorHAnsi"/>
      <w:color w:val="44546A" w:themeColor="text2"/>
      <w:spacing w:val="-6"/>
      <w:sz w:val="32"/>
      <w:szCs w:val="32"/>
    </w:rPr>
  </w:style>
  <w:style w:type="character" w:styleId="EntteCar" w:customStyle="1">
    <w:name w:val="En-tête Car"/>
    <w:basedOn w:val="DefaultParagraphFont"/>
    <w:qFormat/>
    <w:rPr/>
  </w:style>
  <w:style w:type="character" w:styleId="FooterChar" w:customStyle="1">
    <w:name w:val="Footer Char"/>
    <w:basedOn w:val="DefaultParagraphFont"/>
    <w:qFormat/>
    <w:rPr/>
  </w:style>
  <w:style w:type="character" w:styleId="PieddepageCar" w:customStyle="1">
    <w:name w:val="Pied de page Car"/>
    <w:link w:val="Pieddepage"/>
    <w:qFormat/>
    <w:rPr/>
  </w:style>
  <w:style w:type="character" w:styleId="NotedebasdepageCar" w:customStyle="1">
    <w:name w:val="Note de bas de page Car"/>
    <w:link w:val="Notedebasdepage"/>
    <w:qFormat/>
    <w:rPr>
      <w:sz w:val="18"/>
    </w:rPr>
  </w:style>
  <w:style w:type="character" w:styleId="NotedefinCar" w:customStyle="1">
    <w:name w:val="Note de fin Car"/>
    <w:link w:val="Notedefin"/>
    <w:qFormat/>
    <w:rPr>
      <w:sz w:val="20"/>
    </w:rPr>
  </w:style>
  <w:style w:type="character" w:styleId="Caractresdenumrotation" w:customStyle="1">
    <w:name w:val="Caractères de numérotation"/>
    <w:qFormat/>
    <w:rPr/>
  </w:style>
  <w:style w:type="character" w:styleId="StandardCar" w:customStyle="1">
    <w:name w:val="Standard Car"/>
    <w:basedOn w:val="DefaultParagraphFont"/>
    <w:link w:val="Standard"/>
    <w:qFormat/>
    <w:rPr>
      <w:rFonts w:ascii="Arial" w:hAnsi="Arial"/>
      <w:sz w:val="20"/>
    </w:rPr>
  </w:style>
  <w:style w:type="character" w:styleId="Sautdindex" w:customStyle="1">
    <w:name w:val="Saut d'index"/>
    <w:qFormat/>
    <w:rPr/>
  </w:style>
  <w:style w:type="character" w:styleId="TextedebullesCar" w:customStyle="1">
    <w:name w:val="Texte de bulles Car"/>
    <w:basedOn w:val="DefaultParagraphFont"/>
    <w:link w:val="Textedebulles"/>
    <w:qFormat/>
    <w:rsid w:val="00fb5030"/>
    <w:rPr>
      <w:rFonts w:ascii="Segoe UI" w:hAnsi="Segoe UI" w:cs="Segoe UI"/>
      <w:color w:val="00000A"/>
      <w:sz w:val="18"/>
      <w:szCs w:val="18"/>
    </w:rPr>
  </w:style>
  <w:style w:type="character" w:styleId="CommentaireCar" w:customStyle="1">
    <w:name w:val="Commentaire Car"/>
    <w:basedOn w:val="DefaultParagraphFont"/>
    <w:qFormat/>
    <w:rsid w:val="00882422"/>
    <w:rPr>
      <w:rFonts w:ascii="Arial" w:hAnsi="Arial"/>
      <w:color w:val="00000A"/>
      <w:sz w:val="20"/>
      <w:szCs w:val="20"/>
    </w:rPr>
  </w:style>
  <w:style w:type="character" w:styleId="Annotationreference">
    <w:name w:val="annotation reference"/>
    <w:basedOn w:val="DefaultParagraphFont"/>
    <w:qFormat/>
    <w:rsid w:val="00882422"/>
    <w:rPr>
      <w:sz w:val="16"/>
      <w:szCs w:val="16"/>
    </w:rPr>
  </w:style>
  <w:style w:type="character" w:styleId="ObjetducommentaireCar" w:customStyle="1">
    <w:name w:val="Objet du commentaire Car"/>
    <w:basedOn w:val="CommentaireCar"/>
    <w:qFormat/>
    <w:rsid w:val="00882422"/>
    <w:rPr>
      <w:rFonts w:ascii="Arial" w:hAnsi="Arial"/>
      <w:b/>
      <w:bCs/>
      <w:color w:val="00000A"/>
      <w:sz w:val="20"/>
      <w:szCs w:val="20"/>
    </w:rPr>
  </w:style>
  <w:style w:type="character" w:styleId="Numrotationdelignes" w:customStyle="1">
    <w:name w:val="Numérotation de lignes"/>
    <w:rsid w:val="00882422"/>
    <w:rPr/>
  </w:style>
  <w:style w:type="character" w:styleId="CommentaireCar1" w:customStyle="1">
    <w:name w:val="Commentaire Car1"/>
    <w:basedOn w:val="DefaultParagraphFont"/>
    <w:link w:val="Commentaire"/>
    <w:qFormat/>
    <w:rsid w:val="00882422"/>
    <w:rPr>
      <w:rFonts w:ascii="Arial" w:hAnsi="Arial"/>
      <w:color w:val="00000A"/>
      <w:sz w:val="20"/>
      <w:szCs w:val="20"/>
    </w:rPr>
  </w:style>
  <w:style w:type="character" w:styleId="ObjetducommentaireCar1" w:customStyle="1">
    <w:name w:val="Objet du commentaire Car1"/>
    <w:basedOn w:val="CommentaireCar1"/>
    <w:link w:val="Objetducommentaire"/>
    <w:qFormat/>
    <w:rsid w:val="00882422"/>
    <w:rPr>
      <w:rFonts w:ascii="Arial" w:hAnsi="Arial"/>
      <w:b/>
      <w:bCs/>
      <w:color w:val="00000A"/>
      <w:sz w:val="20"/>
      <w:szCs w:val="20"/>
    </w:rPr>
  </w:style>
  <w:style w:type="character" w:styleId="Strong">
    <w:name w:val="Strong"/>
    <w:basedOn w:val="DefaultParagraphFont"/>
    <w:uiPriority w:val="22"/>
    <w:qFormat/>
    <w:rsid w:val="00882422"/>
    <w:rPr>
      <w:b/>
      <w:bCs/>
    </w:rPr>
  </w:style>
  <w:style w:type="character" w:styleId="Accentuation">
    <w:name w:val="Accentuation"/>
    <w:basedOn w:val="DefaultParagraphFont"/>
    <w:uiPriority w:val="20"/>
    <w:qFormat/>
    <w:rsid w:val="00882422"/>
    <w:rPr>
      <w:i/>
      <w:iCs/>
    </w:rPr>
  </w:style>
  <w:style w:type="character" w:styleId="SubtleEmphasis">
    <w:name w:val="Subtle Emphasis"/>
    <w:basedOn w:val="DefaultParagraphFont"/>
    <w:uiPriority w:val="19"/>
    <w:qFormat/>
    <w:rsid w:val="00882422"/>
    <w:rPr>
      <w:i/>
      <w:iCs/>
      <w:color w:val="595959" w:themeColor="text1" w:themeTint="a6"/>
    </w:rPr>
  </w:style>
  <w:style w:type="character" w:styleId="IntenseEmphasis">
    <w:name w:val="Intense Emphasis"/>
    <w:basedOn w:val="DefaultParagraphFont"/>
    <w:uiPriority w:val="21"/>
    <w:qFormat/>
    <w:rsid w:val="00882422"/>
    <w:rPr>
      <w:b/>
      <w:bCs/>
      <w:i/>
      <w:iCs/>
    </w:rPr>
  </w:style>
  <w:style w:type="character" w:styleId="SubtleReference">
    <w:name w:val="Subtle Reference"/>
    <w:basedOn w:val="DefaultParagraphFont"/>
    <w:uiPriority w:val="31"/>
    <w:qFormat/>
    <w:rsid w:val="00882422"/>
    <w:rPr>
      <w:smallCaps/>
      <w:color w:val="595959" w:themeColor="text1" w:themeTint="a6"/>
      <w:u w:val="none" w:color="7F7F7F"/>
    </w:rPr>
  </w:style>
  <w:style w:type="character" w:styleId="IntenseReference">
    <w:name w:val="Intense Reference"/>
    <w:basedOn w:val="DefaultParagraphFont"/>
    <w:uiPriority w:val="32"/>
    <w:qFormat/>
    <w:rsid w:val="00882422"/>
    <w:rPr>
      <w:b/>
      <w:bCs/>
      <w:smallCaps/>
      <w:color w:val="44546A" w:themeColor="text2"/>
      <w:u w:val="single"/>
    </w:rPr>
  </w:style>
  <w:style w:type="character" w:styleId="BookTitle">
    <w:name w:val="Book Title"/>
    <w:basedOn w:val="DefaultParagraphFont"/>
    <w:uiPriority w:val="33"/>
    <w:qFormat/>
    <w:rsid w:val="00882422"/>
    <w:rPr>
      <w:b/>
      <w:bCs/>
      <w:smallCaps/>
      <w:spacing w:val="10"/>
    </w:rPr>
  </w:style>
  <w:style w:type="character" w:styleId="TM1Car" w:customStyle="1">
    <w:name w:val="TM 1 Car"/>
    <w:basedOn w:val="DefaultParagraphFont"/>
    <w:link w:val="TM1"/>
    <w:uiPriority w:val="39"/>
    <w:qFormat/>
    <w:rsid w:val="002e1fe4"/>
    <w:rPr>
      <w:rFonts w:ascii="arial gras" w:hAnsi="arial gras"/>
      <w:b/>
      <w:smallCaps/>
      <w:sz w:val="18"/>
    </w:rPr>
  </w:style>
  <w:style w:type="character" w:styleId="Style1Car" w:customStyle="1">
    <w:name w:val="Style1 Car"/>
    <w:basedOn w:val="TM1Car"/>
    <w:link w:val="Style1"/>
    <w:qFormat/>
    <w:rsid w:val="002e1fe4"/>
    <w:rPr>
      <w:rFonts w:ascii="Times New Roman" w:hAnsi="Times New Roman"/>
      <w:b/>
      <w:smallCaps/>
      <w:sz w:val="18"/>
    </w:rPr>
  </w:style>
  <w:style w:type="character" w:styleId="UnresolvedMention">
    <w:name w:val="Unresolved Mention"/>
    <w:basedOn w:val="DefaultParagraphFont"/>
    <w:uiPriority w:val="99"/>
    <w:semiHidden/>
    <w:unhideWhenUsed/>
    <w:qFormat/>
    <w:rsid w:val="00c438e7"/>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pPr>
    <w:rPr>
      <w:rFonts w:ascii="Times New Roman" w:hAnsi="Times New Roman"/>
    </w:rPr>
  </w:style>
  <w:style w:type="paragraph" w:styleId="Titreprincipal">
    <w:name w:val="Title"/>
    <w:basedOn w:val="Normal"/>
    <w:next w:val="Corpsdetexte"/>
    <w:link w:val="TitreCar"/>
    <w:uiPriority w:val="10"/>
    <w:qFormat/>
    <w:rsid w:val="00882422"/>
    <w:pPr>
      <w:spacing w:lineRule="auto" w:line="204" w:before="0" w:after="0"/>
      <w:contextualSpacing/>
    </w:pPr>
    <w:rPr>
      <w:rFonts w:ascii="Calibri Light" w:hAnsi="Calibri Light" w:eastAsia="Arial" w:cs="Arial" w:asciiTheme="majorHAnsi" w:cstheme="majorBidi" w:eastAsiaTheme="majorEastAsia" w:hAnsiTheme="majorHAnsi"/>
      <w:caps/>
      <w:color w:val="44546A" w:themeColor="text2"/>
      <w:spacing w:val="-15"/>
      <w:sz w:val="72"/>
      <w:szCs w:val="72"/>
    </w:rPr>
  </w:style>
  <w:style w:type="paragraph" w:styleId="Caption">
    <w:name w:val="caption"/>
    <w:basedOn w:val="Normal"/>
    <w:next w:val="Normal"/>
    <w:uiPriority w:val="35"/>
    <w:unhideWhenUsed/>
    <w:qFormat/>
    <w:rsid w:val="00882422"/>
    <w:pPr>
      <w:spacing w:lineRule="auto" w:line="240"/>
    </w:pPr>
    <w:rPr>
      <w:b/>
      <w:bCs/>
      <w:smallCaps/>
      <w:color w:val="44546A" w:themeColor="text2"/>
    </w:rPr>
  </w:style>
  <w:style w:type="paragraph" w:styleId="Tableoffigures">
    <w:name w:val="table of figures"/>
    <w:basedOn w:val="Normal"/>
    <w:next w:val="Normal"/>
    <w:unhideWhenUsed/>
    <w:qFormat/>
    <w:pPr/>
    <w:rPr/>
  </w:style>
  <w:style w:type="paragraph" w:styleId="Titre11" w:customStyle="1">
    <w:name w:val="Titre1"/>
    <w:next w:val="Normal"/>
    <w:qFormat/>
    <w:pPr>
      <w:widowControl/>
      <w:shd w:val="clear" w:color="FFFFFF" w:fill="FFFFFF"/>
      <w:suppressAutoHyphens w:val="true"/>
      <w:bidi w:val="0"/>
      <w:spacing w:lineRule="auto" w:line="259" w:before="0" w:after="160"/>
      <w:jc w:val="center"/>
    </w:pPr>
    <w:rPr>
      <w:rFonts w:ascii="Arial" w:hAnsi="Arial" w:eastAsia="simsun, 宋体" w:cs="Times New Roman"/>
      <w:b/>
      <w:color w:val="00000A"/>
      <w:kern w:val="0"/>
      <w:sz w:val="40"/>
      <w:szCs w:val="22"/>
      <w:lang w:val="fr-FR" w:eastAsia="zh-CN" w:bidi="ar-SA"/>
    </w:rPr>
  </w:style>
  <w:style w:type="paragraph" w:styleId="ListParagraph">
    <w:name w:val="List Paragraph"/>
    <w:basedOn w:val="Normal"/>
    <w:uiPriority w:val="34"/>
    <w:qFormat/>
    <w:pPr>
      <w:spacing w:before="0" w:after="160"/>
      <w:ind w:left="720" w:hanging="0"/>
      <w:contextualSpacing/>
    </w:pPr>
    <w:rPr/>
  </w:style>
  <w:style w:type="paragraph" w:styleId="NoSpacing">
    <w:name w:val="No Spacing"/>
    <w:uiPriority w:val="1"/>
    <w:qFormat/>
    <w:rsid w:val="00882422"/>
    <w:pPr>
      <w:widowControl/>
      <w:suppressAutoHyphens w:val="true"/>
      <w:bidi w:val="0"/>
      <w:spacing w:before="0" w:after="0"/>
      <w:jc w:val="left"/>
    </w:pPr>
    <w:rPr>
      <w:rFonts w:ascii="Calibri" w:hAnsi="Calibri" w:eastAsia="Arial" w:cs="Arial" w:asciiTheme="minorHAnsi" w:cstheme="minorBidi" w:eastAsiaTheme="minorEastAsia" w:hAnsiTheme="minorHAnsi"/>
      <w:color w:val="auto"/>
      <w:kern w:val="0"/>
      <w:sz w:val="22"/>
      <w:szCs w:val="22"/>
      <w:lang w:val="fr-FR" w:eastAsia="ja-JP" w:bidi="fa-IR"/>
    </w:rPr>
  </w:style>
  <w:style w:type="paragraph" w:styleId="Soustitre">
    <w:name w:val="Subtitle"/>
    <w:basedOn w:val="Normal"/>
    <w:next w:val="Normal"/>
    <w:uiPriority w:val="11"/>
    <w:qFormat/>
    <w:rsid w:val="00882422"/>
    <w:pPr>
      <w:spacing w:lineRule="auto" w:line="240" w:before="0" w:after="240"/>
    </w:pPr>
    <w:rPr>
      <w:rFonts w:ascii="Calibri Light" w:hAnsi="Calibri Light" w:eastAsia="Arial" w:cs="Arial" w:asciiTheme="majorHAnsi" w:cstheme="majorBidi" w:eastAsiaTheme="majorEastAsia" w:hAnsiTheme="majorHAnsi"/>
      <w:color w:val="4472C4" w:themeColor="accent1"/>
      <w:sz w:val="28"/>
      <w:szCs w:val="28"/>
    </w:rPr>
  </w:style>
  <w:style w:type="paragraph" w:styleId="Quote">
    <w:name w:val="Quote"/>
    <w:basedOn w:val="Normal"/>
    <w:next w:val="Normal"/>
    <w:link w:val="CitationCar"/>
    <w:uiPriority w:val="29"/>
    <w:qFormat/>
    <w:rsid w:val="00882422"/>
    <w:pPr>
      <w:spacing w:before="120" w:after="120"/>
      <w:ind w:left="720" w:hanging="0"/>
    </w:pPr>
    <w:rPr>
      <w:color w:val="44546A" w:themeColor="text2"/>
      <w:sz w:val="24"/>
      <w:szCs w:val="24"/>
    </w:rPr>
  </w:style>
  <w:style w:type="paragraph" w:styleId="IntenseQuote">
    <w:name w:val="Intense Quote"/>
    <w:basedOn w:val="Normal"/>
    <w:next w:val="Normal"/>
    <w:link w:val="CitationintenseCar"/>
    <w:uiPriority w:val="30"/>
    <w:qFormat/>
    <w:rsid w:val="00882422"/>
    <w:pPr>
      <w:spacing w:lineRule="auto" w:line="240" w:beforeAutospacing="1" w:after="240"/>
      <w:ind w:left="720" w:hanging="0"/>
      <w:jc w:val="center"/>
    </w:pPr>
    <w:rPr>
      <w:rFonts w:ascii="Calibri Light" w:hAnsi="Calibri Light" w:eastAsia="Arial" w:cs="Arial" w:asciiTheme="majorHAnsi" w:cstheme="majorBidi" w:eastAsiaTheme="majorEastAsia" w:hAnsiTheme="majorHAnsi"/>
      <w:color w:val="44546A" w:themeColor="text2"/>
      <w:spacing w:val="-6"/>
      <w:sz w:val="32"/>
      <w:szCs w:val="32"/>
    </w:rPr>
  </w:style>
  <w:style w:type="paragraph" w:styleId="Notedebasdepage">
    <w:name w:val="Footnote Text"/>
    <w:basedOn w:val="Normal"/>
    <w:link w:val="NotedebasdepageCar"/>
    <w:unhideWhenUsed/>
    <w:pPr>
      <w:spacing w:before="0" w:after="40"/>
    </w:pPr>
    <w:rPr>
      <w:sz w:val="18"/>
    </w:rPr>
  </w:style>
  <w:style w:type="paragraph" w:styleId="Notedefin">
    <w:name w:val="Endnote Text"/>
    <w:basedOn w:val="Normal"/>
    <w:link w:val="NotedefinCar"/>
    <w:unhideWhenUsed/>
    <w:pPr/>
    <w:rPr/>
  </w:style>
  <w:style w:type="paragraph" w:styleId="Tabledesmatiresniveau4">
    <w:name w:val="TOC 4"/>
    <w:basedOn w:val="Normal"/>
    <w:pPr>
      <w:tabs>
        <w:tab w:val="clear" w:pos="706"/>
        <w:tab w:val="right" w:pos="9128" w:leader="dot"/>
      </w:tabs>
      <w:ind w:left="709" w:hanging="0"/>
    </w:pPr>
    <w:rPr>
      <w:sz w:val="16"/>
    </w:rPr>
  </w:style>
  <w:style w:type="paragraph" w:styleId="Tabledesmatiresniveau5">
    <w:name w:val="TOC 5"/>
    <w:basedOn w:val="Normal"/>
    <w:pPr>
      <w:tabs>
        <w:tab w:val="clear" w:pos="706"/>
        <w:tab w:val="right" w:pos="9015" w:leader="dot"/>
      </w:tabs>
      <w:ind w:left="851" w:hanging="0"/>
    </w:pPr>
    <w:rPr>
      <w:sz w:val="16"/>
    </w:rPr>
  </w:style>
  <w:style w:type="paragraph" w:styleId="Tabledesmatiresniveau6">
    <w:name w:val="TOC 6"/>
    <w:basedOn w:val="Normal"/>
    <w:pPr>
      <w:tabs>
        <w:tab w:val="clear" w:pos="706"/>
        <w:tab w:val="right" w:pos="9015" w:leader="dot"/>
      </w:tabs>
      <w:ind w:left="880" w:hanging="0"/>
    </w:pPr>
    <w:rPr>
      <w:sz w:val="14"/>
    </w:rPr>
  </w:style>
  <w:style w:type="paragraph" w:styleId="Tabledesmatiresniveau7">
    <w:name w:val="TOC 7"/>
    <w:basedOn w:val="Normal"/>
    <w:pPr>
      <w:tabs>
        <w:tab w:val="clear" w:pos="706"/>
        <w:tab w:val="right" w:pos="9015" w:leader="dot"/>
      </w:tabs>
      <w:ind w:left="900" w:hanging="0"/>
    </w:pPr>
    <w:rPr>
      <w:sz w:val="14"/>
    </w:rPr>
  </w:style>
  <w:style w:type="paragraph" w:styleId="Tabledesmatiresniveau8">
    <w:name w:val="TOC 8"/>
    <w:basedOn w:val="Normal"/>
    <w:pPr>
      <w:tabs>
        <w:tab w:val="clear" w:pos="706"/>
        <w:tab w:val="right" w:pos="9015" w:leader="dot"/>
      </w:tabs>
      <w:ind w:left="910" w:hanging="0"/>
    </w:pPr>
    <w:rPr>
      <w:sz w:val="14"/>
    </w:rPr>
  </w:style>
  <w:style w:type="paragraph" w:styleId="Tabledesmatiresniveau9">
    <w:name w:val="TOC 9"/>
    <w:basedOn w:val="Normal"/>
    <w:pPr>
      <w:tabs>
        <w:tab w:val="clear" w:pos="706"/>
        <w:tab w:val="right" w:pos="9015" w:leader="dot"/>
      </w:tabs>
      <w:ind w:left="920" w:hanging="0"/>
    </w:pPr>
    <w:rPr>
      <w:sz w:val="14"/>
    </w:rPr>
  </w:style>
  <w:style w:type="paragraph" w:styleId="Standard" w:customStyle="1">
    <w:name w:val="Standard"/>
    <w:link w:val="StandardCar"/>
    <w:qFormat/>
    <w:pPr>
      <w:widowControl/>
      <w:suppressAutoHyphens w:val="true"/>
      <w:bidi w:val="0"/>
      <w:spacing w:lineRule="auto" w:line="259" w:before="120" w:after="160"/>
      <w:jc w:val="both"/>
    </w:pPr>
    <w:rPr>
      <w:rFonts w:ascii="Arial" w:hAnsi="Arial" w:eastAsia="Arial" w:cs="Arial"/>
      <w:color w:val="00000A"/>
      <w:kern w:val="0"/>
      <w:sz w:val="20"/>
      <w:szCs w:val="22"/>
      <w:lang w:val="fr-FR" w:eastAsia="ja-JP" w:bidi="fa-IR"/>
    </w:rPr>
  </w:style>
  <w:style w:type="paragraph" w:styleId="Tabledesmatiresniveau1">
    <w:name w:val="TOC 1"/>
    <w:basedOn w:val="Normal"/>
    <w:link w:val="TM1Car"/>
    <w:uiPriority w:val="39"/>
    <w:pPr>
      <w:tabs>
        <w:tab w:val="clear" w:pos="706"/>
        <w:tab w:val="right" w:pos="9637" w:leader="dot"/>
      </w:tabs>
      <w:spacing w:before="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pPr>
      <w:tabs>
        <w:tab w:val="clear" w:pos="706"/>
        <w:tab w:val="center" w:pos="4818" w:leader="none"/>
        <w:tab w:val="right" w:pos="9637" w:leader="none"/>
      </w:tabs>
    </w:pPr>
    <w:rPr/>
  </w:style>
  <w:style w:type="paragraph" w:styleId="Tabledesmatiresniveau2">
    <w:name w:val="TOC 2"/>
    <w:basedOn w:val="Normal"/>
    <w:uiPriority w:val="39"/>
    <w:pPr>
      <w:ind w:left="238" w:hanging="0"/>
    </w:pPr>
    <w:rPr>
      <w:sz w:val="18"/>
    </w:rPr>
  </w:style>
  <w:style w:type="paragraph" w:styleId="ContentsHeading" w:customStyle="1">
    <w:name w:val="Contents Heading"/>
    <w:basedOn w:val="Titre11"/>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0" w:after="120"/>
    </w:pPr>
    <w:rPr>
      <w:rFonts w:ascii="arial gras" w:hAnsi="arial gras"/>
      <w:b/>
      <w:smallCaps/>
      <w:sz w:val="18"/>
    </w:rPr>
  </w:style>
  <w:style w:type="paragraph" w:styleId="Contents2" w:customStyle="1">
    <w:name w:val="Contents 2"/>
    <w:basedOn w:val="Index"/>
    <w:qFormat/>
    <w:pPr>
      <w:ind w:left="238" w:hanging="0"/>
    </w:pPr>
    <w:rPr>
      <w:sz w:val="18"/>
    </w:rPr>
  </w:style>
  <w:style w:type="paragraph" w:styleId="Contents3" w:customStyle="1">
    <w:name w:val="Contents 3"/>
    <w:basedOn w:val="Index"/>
    <w:qFormat/>
    <w:pPr>
      <w:tabs>
        <w:tab w:val="clear" w:pos="706"/>
        <w:tab w:val="right" w:pos="9241" w:leader="dot"/>
      </w:tabs>
      <w:ind w:left="482" w:hanging="0"/>
    </w:pPr>
    <w:rPr>
      <w:sz w:val="16"/>
    </w:rPr>
  </w:style>
  <w:style w:type="paragraph" w:styleId="Contents4" w:customStyle="1">
    <w:name w:val="Contents 4"/>
    <w:basedOn w:val="Index"/>
    <w:qFormat/>
    <w:pPr>
      <w:tabs>
        <w:tab w:val="clear" w:pos="706"/>
        <w:tab w:val="right" w:pos="9128" w:leader="dot"/>
      </w:tabs>
      <w:ind w:left="709" w:hanging="0"/>
    </w:pPr>
    <w:rPr>
      <w:sz w:val="16"/>
    </w:rPr>
  </w:style>
  <w:style w:type="paragraph" w:styleId="Contents5" w:customStyle="1">
    <w:name w:val="Contents 5"/>
    <w:basedOn w:val="Index"/>
    <w:qFormat/>
    <w:pPr>
      <w:tabs>
        <w:tab w:val="clear" w:pos="706"/>
        <w:tab w:val="right" w:pos="9015" w:leader="dot"/>
      </w:tabs>
      <w:ind w:left="851" w:hanging="0"/>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11"/>
    <w:next w:val="Normal"/>
    <w:qFormat/>
    <w:pPr/>
    <w:rPr>
      <w:bCs/>
    </w:rPr>
  </w:style>
  <w:style w:type="paragraph" w:styleId="Tableau" w:customStyle="1">
    <w:name w:val="Tableau"/>
    <w:basedOn w:val="Caption"/>
    <w:qFormat/>
    <w:pPr/>
    <w:rPr>
      <w:i/>
      <w:sz w:val="17"/>
    </w:rPr>
  </w:style>
  <w:style w:type="paragraph" w:styleId="Indexheading">
    <w:name w:val="index heading"/>
    <w:basedOn w:val="Titreprincipal"/>
    <w:qFormat/>
    <w:pPr/>
    <w:rPr/>
  </w:style>
  <w:style w:type="paragraph" w:styleId="Indexlexicaltitre">
    <w:name w:val="Index Heading"/>
    <w:basedOn w:val="Titre"/>
    <w:pPr/>
    <w:rPr/>
  </w:style>
  <w:style w:type="paragraph" w:styleId="Titredetabledesmatires">
    <w:name w:val="TOC Heading"/>
    <w:basedOn w:val="Titre1"/>
    <w:next w:val="Normal"/>
    <w:uiPriority w:val="39"/>
    <w:unhideWhenUsed/>
    <w:qFormat/>
    <w:rsid w:val="00882422"/>
    <w:pPr>
      <w:outlineLvl w:val="9"/>
    </w:pPr>
    <w:rPr/>
  </w:style>
  <w:style w:type="paragraph" w:styleId="Tabledesmatiresniveau3">
    <w:name w:val="TOC 3"/>
    <w:basedOn w:val="Normal"/>
    <w:uiPriority w:val="39"/>
    <w:pPr>
      <w:tabs>
        <w:tab w:val="clear" w:pos="706"/>
        <w:tab w:val="right" w:pos="9241" w:leader="dot"/>
      </w:tabs>
      <w:ind w:left="482" w:hanging="0"/>
    </w:pPr>
    <w:rPr>
      <w:sz w:val="16"/>
    </w:rPr>
  </w:style>
  <w:style w:type="paragraph" w:styleId="TM11" w:customStyle="1">
    <w:name w:val="TM 11"/>
    <w:basedOn w:val="Index"/>
    <w:qFormat/>
    <w:pPr>
      <w:tabs>
        <w:tab w:val="clear" w:pos="706"/>
        <w:tab w:val="right" w:pos="9637" w:leader="dot"/>
      </w:tabs>
      <w:spacing w:before="0" w:after="120"/>
    </w:pPr>
    <w:rPr>
      <w:rFonts w:ascii="arial gras" w:hAnsi="arial gras"/>
      <w:b/>
      <w:smallCaps/>
      <w:sz w:val="18"/>
    </w:rPr>
  </w:style>
  <w:style w:type="paragraph" w:styleId="TM21" w:customStyle="1">
    <w:name w:val="TM 21"/>
    <w:basedOn w:val="Index"/>
    <w:qFormat/>
    <w:pPr>
      <w:ind w:left="238" w:hanging="0"/>
    </w:pPr>
    <w:rPr>
      <w:rFonts w:ascii="Arial" w:hAnsi="Arial"/>
      <w:sz w:val="18"/>
    </w:rPr>
  </w:style>
  <w:style w:type="paragraph" w:styleId="TM31" w:customStyle="1">
    <w:name w:val="TM 31"/>
    <w:basedOn w:val="Index"/>
    <w:qFormat/>
    <w:pPr>
      <w:tabs>
        <w:tab w:val="clear" w:pos="706"/>
        <w:tab w:val="right" w:pos="9241" w:leader="dot"/>
      </w:tabs>
      <w:ind w:left="482" w:hanging="0"/>
    </w:pPr>
    <w:rPr>
      <w:rFonts w:ascii="Arial" w:hAnsi="Arial"/>
      <w:sz w:val="16"/>
    </w:rPr>
  </w:style>
  <w:style w:type="paragraph" w:styleId="Western" w:customStyle="1">
    <w:name w:val="western"/>
    <w:basedOn w:val="Normal"/>
    <w:qFormat/>
    <w:rsid w:val="00654e44"/>
    <w:pPr>
      <w:keepNext w:val="true"/>
      <w:spacing w:beforeAutospacing="1" w:after="160"/>
    </w:pPr>
    <w:rPr>
      <w:rFonts w:eastAsia="Times New Roman" w:cs="Arial"/>
      <w:szCs w:val="20"/>
      <w:lang w:eastAsia="fr-FR" w:bidi="ar-SA"/>
    </w:rPr>
  </w:style>
  <w:style w:type="paragraph" w:styleId="BalloonText">
    <w:name w:val="Balloon Text"/>
    <w:basedOn w:val="Normal"/>
    <w:link w:val="TextedebullesCar"/>
    <w:unhideWhenUsed/>
    <w:qFormat/>
    <w:rsid w:val="00fb5030"/>
    <w:pPr/>
    <w:rPr>
      <w:rFonts w:ascii="Segoe UI" w:hAnsi="Segoe UI" w:cs="Segoe UI"/>
      <w:sz w:val="18"/>
      <w:szCs w:val="18"/>
    </w:rPr>
  </w:style>
  <w:style w:type="paragraph" w:styleId="Docdata" w:customStyle="1">
    <w:name w:val="docdata"/>
    <w:basedOn w:val="Normal"/>
    <w:qFormat/>
    <w:rsid w:val="00882422"/>
    <w:pPr>
      <w:spacing w:before="280" w:after="280"/>
    </w:pPr>
    <w:rPr>
      <w:rFonts w:ascii="Times New Roman" w:hAnsi="Times New Roman" w:eastAsia="Times New Roman" w:cs="Times New Roman"/>
      <w:sz w:val="24"/>
      <w:lang w:eastAsia="fr-FR" w:bidi="ar-SA"/>
    </w:rPr>
  </w:style>
  <w:style w:type="paragraph" w:styleId="Annotationtext">
    <w:name w:val="annotation text"/>
    <w:basedOn w:val="Normal"/>
    <w:link w:val="CommentaireCar1"/>
    <w:qFormat/>
    <w:rsid w:val="00882422"/>
    <w:pPr/>
    <w:rPr>
      <w:szCs w:val="20"/>
    </w:rPr>
  </w:style>
  <w:style w:type="paragraph" w:styleId="Annotationsubject">
    <w:name w:val="annotation subject"/>
    <w:basedOn w:val="Annotationtext"/>
    <w:next w:val="Annotationtext"/>
    <w:link w:val="ObjetducommentaireCar1"/>
    <w:qFormat/>
    <w:rsid w:val="00882422"/>
    <w:pPr/>
    <w:rPr>
      <w:b/>
      <w:bCs/>
    </w:rPr>
  </w:style>
  <w:style w:type="paragraph" w:styleId="Revision">
    <w:name w:val="Revision"/>
    <w:qFormat/>
    <w:rsid w:val="00882422"/>
    <w:pPr>
      <w:widowControl/>
      <w:suppressAutoHyphens w:val="true"/>
      <w:bidi w:val="0"/>
      <w:spacing w:lineRule="auto" w:line="259" w:before="0" w:after="160"/>
      <w:jc w:val="left"/>
    </w:pPr>
    <w:rPr>
      <w:rFonts w:ascii="Arial" w:hAnsi="Arial" w:eastAsia="Arial" w:cs="Arial"/>
      <w:color w:val="00000A"/>
      <w:kern w:val="0"/>
      <w:sz w:val="20"/>
      <w:szCs w:val="22"/>
      <w:lang w:val="fr-FR" w:eastAsia="ja-JP" w:bidi="fa-IR"/>
    </w:rPr>
  </w:style>
  <w:style w:type="paragraph" w:styleId="Style11" w:customStyle="1">
    <w:name w:val="Style1"/>
    <w:basedOn w:val="Tabledesmatiresniveau1"/>
    <w:link w:val="Style1Car"/>
    <w:qFormat/>
    <w:rsid w:val="002e1fe4"/>
    <w:pPr>
      <w:tabs>
        <w:tab w:val="left" w:pos="1107" w:leader="none"/>
        <w:tab w:val="right" w:pos="9637" w:leader="dot"/>
      </w:tabs>
      <w:spacing w:lineRule="auto" w:line="240" w:before="0" w:after="0"/>
    </w:pPr>
    <w:rPr>
      <w:rFonts w:ascii="Times New Roman" w:hAnsi="Times New Roman"/>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Aucuneliste1" w:customStyle="1">
    <w:name w:val="Aucune liste1"/>
    <w:uiPriority w:val="99"/>
    <w:semiHidden/>
    <w:unhideWhenUsed/>
    <w:qFormat/>
    <w:rsid w:val="00882422"/>
  </w:style>
  <w:style w:type="numbering" w:styleId="Numbering111" w:customStyle="1">
    <w:name w:val="Numbering 1_11"/>
    <w:qFormat/>
    <w:rsid w:val="00882422"/>
  </w:style>
  <w:style w:type="numbering" w:styleId="Numrotation21" w:customStyle="1">
    <w:name w:val="Numérotation 21"/>
    <w:qFormat/>
    <w:rsid w:val="00882422"/>
  </w:style>
  <w:style w:type="numbering" w:styleId="Numrotation31" w:customStyle="1">
    <w:name w:val="Numérotation 31"/>
    <w:qFormat/>
    <w:rsid w:val="00882422"/>
  </w:style>
  <w:style w:type="numbering" w:styleId="Numrotation41" w:customStyle="1">
    <w:name w:val="Numérotation 41"/>
    <w:qFormat/>
    <w:rsid w:val="00882422"/>
  </w:style>
  <w:style w:type="numbering" w:styleId="Numrotation51" w:customStyle="1">
    <w:name w:val="Numérotation 51"/>
    <w:qFormat/>
    <w:rsid w:val="00882422"/>
  </w:style>
  <w:style w:type="numbering" w:styleId="Puce11" w:customStyle="1">
    <w:name w:val="Puce 11"/>
    <w:qFormat/>
    <w:rsid w:val="00882422"/>
  </w:style>
  <w:style w:type="numbering" w:styleId="Liste211" w:customStyle="1">
    <w:name w:val="Liste 211"/>
    <w:qFormat/>
    <w:rsid w:val="00882422"/>
  </w:style>
  <w:style w:type="numbering" w:styleId="Liste311" w:customStyle="1">
    <w:name w:val="Liste 311"/>
    <w:qFormat/>
    <w:rsid w:val="00882422"/>
  </w:style>
  <w:style w:type="numbering" w:styleId="Liste411" w:customStyle="1">
    <w:name w:val="Liste 411"/>
    <w:qFormat/>
    <w:rsid w:val="00882422"/>
  </w:style>
  <w:style w:type="numbering" w:styleId="Liste511" w:customStyle="1">
    <w:name w:val="Liste 511"/>
    <w:qFormat/>
    <w:rsid w:val="00882422"/>
  </w:style>
  <w:style w:type="numbering" w:styleId="RTFNum21" w:customStyle="1">
    <w:name w:val="RTF_Num 21"/>
    <w:qFormat/>
    <w:rsid w:val="00882422"/>
  </w:style>
  <w:style w:type="numbering" w:styleId="RTFNum31" w:customStyle="1">
    <w:name w:val="RTF_Num 31"/>
    <w:qFormat/>
    <w:rsid w:val="00882422"/>
  </w:style>
  <w:style w:type="numbering" w:styleId="RTFNum41" w:customStyle="1">
    <w:name w:val="RTF_Num 41"/>
    <w:qFormat/>
    <w:rsid w:val="00882422"/>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4">
    <w:name w:val="Plain Table 4"/>
    <w:basedOn w:val="Tableau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FFFFFF"/>
      </w:tcPr>
    </w:tblStylePr>
    <w:tblStylePr w:type="lastRow">
      <w:rPr>
        <w:i/>
        <w:color w:val="404040"/>
      </w:rPr>
      <w:tblPr/>
      <w:tcPr>
        <w:tcBorders>
          <w:top w:val="single" w:color="404040" w:sz="4" w:space="0"/>
          <w:left w:val="none" w:color="000000" w:sz="4" w:space="0"/>
          <w:right w:val="none" w:color="000000" w:sz="4" w:space="0"/>
        </w:tcBorders>
        <w:shd w:val="clear" w:color="FFFFFF" w:fill="FFFFFF"/>
      </w:tcPr>
    </w:tblStylePr>
    <w:tblStylePr w:type="firstCol">
      <w:pPr>
        <w:jc w:val="right"/>
      </w:pPr>
      <w:rPr>
        <w:i/>
        <w:color w:val="404040"/>
      </w:rPr>
      <w:tblPr/>
      <w:tcPr>
        <w:tcBorders>
          <w:right w:val="single" w:color="404040" w:sz="4" w:space="0"/>
        </w:tcBorders>
        <w:shd w:val="clear" w:color="FFFFFF" w:fill="FFFFFF"/>
      </w:tcPr>
    </w:tblStylePr>
    <w:tblStylePr w:type="lastCol">
      <w:rPr>
        <w:i/>
        <w:color w:val="404040"/>
      </w:rPr>
      <w:tblPr/>
      <w:tcPr>
        <w:tcBorders>
          <w:left w:val="single" w:color="404040" w:sz="4" w:space="0"/>
        </w:tcBorders>
        <w:shd w:val="clear" w:color="FFFFFF" w:fill="FFFFFF"/>
      </w:tc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FFFFFF"/>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FFFFFF"/>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FFFFFF"/>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FFFFFF"/>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FFFFFF"/>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FFFFFF"/>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leauNormal"/>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leau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leauNormal"/>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leau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F2F2F2" w:fill="FFFFFF" w:themeFill="text1" w:themeFillTint="0"/>
      </w:tcPr>
    </w:tblStylePr>
    <w:tblStylePr w:type="band1Horz">
      <w:rPr>
        <w:color w:val="7F7F7F" w:themeColor="text1" w:themeTint="80" w:themeShade="95"/>
        <w:sz w:val="22"/>
      </w:rPr>
      <w:tblPr/>
      <w:tcPr>
        <w:shd w:val="clear" w:color="F2F2F2" w:fill="FFFFFF" w:themeFill="text1" w:themeFillTint="0"/>
      </w:tcPr>
    </w:tblStylePr>
    <w:tblStylePr w:type="band2Horz">
      <w:rPr>
        <w:color w:val="7F7F7F" w:themeColor="text1" w:themeTint="80" w:themeShade="95"/>
        <w:sz w:val="22"/>
      </w:rPr>
      <w:tblPr/>
    </w:tblStylePr>
  </w:style>
  <w:style w:type="table" w:customStyle="1" w:styleId="GridTable7Colorful-Accent1">
    <w:name w:val="Grid Table 7 Colorful - Accent 1"/>
    <w:basedOn w:val="TableauNormal"/>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0B7E1" w:themeColor="accent1" w:themeTint="80"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A0B7E1" w:themeColor="accent1" w:themeTint="80"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leau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leau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A5A5A5"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leau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leauNormal"/>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45A8D" w:themeColor="accent5"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245A8D" w:themeColor="accent5"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leau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416429"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416429"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eauNormal"/>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leau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leauNormal"/>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leau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leauNormal"/>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leau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leau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leau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leauNormal"/>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leau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leauNormal"/>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leauNormal"/>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leauNormal"/>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9C9C9"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C9C9C9"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leauNormal"/>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leauNormal"/>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BC2E5" w:themeColor="accent5" w:themeTint="9a"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9BC2E5" w:themeColor="accent5" w:themeTint="9a"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leauNormal"/>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9D08E"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A9D08E"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Lined-Accent1">
    <w:name w:val="Lined - Accent 1"/>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lang w:eastAsia="fr-FR"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BorderedLined-Accent1">
    <w:name w:val="Bordered &amp; Lined - Accent 1"/>
    <w:basedOn w:val="TableauNormal"/>
    <w:uiPriority w:val="99"/>
    <w:rPr>
      <w:lang w:eastAsia="fr-FR" w:bidi="ar-SA"/>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Pr>
      <w:lang w:eastAsia="fr-FR" w:bidi="ar-SA"/>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lang w:eastAsia="fr-FR" w:bidi="ar-SA"/>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lang w:eastAsia="fr-FR" w:bidi="ar-SA"/>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lang w:eastAsia="fr-FR" w:bidi="ar-SA"/>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Pr>
      <w:lang w:eastAsia="fr-FR" w:bidi="ar-SA"/>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e-attestations.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LibreOffice/7.2.7.2$Windows_x86 LibreOffice_project/8d71d29d553c0f7dcbfa38fbfda25ee34cce99a2</Application>
  <AppVersion>15.0000</AppVersion>
  <Pages>21</Pages>
  <Words>6555</Words>
  <Characters>35608</Characters>
  <CharactersWithSpaces>41848</CharactersWithSpaces>
  <Paragraphs>413</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2023-04-06T11:49:00Z</dcterms:created>
  <dc:creator>PRB</dc:creator>
  <dc:description/>
  <dc:language>fr-FR</dc:language>
  <cp:lastModifiedBy/>
  <cp:lastPrinted>2023-03-20T14:45:00Z</cp:lastPrinted>
  <dcterms:modified xsi:type="dcterms:W3CDTF">2023-04-14T09:07:32Z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