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color w:val="000000"/>
          <w:highlight w:val="none"/>
          <w:shd w:fill="FFFFFF" w:val="clear"/>
        </w:rPr>
      </w:pPr>
      <w:r>
        <w:rPr>
          <w:rFonts w:cs="Arial"/>
          <w:color w:val="000000"/>
          <w:sz w:val="36"/>
          <w:szCs w:val="36"/>
          <w:shd w:fill="FFFFFF" w:val="clear"/>
        </w:rPr>
        <w:t>Mairie de Marseille</w:t>
      </w:r>
    </w:p>
    <w:p>
      <w:pPr>
        <w:pStyle w:val="Standard"/>
        <w:jc w:val="center"/>
        <w:rPr>
          <w:color w:val="000000"/>
          <w:highlight w:val="none"/>
          <w:shd w:fill="FFFFFF" w:val="clear"/>
        </w:rPr>
      </w:pPr>
      <w:r>
        <w:rPr>
          <w:rFonts w:cs="Arial"/>
          <w:color w:val="000000"/>
          <w:sz w:val="36"/>
          <w:szCs w:val="36"/>
          <w:shd w:fill="FFFFFF" w:val="clear"/>
        </w:rPr>
        <w:t>DIRECTION DE LA SANTE PUBLIQUE ET DE L’INCLUSION</w:t>
      </w:r>
    </w:p>
    <w:p>
      <w:pPr>
        <w:pStyle w:val="Titre11"/>
        <w:shd w:val="clear" w:color="FFFFFF" w:fill="FFFFFF"/>
        <w:jc w:val="left"/>
        <w:rPr>
          <w:color w:val="000000"/>
          <w:sz w:val="44"/>
          <w:szCs w:val="44"/>
          <w:highlight w:val="none"/>
          <w:shd w:fill="FFFFFF" w:val="clear"/>
        </w:rPr>
      </w:pPr>
      <w:r>
        <w:rPr>
          <w:color w:val="000000"/>
          <w:sz w:val="44"/>
          <w:szCs w:val="44"/>
          <w:shd w:fill="FFFFFF" w:val="clear"/>
        </w:rPr>
      </w:r>
    </w:p>
    <w:p>
      <w:pPr>
        <w:pStyle w:val="Titre11"/>
        <w:shd w:val="clear" w:color="FFFFFF" w:fill="FFFFFF"/>
        <w:jc w:val="center"/>
        <w:rPr>
          <w:color w:val="000000"/>
          <w:highlight w:val="none"/>
          <w:shd w:fill="FFFFFF" w:val="clear"/>
        </w:rPr>
      </w:pPr>
      <w:r>
        <w:rPr>
          <w:rFonts w:cs="Arial"/>
          <w:color w:val="000000"/>
          <w:sz w:val="44"/>
          <w:szCs w:val="44"/>
          <w:shd w:fill="FFFFFF" w:val="clear"/>
        </w:rPr>
        <w:t>Cahier des Clauses Administratives Particulières</w:t>
      </w:r>
    </w:p>
    <w:p>
      <w:pPr>
        <w:pStyle w:val="Titre11"/>
        <w:shd w:val="clear" w:color="FFFFFF" w:fill="FFFFFF"/>
        <w:jc w:val="left"/>
        <w:rPr>
          <w:color w:val="000000"/>
          <w:sz w:val="44"/>
          <w:szCs w:val="44"/>
          <w:highlight w:val="none"/>
          <w:shd w:fill="FFFFFF" w:val="clear"/>
        </w:rPr>
      </w:pPr>
      <w:r>
        <w:rPr>
          <w:color w:val="000000"/>
          <w:sz w:val="44"/>
          <w:szCs w:val="44"/>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color w:val="000000"/>
          <w:highlight w:val="none"/>
          <w:shd w:fill="FFFFFF" w:val="clear"/>
        </w:rPr>
      </w:pPr>
      <w:r>
        <w:rPr>
          <w:rFonts w:cs="Arial"/>
          <w:color w:val="000000"/>
          <w:sz w:val="36"/>
          <w:szCs w:val="36"/>
          <w:shd w:fill="FFFFFF" w:val="clear"/>
        </w:rPr>
        <w:t>Désinsectisation des punaises de lit au sein des établissements municipaux 2 lots</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color w:val="000000"/>
          <w:sz w:val="20"/>
          <w:szCs w:val="20"/>
          <w:highlight w:val="none"/>
          <w:shd w:fill="FFFFFF" w:val="clear"/>
        </w:rPr>
      </w:pPr>
      <w:r>
        <w:rPr>
          <w:rFonts w:cs="Arial"/>
          <w:color w:val="000000"/>
          <w:sz w:val="20"/>
          <w:szCs w:val="20"/>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Standard"/>
        <w:rPr>
          <w:rFonts w:cs="Arial"/>
          <w:color w:val="000000"/>
          <w:sz w:val="20"/>
          <w:szCs w:val="20"/>
          <w:highlight w:val="none"/>
          <w:shd w:fill="FFFFFF" w:val="clear"/>
        </w:rPr>
      </w:pPr>
      <w:r>
        <w:rPr>
          <w:rFonts w:cs="Arial"/>
          <w:color w:val="000000"/>
          <w:sz w:val="20"/>
          <w:szCs w:val="20"/>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Numéro de la consultation :</w:t>
      </w:r>
      <w:r>
        <w:rPr>
          <w:rFonts w:cs="Arial"/>
          <w:color w:val="000000"/>
          <w:sz w:val="24"/>
          <w:szCs w:val="24"/>
          <w:shd w:fill="FFFFFF" w:val="clear"/>
        </w:rPr>
        <w:t xml:space="preserve"> </w:t>
      </w:r>
      <w:bookmarkStart w:id="0" w:name="__DdeLink__57_1273219247"/>
      <w:bookmarkEnd w:id="0"/>
      <w:r>
        <w:rPr>
          <w:rFonts w:cs="Arial"/>
          <w:color w:val="000000"/>
          <w:sz w:val="24"/>
          <w:szCs w:val="24"/>
          <w:shd w:fill="FFFFFF" w:val="clear"/>
        </w:rPr>
        <w:tab/>
        <w:t>22_1142</w:t>
      </w:r>
    </w:p>
    <w:p>
      <w:pPr>
        <w:pStyle w:val="Standard"/>
        <w:rPr>
          <w:rFonts w:cs="Arial"/>
          <w:color w:val="000000"/>
          <w:sz w:val="24"/>
          <w:szCs w:val="24"/>
          <w:highlight w:val="none"/>
          <w:shd w:fill="FFFFFF" w:val="clear"/>
        </w:rPr>
      </w:pPr>
      <w:r>
        <w:rPr>
          <w:rFonts w:cs="Arial"/>
          <w:color w:val="000000"/>
          <w:sz w:val="24"/>
          <w:szCs w:val="24"/>
          <w:shd w:fill="FFFFFF" w:val="clear"/>
        </w:rPr>
      </w:r>
    </w:p>
    <w:p>
      <w:pPr>
        <w:pStyle w:val="Standard"/>
        <w:tabs>
          <w:tab w:val="clear" w:pos="706"/>
          <w:tab w:val="left" w:pos="3600" w:leader="none"/>
        </w:tabs>
        <w:ind w:left="3600" w:hanging="3600"/>
        <w:rPr>
          <w:color w:val="000000"/>
          <w:highlight w:val="none"/>
          <w:shd w:fill="FFFFFF" w:val="clear"/>
        </w:rPr>
      </w:pPr>
      <w:r>
        <w:rPr>
          <w:rFonts w:cs="Arial"/>
          <w:b/>
          <w:bCs/>
          <w:color w:val="000000"/>
          <w:sz w:val="24"/>
          <w:szCs w:val="24"/>
          <w:u w:val="single"/>
          <w:shd w:fill="FFFFFF" w:val="clear"/>
        </w:rPr>
        <w:t>Procédure de passation :</w:t>
      </w:r>
      <w:r>
        <w:rPr>
          <w:rFonts w:cs="Arial"/>
          <w:color w:val="000000"/>
          <w:sz w:val="24"/>
          <w:szCs w:val="24"/>
          <w:shd w:fill="FFFFFF" w:val="clear"/>
        </w:rPr>
        <w:t xml:space="preserve"> </w:t>
        <w:tab/>
        <w:t>MAPA ouvert avec BOAMP</w:t>
      </w:r>
    </w:p>
    <w:p>
      <w:pPr>
        <w:pStyle w:val="Standard"/>
        <w:tabs>
          <w:tab w:val="clear" w:pos="706"/>
          <w:tab w:val="left" w:pos="3600" w:leader="none"/>
        </w:tabs>
        <w:rPr>
          <w:rFonts w:cs="Arial"/>
          <w:b/>
          <w:b/>
          <w:color w:val="000000"/>
          <w:sz w:val="24"/>
          <w:szCs w:val="24"/>
          <w:highlight w:val="none"/>
          <w:u w:val="single"/>
          <w:shd w:fill="FFFFFF" w:val="clear"/>
        </w:rPr>
      </w:pPr>
      <w:r>
        <w:rPr>
          <w:rFonts w:cs="Arial"/>
          <w:b/>
          <w:color w:val="000000"/>
          <w:sz w:val="24"/>
          <w:szCs w:val="24"/>
          <w:u w:val="single"/>
          <w:shd w:fill="FFFFFF" w:val="clear"/>
        </w:rPr>
      </w:r>
    </w:p>
    <w:p>
      <w:pPr>
        <w:pStyle w:val="Standard"/>
        <w:tabs>
          <w:tab w:val="clear" w:pos="706"/>
          <w:tab w:val="left" w:pos="3600" w:leader="none"/>
        </w:tabs>
        <w:ind w:left="3600" w:hanging="3600"/>
        <w:rPr>
          <w:color w:val="000000"/>
          <w:sz w:val="20"/>
          <w:szCs w:val="20"/>
          <w:highlight w:val="none"/>
          <w:shd w:fill="FFFFFF" w:val="clear"/>
        </w:rPr>
      </w:pPr>
      <w:r>
        <w:rPr>
          <w:color w:val="000000"/>
          <w:sz w:val="20"/>
          <w:szCs w:val="20"/>
          <w:shd w:fill="FFFFFF" w:val="clear"/>
        </w:rPr>
      </w:r>
    </w:p>
    <w:p>
      <w:pPr>
        <w:pStyle w:val="Standard"/>
        <w:rPr>
          <w:color w:val="000000"/>
          <w:highlight w:val="none"/>
          <w:shd w:fill="FFFFFF" w:val="clear"/>
        </w:rPr>
      </w:pPr>
      <w:r>
        <w:rPr>
          <w:color w:val="000000"/>
          <w:shd w:fill="FFFFFF" w:val="clear"/>
        </w:rPr>
      </w:r>
    </w:p>
    <w:p>
      <w:pPr>
        <w:pStyle w:val="Normal"/>
        <w:widowControl w:val="false"/>
        <w:spacing w:before="0" w:after="0"/>
        <w:jc w:val="left"/>
        <w:rPr>
          <w:color w:val="000000"/>
          <w:highlight w:val="none"/>
          <w:shd w:fill="FFFFFF" w:val="clear"/>
        </w:rPr>
      </w:pPr>
      <w:r>
        <w:rPr>
          <w:color w:val="000000"/>
          <w:shd w:fill="FFFFFF" w:val="clear"/>
        </w:rPr>
      </w:r>
    </w:p>
    <w:p>
      <w:pPr>
        <w:pStyle w:val="ContentsHeading"/>
        <w:rPr>
          <w:color w:val="000000"/>
          <w:highlight w:val="none"/>
          <w:shd w:fill="FFFFFF" w:val="clear"/>
        </w:rPr>
      </w:pPr>
      <w:r>
        <w:rPr>
          <w:color w:val="000000"/>
          <w:shd w:fill="FFFFFF" w:val="clear"/>
        </w:rPr>
        <w:t>Sommaire</w:t>
      </w:r>
    </w:p>
    <w:p>
      <w:pPr>
        <w:pStyle w:val="Tabledesmatiresniveau1"/>
        <w:tabs>
          <w:tab w:val="right" w:pos="8290" w:leader="dot"/>
          <w:tab w:val="right" w:pos="9637" w:leader="dot"/>
        </w:tabs>
        <w:rPr/>
      </w:pPr>
      <w:hyperlink w:anchor="_Toc3844" w:tgtFrame="#_Toc3844">
        <w:r>
          <w:rPr>
            <w:color w:val="000000"/>
            <w:shd w:fill="FFFFFF" w:val="clear"/>
          </w:rPr>
          <w:t>Article 1 - OBJET ET DUREE DU MARCHE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_Toc3844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_Toc3844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845" w:tgtFrame="#_Toc3845">
        <w:r>
          <w:rPr>
            <w:color w:val="000000"/>
            <w:shd w:fill="FFFFFF" w:val="clear"/>
          </w:rPr>
          <w:t>1.1 Intitulé et Objet des prestations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_Toc3845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_Toc3845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846" w:tgtFrame="#_Toc3846">
        <w:r>
          <w:rPr>
            <w:color w:val="000000"/>
            <w:shd w:fill="FFFFFF" w:val="clear"/>
          </w:rPr>
          <w:t>1.2 Procédure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_Toc3846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_Toc3846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847" w:tgtFrame="#_Toc3847">
        <w:r>
          <w:rPr>
            <w:color w:val="000000"/>
            <w:shd w:fill="FFFFFF" w:val="clear"/>
          </w:rPr>
          <w:t>1.3 Décomposition en Lots, Tranches et postes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_Toc3847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_Toc3847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3"/>
        <w:tabs>
          <w:tab w:val="right" w:pos="8290" w:leader="dot"/>
          <w:tab w:val="right" w:pos="9241" w:leader="dot"/>
        </w:tabs>
        <w:rPr/>
      </w:pPr>
      <w:hyperlink w:anchor="_Toc3848" w:tgtFrame="#_Toc3848">
        <w:r>
          <w:rPr>
            <w:color w:val="000000"/>
            <w:shd w:fill="FFFFFF" w:val="clear"/>
          </w:rPr>
          <w:t>1.3.1 Décomposition en lots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_Toc3848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_Toc3848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3"/>
        <w:tabs>
          <w:tab w:val="right" w:pos="8290" w:leader="dot"/>
          <w:tab w:val="right" w:pos="9241" w:leader="dot"/>
        </w:tabs>
        <w:rPr/>
      </w:pPr>
      <w:hyperlink w:anchor="_Toc3849" w:tgtFrame="#_Toc3849">
        <w:r>
          <w:rPr>
            <w:color w:val="000000"/>
            <w:shd w:fill="FFFFFF" w:val="clear"/>
          </w:rPr>
          <w:t>1.3.2 Décomposition en tranches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_Toc3849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_Toc3849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3"/>
        <w:tabs>
          <w:tab w:val="right" w:pos="8290" w:leader="dot"/>
          <w:tab w:val="right" w:pos="9241" w:leader="dot"/>
        </w:tabs>
        <w:rPr/>
      </w:pPr>
      <w:hyperlink w:anchor="_Toc3850" w:tgtFrame="#_Toc3850">
        <w:r>
          <w:rPr>
            <w:color w:val="000000"/>
            <w:shd w:fill="FFFFFF" w:val="clear"/>
          </w:rPr>
          <w:t>1.3.3 Décomposition en postes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_Toc3850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851" w:tgtFrame="#_Toc3851">
        <w:r>
          <w:rPr>
            <w:color w:val="000000"/>
            <w:shd w:fill="FFFFFF" w:val="clear"/>
          </w:rPr>
          <w:t>1.4 Modalités d'exécution des tranches optionnelles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_Toc3851 \h </w:instrText>
        </w:r>
        <w:r>
          <w:rPr>
            <w:shd w:fill="FFFFFF" w:val="clear"/>
            <w:color w:val="000000"/>
          </w:rPr>
          <w:fldChar w:fldCharType="separate"/>
        </w:r>
        <w:r>
          <w:rPr>
            <w:shd w:fill="FFFFFF" w:val="clear"/>
            <w:color w:val="000000"/>
          </w:rPr>
          <w:t>4</w:t>
        </w:r>
        <w:r>
          <w:rPr>
            <w:shd w:fill="FFFFFF" w:val="clear"/>
            <w:color w:val="000000"/>
          </w:rPr>
          <w:fldChar w:fldCharType="end"/>
        </w:r>
      </w:hyperlink>
    </w:p>
    <w:p>
      <w:pPr>
        <w:pStyle w:val="Tabledesmatiresniveau2"/>
        <w:tabs>
          <w:tab w:val="clear" w:pos="706"/>
          <w:tab w:val="right" w:pos="8290" w:leader="dot"/>
        </w:tabs>
        <w:rPr/>
      </w:pPr>
      <w:hyperlink w:anchor="_Toc3852" w:tgtFrame="#_Toc3852">
        <w:r>
          <w:rPr>
            <w:color w:val="000000"/>
            <w:shd w:fill="FFFFFF" w:val="clear"/>
          </w:rPr>
          <w:t>1.5 Accord-cadre à bons de commande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_Toc3852 \h </w:instrText>
        </w:r>
        <w:r>
          <w:rPr>
            <w:shd w:fill="FFFFFF" w:val="clear"/>
            <w:color w:val="000000"/>
          </w:rPr>
          <w:fldChar w:fldCharType="separate"/>
        </w:r>
        <w:r>
          <w:rPr>
            <w:shd w:fill="FFFFFF" w:val="clear"/>
            <w:color w:val="000000"/>
          </w:rPr>
          <w:t>5</w:t>
        </w:r>
        <w:r>
          <w:rPr>
            <w:shd w:fill="FFFFFF" w:val="clear"/>
            <w:color w:val="000000"/>
          </w:rPr>
          <w:fldChar w:fldCharType="end"/>
        </w:r>
      </w:hyperlink>
    </w:p>
    <w:p>
      <w:pPr>
        <w:pStyle w:val="Tabledesmatiresniveau2"/>
        <w:tabs>
          <w:tab w:val="clear" w:pos="706"/>
          <w:tab w:val="right" w:pos="8290" w:leader="dot"/>
        </w:tabs>
        <w:rPr/>
      </w:pPr>
      <w:hyperlink w:anchor="_Toc3853" w:tgtFrame="#_Toc3853">
        <w:r>
          <w:rPr>
            <w:color w:val="000000"/>
            <w:shd w:fill="FFFFFF" w:val="clear"/>
          </w:rPr>
          <w:t>1.6 Date d'effet du marché</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_Toc3853 \h </w:instrText>
        </w:r>
        <w:r>
          <w:rPr>
            <w:shd w:fill="FFFFFF" w:val="clear"/>
            <w:color w:val="000000"/>
          </w:rPr>
          <w:fldChar w:fldCharType="separate"/>
        </w:r>
        <w:r>
          <w:rPr>
            <w:shd w:fill="FFFFFF" w:val="clear"/>
            <w:color w:val="000000"/>
          </w:rPr>
          <w:t>5</w:t>
        </w:r>
        <w:r>
          <w:rPr>
            <w:shd w:fill="FFFFFF" w:val="clear"/>
            <w:color w:val="000000"/>
          </w:rPr>
          <w:fldChar w:fldCharType="end"/>
        </w:r>
      </w:hyperlink>
    </w:p>
    <w:p>
      <w:pPr>
        <w:pStyle w:val="Tabledesmatiresniveau2"/>
        <w:tabs>
          <w:tab w:val="clear" w:pos="706"/>
          <w:tab w:val="right" w:pos="8290" w:leader="dot"/>
        </w:tabs>
        <w:rPr/>
      </w:pPr>
      <w:hyperlink w:anchor="_Toc3854" w:tgtFrame="#_Toc3854">
        <w:r>
          <w:rPr>
            <w:color w:val="000000"/>
            <w:shd w:fill="FFFFFF" w:val="clear"/>
          </w:rPr>
          <w:t>1.7 Durée du marché - Période de validité</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_Toc3854 \h </w:instrText>
        </w:r>
        <w:r>
          <w:rPr>
            <w:shd w:fill="FFFFFF" w:val="clear"/>
            <w:color w:val="000000"/>
          </w:rPr>
          <w:fldChar w:fldCharType="separate"/>
        </w:r>
        <w:r>
          <w:rPr>
            <w:shd w:fill="FFFFFF" w:val="clear"/>
            <w:color w:val="000000"/>
          </w:rPr>
          <w:t>5</w:t>
        </w:r>
        <w:r>
          <w:rPr>
            <w:shd w:fill="FFFFFF" w:val="clear"/>
            <w:color w:val="000000"/>
          </w:rPr>
          <w:fldChar w:fldCharType="end"/>
        </w:r>
      </w:hyperlink>
    </w:p>
    <w:p>
      <w:pPr>
        <w:pStyle w:val="Tabledesmatiresniveau2"/>
        <w:tabs>
          <w:tab w:val="clear" w:pos="706"/>
          <w:tab w:val="right" w:pos="8290" w:leader="dot"/>
        </w:tabs>
        <w:rPr/>
      </w:pPr>
      <w:hyperlink w:anchor="_Toc3855" w:tgtFrame="#_Toc3855">
        <w:r>
          <w:rPr>
            <w:color w:val="000000"/>
            <w:shd w:fill="FFFFFF" w:val="clear"/>
          </w:rPr>
          <w:t>1.8 Clause obligatoire d'insertion par l'activité économique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_Toc3855 \h </w:instrText>
        </w:r>
        <w:r>
          <w:rPr>
            <w:shd w:fill="FFFFFF" w:val="clear"/>
            <w:color w:val="000000"/>
          </w:rPr>
          <w:fldChar w:fldCharType="separate"/>
        </w:r>
        <w:r>
          <w:rPr>
            <w:shd w:fill="FFFFFF" w:val="clear"/>
            <w:color w:val="000000"/>
          </w:rPr>
          <w:t>5</w:t>
        </w:r>
        <w:r>
          <w:rPr>
            <w:shd w:fill="FFFFFF" w:val="clear"/>
            <w:color w:val="000000"/>
          </w:rPr>
          <w:fldChar w:fldCharType="end"/>
        </w:r>
      </w:hyperlink>
    </w:p>
    <w:p>
      <w:pPr>
        <w:pStyle w:val="Tabledesmatiresniveau2"/>
        <w:tabs>
          <w:tab w:val="clear" w:pos="706"/>
          <w:tab w:val="right" w:pos="8290" w:leader="dot"/>
        </w:tabs>
        <w:rPr>
          <w:color w:val="000000"/>
          <w:shd w:fill="FFFFFF" w:val="clear"/>
        </w:rPr>
      </w:pPr>
      <w:r>
        <w:rPr>
          <w:color w:val="000000"/>
          <w:shd w:fill="FFFFFF" w:val="clear"/>
        </w:rPr>
      </w:r>
    </w:p>
    <w:p>
      <w:pPr>
        <w:pStyle w:val="Tabledesmatiresniveau1"/>
        <w:tabs>
          <w:tab w:val="right" w:pos="8290" w:leader="dot"/>
          <w:tab w:val="right" w:pos="9637" w:leader="dot"/>
        </w:tabs>
        <w:rPr/>
      </w:pPr>
      <w:hyperlink w:anchor="_Toc3857" w:tgtFrame="#_Toc3857">
        <w:r>
          <w:rPr>
            <w:color w:val="000000"/>
            <w:shd w:fill="FFFFFF" w:val="clear"/>
          </w:rPr>
          <w:t>Article 2 - DOCUMENTS CONTRACTUELS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_Toc3857 \h </w:instrText>
        </w:r>
        <w:r>
          <w:rPr>
            <w:shd w:fill="FFFFFF" w:val="clear"/>
            <w:color w:val="000000"/>
          </w:rPr>
          <w:fldChar w:fldCharType="separate"/>
        </w:r>
        <w:r>
          <w:rPr>
            <w:shd w:fill="FFFFFF" w:val="clear"/>
            <w:color w:val="000000"/>
          </w:rPr>
          <w:t>5</w:t>
        </w:r>
        <w:r>
          <w:rPr>
            <w:shd w:fill="FFFFFF" w:val="clear"/>
            <w:color w:val="000000"/>
          </w:rPr>
          <w:fldChar w:fldCharType="end"/>
        </w:r>
      </w:hyperlink>
    </w:p>
    <w:p>
      <w:pPr>
        <w:pStyle w:val="Tabledesmatiresniveau1"/>
        <w:tabs>
          <w:tab w:val="right" w:pos="8290" w:leader="dot"/>
          <w:tab w:val="right" w:pos="9637" w:leader="dot"/>
        </w:tabs>
        <w:rPr/>
      </w:pPr>
      <w:hyperlink w:anchor="_Toc3858" w:tgtFrame="#_Toc3858">
        <w:r>
          <w:rPr>
            <w:color w:val="000000"/>
            <w:shd w:fill="FFFFFF" w:val="clear"/>
          </w:rPr>
          <w:t>Article 3 - DELAIS DE LIVRAISON ET/OU D'EXECUTION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_Toc3858 \h </w:instrText>
        </w:r>
        <w:r>
          <w:rPr>
            <w:shd w:fill="FFFFFF" w:val="clear"/>
            <w:color w:val="000000"/>
          </w:rPr>
          <w:fldChar w:fldCharType="separate"/>
        </w:r>
        <w:r>
          <w:rPr>
            <w:shd w:fill="FFFFFF" w:val="clear"/>
            <w:color w:val="000000"/>
          </w:rPr>
          <w:t>6</w:t>
        </w:r>
        <w:r>
          <w:rPr>
            <w:shd w:fill="FFFFFF" w:val="clear"/>
            <w:color w:val="000000"/>
          </w:rPr>
          <w:fldChar w:fldCharType="end"/>
        </w:r>
      </w:hyperlink>
    </w:p>
    <w:p>
      <w:pPr>
        <w:pStyle w:val="Tabledesmatiresniveau2"/>
        <w:tabs>
          <w:tab w:val="clear" w:pos="706"/>
          <w:tab w:val="right" w:pos="8290" w:leader="dot"/>
        </w:tabs>
        <w:rPr/>
      </w:pPr>
      <w:hyperlink w:anchor="_Toc3859" w:tgtFrame="#_Toc3859">
        <w:r>
          <w:rPr>
            <w:color w:val="000000"/>
            <w:shd w:fill="FFFFFF" w:val="clear"/>
          </w:rPr>
          <w:t>3.1 Délais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_Toc3859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_Toc3859 \h </w:instrText>
        </w:r>
        <w:r>
          <w:rPr>
            <w:shd w:fill="FFFFFF" w:val="clear"/>
            <w:color w:val="000000"/>
          </w:rPr>
          <w:fldChar w:fldCharType="separate"/>
        </w:r>
        <w:r>
          <w:rPr>
            <w:shd w:fill="FFFFFF" w:val="clear"/>
            <w:color w:val="000000"/>
          </w:rPr>
          <w:t>6</w:t>
        </w:r>
        <w:r>
          <w:rPr>
            <w:shd w:fill="FFFFFF" w:val="clear"/>
            <w:color w:val="000000"/>
          </w:rPr>
          <w:fldChar w:fldCharType="end"/>
        </w:r>
      </w:hyperlink>
    </w:p>
    <w:p>
      <w:pPr>
        <w:pStyle w:val="Tabledesmatiresniveau2"/>
        <w:tabs>
          <w:tab w:val="clear" w:pos="706"/>
          <w:tab w:val="right" w:pos="8290" w:leader="dot"/>
        </w:tabs>
        <w:rPr/>
      </w:pPr>
      <w:hyperlink w:anchor="_Toc3860" w:tgtFrame="#_Toc3860">
        <w:r>
          <w:rPr>
            <w:color w:val="000000"/>
            <w:shd w:fill="FFFFFF" w:val="clear"/>
          </w:rPr>
          <w:t>3.2 Emission des bons de commande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_Toc3860 \h </w:instrText>
        </w:r>
        <w:r>
          <w:rPr>
            <w:shd w:fill="FFFFFF" w:val="clear"/>
            <w:color w:val="000000"/>
          </w:rPr>
          <w:fldChar w:fldCharType="separate"/>
        </w:r>
        <w:r>
          <w:rPr>
            <w:shd w:fill="FFFFFF" w:val="clear"/>
            <w:color w:val="000000"/>
          </w:rPr>
          <w:t>6</w:t>
        </w:r>
        <w:r>
          <w:rPr>
            <w:shd w:fill="FFFFFF" w:val="clear"/>
            <w:color w:val="000000"/>
          </w:rPr>
          <w:fldChar w:fldCharType="end"/>
        </w:r>
      </w:hyperlink>
    </w:p>
    <w:p>
      <w:pPr>
        <w:pStyle w:val="Tabledesmatiresniveau1"/>
        <w:tabs>
          <w:tab w:val="right" w:pos="8290" w:leader="dot"/>
          <w:tab w:val="right" w:pos="9637" w:leader="dot"/>
        </w:tabs>
        <w:rPr/>
      </w:pPr>
      <w:hyperlink w:anchor="_Toc3861" w:tgtFrame="#_Toc3861">
        <w:r>
          <w:rPr>
            <w:color w:val="000000"/>
            <w:shd w:fill="FFFFFF" w:val="clear"/>
          </w:rPr>
          <w:t>Article 4 - ENTREPRISES GROUPEES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_Toc3861 \h </w:instrText>
        </w:r>
        <w:r>
          <w:rPr>
            <w:shd w:fill="FFFFFF" w:val="clear"/>
            <w:color w:val="000000"/>
          </w:rPr>
          <w:fldChar w:fldCharType="separate"/>
        </w:r>
        <w:r>
          <w:rPr>
            <w:shd w:fill="FFFFFF" w:val="clear"/>
            <w:color w:val="000000"/>
          </w:rPr>
          <w:t>6</w:t>
        </w:r>
        <w:r>
          <w:rPr>
            <w:shd w:fill="FFFFFF" w:val="clear"/>
            <w:color w:val="000000"/>
          </w:rPr>
          <w:fldChar w:fldCharType="end"/>
        </w:r>
      </w:hyperlink>
    </w:p>
    <w:p>
      <w:pPr>
        <w:pStyle w:val="Tabledesmatiresniveau1"/>
        <w:tabs>
          <w:tab w:val="right" w:pos="8290" w:leader="dot"/>
          <w:tab w:val="right" w:pos="9637" w:leader="dot"/>
        </w:tabs>
        <w:rPr/>
      </w:pPr>
      <w:hyperlink w:anchor="_Toc3862" w:tgtFrame="#_Toc3862">
        <w:r>
          <w:rPr>
            <w:color w:val="000000"/>
            <w:shd w:fill="FFFFFF" w:val="clear"/>
          </w:rPr>
          <w:t>Article 5 - CONDITIONS DE LIVRAISON ET D'EXECUTION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_Toc3862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2"/>
        <w:tabs>
          <w:tab w:val="clear" w:pos="706"/>
          <w:tab w:val="right" w:pos="8290" w:leader="dot"/>
        </w:tabs>
        <w:rPr/>
      </w:pPr>
      <w:hyperlink w:anchor="_Toc3863" w:tgtFrame="#_Toc3863">
        <w:r>
          <w:rPr>
            <w:color w:val="000000"/>
            <w:shd w:fill="FFFFFF" w:val="clear"/>
          </w:rPr>
          <w:t>5.1 Transport  et Emballages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_Toc3863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2"/>
        <w:tabs>
          <w:tab w:val="clear" w:pos="706"/>
          <w:tab w:val="right" w:pos="8290" w:leader="dot"/>
        </w:tabs>
        <w:rPr/>
      </w:pPr>
      <w:hyperlink w:anchor="_Toc3864" w:tgtFrame="#_Toc3864">
        <w:r>
          <w:rPr>
            <w:color w:val="000000"/>
            <w:shd w:fill="FFFFFF" w:val="clear"/>
          </w:rPr>
          <w:t>5.2 Lieux d'exécution ou de livraison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_Toc3864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1"/>
        <w:tabs>
          <w:tab w:val="right" w:pos="8290" w:leader="dot"/>
          <w:tab w:val="right" w:pos="9637" w:leader="dot"/>
        </w:tabs>
        <w:rPr/>
      </w:pPr>
      <w:hyperlink w:anchor="_Toc3865" w:tgtFrame="#_Toc3865">
        <w:r>
          <w:rPr>
            <w:color w:val="000000"/>
            <w:shd w:fill="FFFFFF" w:val="clear"/>
          </w:rPr>
          <w:t>Article 6 - CONDITIONS PARTICULIERES D'EXECUTION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_Toc3865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1"/>
        <w:tabs>
          <w:tab w:val="right" w:pos="8290" w:leader="dot"/>
          <w:tab w:val="right" w:pos="9637" w:leader="dot"/>
        </w:tabs>
        <w:rPr/>
      </w:pPr>
      <w:hyperlink w:anchor="_Toc3866" w:tgtFrame="#_Toc3866">
        <w:r>
          <w:rPr>
            <w:color w:val="000000"/>
            <w:shd w:fill="FFFFFF" w:val="clear"/>
          </w:rPr>
          <w:t>Article 7 - OPERATIONS DE VERIFICATIONS / ADMISSION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_Toc3866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2"/>
        <w:tabs>
          <w:tab w:val="clear" w:pos="706"/>
          <w:tab w:val="right" w:pos="8290" w:leader="dot"/>
        </w:tabs>
        <w:rPr/>
      </w:pPr>
      <w:hyperlink w:anchor="_Toc3867" w:tgtFrame="#_Toc3867">
        <w:r>
          <w:rPr>
            <w:color w:val="000000"/>
            <w:shd w:fill="FFFFFF" w:val="clear"/>
          </w:rPr>
          <w:t>7.1 Vérifications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_Toc3867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2"/>
        <w:tabs>
          <w:tab w:val="clear" w:pos="706"/>
          <w:tab w:val="right" w:pos="8290" w:leader="dot"/>
        </w:tabs>
        <w:rPr/>
      </w:pPr>
      <w:hyperlink w:anchor="_Toc3868" w:tgtFrame="#_Toc3868">
        <w:r>
          <w:rPr>
            <w:color w:val="000000"/>
            <w:shd w:fill="FFFFFF" w:val="clear"/>
          </w:rPr>
          <w:t>7.2 Admission</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_Toc3868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1"/>
        <w:tabs>
          <w:tab w:val="right" w:pos="8290" w:leader="dot"/>
          <w:tab w:val="right" w:pos="9637" w:leader="dot"/>
        </w:tabs>
        <w:rPr/>
      </w:pPr>
      <w:hyperlink w:anchor="_Toc3869" w:tgtFrame="#_Toc3869">
        <w:r>
          <w:rPr>
            <w:color w:val="000000"/>
            <w:shd w:fill="FFFFFF" w:val="clear"/>
          </w:rPr>
          <w:t>Article 8 - GARANTIE CONTRACTUELLE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_Toc3869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_Toc3869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2"/>
        <w:tabs>
          <w:tab w:val="clear" w:pos="706"/>
          <w:tab w:val="right" w:pos="8290" w:leader="dot"/>
        </w:tabs>
        <w:rPr/>
      </w:pPr>
      <w:hyperlink w:anchor="_Toc3870" w:tgtFrame="#_Toc3870">
        <w:r>
          <w:rPr>
            <w:color w:val="000000"/>
            <w:shd w:fill="FFFFFF" w:val="clear"/>
          </w:rPr>
          <w:t>8.1 Durée de garantie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_Toc3870 \h </w:instrText>
        </w:r>
        <w:r>
          <w:rPr>
            <w:shd w:fill="FFFFFF" w:val="clear"/>
            <w:color w:val="000000"/>
          </w:rPr>
          <w:fldChar w:fldCharType="separate"/>
        </w:r>
        <w:r>
          <w:rPr>
            <w:shd w:fill="FFFFFF" w:val="clear"/>
            <w:color w:val="000000"/>
          </w:rPr>
          <w:t>7</w:t>
        </w:r>
        <w:r>
          <w:rPr>
            <w:shd w:fill="FFFFFF" w:val="clear"/>
            <w:color w:val="000000"/>
          </w:rPr>
          <w:fldChar w:fldCharType="end"/>
        </w:r>
      </w:hyperlink>
    </w:p>
    <w:p>
      <w:pPr>
        <w:pStyle w:val="Tabledesmatiresniveau2"/>
        <w:tabs>
          <w:tab w:val="clear" w:pos="706"/>
          <w:tab w:val="right" w:pos="8290" w:leader="dot"/>
        </w:tabs>
        <w:rPr/>
      </w:pPr>
      <w:hyperlink w:anchor="_Toc3871" w:tgtFrame="#_Toc3871">
        <w:r>
          <w:rPr>
            <w:color w:val="000000"/>
            <w:shd w:fill="FFFFFF" w:val="clear"/>
          </w:rPr>
          <w:t>8.2 Point de départ de la garantie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_Toc3871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4318" w:tgtFrame="#_Toc4318">
        <w:r>
          <w:rPr>
            <w:color w:val="000000"/>
            <w:shd w:fill="FFFFFF" w:val="clear"/>
          </w:rPr>
          <w:t>Article 9 - PROPRIETE INTELLECTUELLE ET UTILISATION DES RESULTATS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_Toc4318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_Toc4318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4557" w:tgtFrame="#_Toc4557">
        <w:r>
          <w:rPr>
            <w:color w:val="000000"/>
            <w:shd w:fill="FFFFFF" w:val="clear"/>
          </w:rPr>
          <w:t>Article 10 - CONFIDENTIALITE ET MESURES DE SECURITE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_Toc4557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_Toc4557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1"/>
        <w:tabs>
          <w:tab w:val="right" w:pos="8290" w:leader="dot"/>
          <w:tab w:val="right" w:pos="9637" w:leader="dot"/>
        </w:tabs>
        <w:rPr/>
      </w:pPr>
      <w:hyperlink w:anchor="_Toc3872" w:tgtFrame="#_Toc3872">
        <w:r>
          <w:rPr>
            <w:color w:val="000000"/>
            <w:shd w:fill="FFFFFF" w:val="clear"/>
          </w:rPr>
          <w:t>Article 11 - MODALITES DE DETERMINATION DES PRIX</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_Toc3872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873" w:tgtFrame="#_Toc3873">
        <w:r>
          <w:rPr>
            <w:color w:val="000000"/>
            <w:shd w:fill="FFFFFF" w:val="clear"/>
          </w:rPr>
          <w:t>11.1 Nature du prix</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_Toc3873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874" w:tgtFrame="#_Toc3874">
        <w:r>
          <w:rPr>
            <w:color w:val="000000"/>
            <w:shd w:fill="FFFFFF" w:val="clear"/>
          </w:rPr>
          <w:t>11.2 Variations de prix</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_Toc3874 \h </w:instrText>
        </w:r>
        <w:r>
          <w:rPr>
            <w:shd w:fill="FFFFFF" w:val="clear"/>
            <w:color w:val="000000"/>
          </w:rPr>
          <w:fldChar w:fldCharType="separate"/>
        </w:r>
        <w:r>
          <w:rPr>
            <w:shd w:fill="FFFFFF" w:val="clear"/>
            <w:color w:val="000000"/>
          </w:rPr>
          <w:t>8</w:t>
        </w:r>
        <w:r>
          <w:rPr>
            <w:shd w:fill="FFFFFF" w:val="clear"/>
            <w:color w:val="000000"/>
          </w:rPr>
          <w:fldChar w:fldCharType="end"/>
        </w:r>
      </w:hyperlink>
    </w:p>
    <w:p>
      <w:pPr>
        <w:pStyle w:val="Tabledesmatiresniveau2"/>
        <w:tabs>
          <w:tab w:val="clear" w:pos="706"/>
          <w:tab w:val="right" w:pos="8290" w:leader="dot"/>
        </w:tabs>
        <w:rPr/>
      </w:pPr>
      <w:hyperlink w:anchor="_Toc3875" w:tgtFrame="#_Toc3875">
        <w:r>
          <w:rPr>
            <w:color w:val="000000"/>
            <w:shd w:fill="FFFFFF" w:val="clear"/>
          </w:rPr>
          <w:t>11.3 Disparition d'indice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_Toc3875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876" w:tgtFrame="#_Toc3876">
        <w:r>
          <w:rPr>
            <w:color w:val="000000"/>
            <w:shd w:fill="FFFFFF" w:val="clear"/>
          </w:rPr>
          <w:t>Article 12 - AVANCE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_Toc3876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2"/>
        <w:tabs>
          <w:tab w:val="clear" w:pos="706"/>
          <w:tab w:val="right" w:pos="8290" w:leader="dot"/>
        </w:tabs>
        <w:rPr/>
      </w:pPr>
      <w:hyperlink w:anchor="_Toc3877" w:tgtFrame="#_Toc3877">
        <w:r>
          <w:rPr>
            <w:color w:val="000000"/>
            <w:shd w:fill="FFFFFF" w:val="clear"/>
          </w:rPr>
          <w:t>12.1 Régime de l'avance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_Toc3877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2"/>
        <w:tabs>
          <w:tab w:val="clear" w:pos="706"/>
          <w:tab w:val="right" w:pos="8290" w:leader="dot"/>
        </w:tabs>
        <w:rPr/>
      </w:pPr>
      <w:hyperlink w:anchor="_Toc3878" w:tgtFrame="#_Toc3878">
        <w:r>
          <w:rPr>
            <w:color w:val="000000"/>
            <w:shd w:fill="FFFFFF" w:val="clear"/>
          </w:rPr>
          <w:t>12.2 Dispositions complémentaires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_Toc3878 \h </w:instrText>
        </w:r>
        <w:r>
          <w:rPr>
            <w:shd w:fill="FFFFFF" w:val="clear"/>
            <w:color w:val="000000"/>
          </w:rPr>
          <w:fldChar w:fldCharType="separate"/>
        </w:r>
        <w:r>
          <w:rPr>
            <w:shd w:fill="FFFFFF" w:val="clear"/>
            <w:color w:val="000000"/>
          </w:rPr>
          <w:t>9</w:t>
        </w:r>
        <w:r>
          <w:rPr>
            <w:shd w:fill="FFFFFF" w:val="clear"/>
            <w:color w:val="000000"/>
          </w:rPr>
          <w:fldChar w:fldCharType="end"/>
        </w:r>
      </w:hyperlink>
    </w:p>
    <w:p>
      <w:pPr>
        <w:pStyle w:val="Tabledesmatiresniveau1"/>
        <w:tabs>
          <w:tab w:val="right" w:pos="8290" w:leader="dot"/>
          <w:tab w:val="right" w:pos="9637" w:leader="dot"/>
        </w:tabs>
        <w:rPr/>
      </w:pPr>
      <w:hyperlink w:anchor="_Toc3879" w:tgtFrame="#_Toc3879">
        <w:r>
          <w:rPr>
            <w:color w:val="000000"/>
            <w:shd w:fill="FFFFFF" w:val="clear"/>
          </w:rPr>
          <w:t>Article 13 - MODALITÉS DE REGLEMENT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_Toc3879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_Toc3879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1"/>
        <w:tabs>
          <w:tab w:val="right" w:pos="8290" w:leader="dot"/>
          <w:tab w:val="right" w:pos="9637" w:leader="dot"/>
        </w:tabs>
        <w:rPr/>
      </w:pPr>
      <w:hyperlink w:anchor="_Toc3880" w:tgtFrame="#_Toc3880">
        <w:r>
          <w:rPr>
            <w:color w:val="000000"/>
            <w:shd w:fill="FFFFFF" w:val="clear"/>
          </w:rPr>
          <w:t>Article 14 - PAIEMENT ET ETABLISSEMENT DE LA FACTURE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_Toc3880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2"/>
        <w:tabs>
          <w:tab w:val="clear" w:pos="706"/>
          <w:tab w:val="right" w:pos="8290" w:leader="dot"/>
        </w:tabs>
        <w:rPr/>
      </w:pPr>
      <w:hyperlink w:anchor="_Toc3881" w:tgtFrame="#_Toc3881">
        <w:r>
          <w:rPr>
            <w:color w:val="000000"/>
            <w:shd w:fill="FFFFFF" w:val="clear"/>
          </w:rPr>
          <w:t>14.1 Délais de paiements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_Toc3881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2"/>
        <w:tabs>
          <w:tab w:val="clear" w:pos="706"/>
          <w:tab w:val="right" w:pos="8290" w:leader="dot"/>
        </w:tabs>
        <w:ind w:left="238" w:hanging="0"/>
        <w:rPr>
          <w:color w:val="000000"/>
          <w:shd w:fill="FFFFFF" w:val="clear"/>
        </w:rPr>
      </w:pPr>
      <w:r>
        <w:rPr>
          <w:color w:val="000000"/>
          <w:shd w:fill="FFFFFF" w:val="clear"/>
        </w:rPr>
      </w:r>
    </w:p>
    <w:p>
      <w:pPr>
        <w:pStyle w:val="Tabledesmatiresniveau2"/>
        <w:tabs>
          <w:tab w:val="clear" w:pos="706"/>
          <w:tab w:val="right" w:pos="8290" w:leader="dot"/>
        </w:tabs>
        <w:rPr/>
      </w:pPr>
      <w:hyperlink w:anchor="_Toc3884" w:tgtFrame="#_Toc3884">
        <w:r>
          <w:rPr>
            <w:color w:val="000000"/>
            <w:shd w:fill="FFFFFF" w:val="clear"/>
          </w:rPr>
          <w:t>14.4 Présentation des demandes de paiement</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_Toc3884 \h </w:instrText>
        </w:r>
        <w:r>
          <w:rPr>
            <w:shd w:fill="FFFFFF" w:val="clear"/>
            <w:color w:val="000000"/>
          </w:rPr>
          <w:fldChar w:fldCharType="separate"/>
        </w:r>
        <w:r>
          <w:rPr>
            <w:shd w:fill="FFFFFF" w:val="clear"/>
            <w:color w:val="000000"/>
          </w:rPr>
          <w:t>10</w:t>
        </w:r>
        <w:r>
          <w:rPr>
            <w:shd w:fill="FFFFFF" w:val="clear"/>
            <w:color w:val="000000"/>
          </w:rPr>
          <w:fldChar w:fldCharType="end"/>
        </w:r>
      </w:hyperlink>
    </w:p>
    <w:p>
      <w:pPr>
        <w:pStyle w:val="Tabledesmatiresniveau2"/>
        <w:tabs>
          <w:tab w:val="clear" w:pos="706"/>
          <w:tab w:val="right" w:pos="8290" w:leader="dot"/>
        </w:tabs>
        <w:rPr/>
      </w:pPr>
      <w:hyperlink w:anchor="_Toc3885" w:tgtFrame="#_Toc3885">
        <w:r>
          <w:rPr>
            <w:color w:val="000000"/>
            <w:shd w:fill="FFFFFF" w:val="clear"/>
          </w:rPr>
          <w:t>14.5 Dématérialisation des factures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_Toc3885 \h </w:instrText>
        </w:r>
        <w:r>
          <w:rPr>
            <w:shd w:fill="FFFFFF" w:val="clear"/>
            <w:color w:val="000000"/>
          </w:rPr>
          <w:fldChar w:fldCharType="separate"/>
        </w:r>
        <w:r>
          <w:rPr>
            <w:shd w:fill="FFFFFF" w:val="clear"/>
            <w:color w:val="000000"/>
          </w:rPr>
          <w:t>11</w:t>
        </w:r>
        <w:r>
          <w:rPr>
            <w:shd w:fill="FFFFFF" w:val="clear"/>
            <w:color w:val="000000"/>
          </w:rPr>
          <w:fldChar w:fldCharType="end"/>
        </w:r>
      </w:hyperlink>
    </w:p>
    <w:p>
      <w:pPr>
        <w:pStyle w:val="Tabledesmatiresniveau1"/>
        <w:tabs>
          <w:tab w:val="right" w:pos="8290" w:leader="dot"/>
          <w:tab w:val="right" w:pos="9637" w:leader="dot"/>
        </w:tabs>
        <w:rPr/>
      </w:pPr>
      <w:hyperlink w:anchor="_Toc3886" w:tgtFrame="#_Toc3886">
        <w:r>
          <w:rPr>
            <w:color w:val="000000"/>
            <w:shd w:fill="FFFFFF" w:val="clear"/>
          </w:rPr>
          <w:t>Article 15 - PENALITES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_Toc3886 \h </w:instrText>
        </w:r>
        <w:r>
          <w:rPr>
            <w:shd w:fill="FFFFFF" w:val="clear"/>
            <w:color w:val="000000"/>
          </w:rPr>
          <w:fldChar w:fldCharType="separate"/>
        </w:r>
        <w:r>
          <w:rPr>
            <w:shd w:fill="FFFFFF" w:val="clear"/>
            <w:color w:val="000000"/>
          </w:rPr>
          <w:t>12</w:t>
        </w:r>
        <w:r>
          <w:rPr>
            <w:shd w:fill="FFFFFF" w:val="clear"/>
            <w:color w:val="000000"/>
          </w:rPr>
          <w:fldChar w:fldCharType="end"/>
        </w:r>
      </w:hyperlink>
    </w:p>
    <w:p>
      <w:pPr>
        <w:pStyle w:val="Tabledesmatiresniveau2"/>
        <w:tabs>
          <w:tab w:val="clear" w:pos="706"/>
          <w:tab w:val="right" w:pos="8290" w:leader="dot"/>
        </w:tabs>
        <w:rPr/>
      </w:pPr>
      <w:hyperlink w:anchor="_Toc3887" w:tgtFrame="#_Toc3887">
        <w:r>
          <w:rPr>
            <w:color w:val="000000"/>
            <w:shd w:fill="FFFFFF" w:val="clear"/>
          </w:rPr>
          <w:t>15.1 Pénalités de retard</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_Toc3887 \h </w:instrText>
        </w:r>
        <w:r>
          <w:rPr>
            <w:shd w:fill="FFFFFF" w:val="clear"/>
            <w:color w:val="000000"/>
          </w:rPr>
          <w:fldChar w:fldCharType="separate"/>
        </w:r>
        <w:r>
          <w:rPr>
            <w:shd w:fill="FFFFFF" w:val="clear"/>
            <w:color w:val="000000"/>
          </w:rPr>
          <w:t>12</w:t>
        </w:r>
        <w:r>
          <w:rPr>
            <w:shd w:fill="FFFFFF" w:val="clear"/>
            <w:color w:val="000000"/>
          </w:rPr>
          <w:fldChar w:fldCharType="end"/>
        </w:r>
      </w:hyperlink>
    </w:p>
    <w:p>
      <w:pPr>
        <w:pStyle w:val="Tabledesmatiresniveau2"/>
        <w:tabs>
          <w:tab w:val="clear" w:pos="706"/>
          <w:tab w:val="right" w:pos="8290" w:leader="dot"/>
        </w:tabs>
        <w:rPr/>
      </w:pPr>
      <w:hyperlink w:anchor="_Toc4545" w:tgtFrame="#_Toc4545">
        <w:r>
          <w:rPr>
            <w:color w:val="000000"/>
            <w:shd w:fill="FFFFFF" w:val="clear"/>
          </w:rPr>
          <w:t>15.2 Pénalités pour non respect des obligations environnementales du titulaire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_Toc4545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_Toc4545 \h </w:instrText>
        </w:r>
        <w:r>
          <w:rPr>
            <w:shd w:fill="FFFFFF" w:val="clear"/>
            <w:color w:val="000000"/>
          </w:rPr>
          <w:fldChar w:fldCharType="separate"/>
        </w:r>
        <w:r>
          <w:rPr>
            <w:shd w:fill="FFFFFF" w:val="clear"/>
            <w:color w:val="000000"/>
          </w:rPr>
          <w:t>12</w:t>
        </w:r>
        <w:r>
          <w:rPr>
            <w:shd w:fill="FFFFFF" w:val="clear"/>
            <w:color w:val="000000"/>
          </w:rPr>
          <w:fldChar w:fldCharType="end"/>
        </w:r>
      </w:hyperlink>
    </w:p>
    <w:p>
      <w:pPr>
        <w:pStyle w:val="Tabledesmatiresniveau2"/>
        <w:tabs>
          <w:tab w:val="clear" w:pos="706"/>
          <w:tab w:val="right" w:pos="8290" w:leader="dot"/>
        </w:tabs>
        <w:rPr/>
      </w:pPr>
      <w:hyperlink w:anchor="_Toc3888" w:tgtFrame="#_Toc3888">
        <w:r>
          <w:rPr>
            <w:color w:val="000000"/>
            <w:shd w:fill="FFFFFF" w:val="clear"/>
          </w:rPr>
          <w:t>15.3 Pénalités pour non respect des dispositions du Code du Travail</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_Toc3888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2"/>
        <w:tabs>
          <w:tab w:val="clear" w:pos="706"/>
          <w:tab w:val="right" w:pos="8290" w:leader="dot"/>
        </w:tabs>
        <w:rPr/>
      </w:pPr>
      <w:hyperlink w:anchor="_Toc3889" w:tgtFrame="#_Toc3889">
        <w:r>
          <w:rPr>
            <w:color w:val="000000"/>
            <w:shd w:fill="FFFFFF" w:val="clear"/>
          </w:rPr>
          <w:t>15.4 Autres pénalités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_Toc3889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_Toc3889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1"/>
        <w:tabs>
          <w:tab w:val="right" w:pos="8290" w:leader="dot"/>
          <w:tab w:val="right" w:pos="9637" w:leader="dot"/>
        </w:tabs>
        <w:rPr/>
      </w:pPr>
      <w:hyperlink w:anchor="_Toc3890" w:tgtFrame="#_Toc3890">
        <w:r>
          <w:rPr>
            <w:color w:val="000000"/>
            <w:shd w:fill="FFFFFF" w:val="clear"/>
          </w:rPr>
          <w:t>Article 16 - RESILIATION ET EXECUTION DES PRESTATIONS AUX FRAIS ET RISQUES DU TITULAIRE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_Toc3890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1"/>
        <w:tabs>
          <w:tab w:val="right" w:pos="8290" w:leader="dot"/>
          <w:tab w:val="right" w:pos="9637" w:leader="dot"/>
        </w:tabs>
        <w:rPr/>
      </w:pPr>
      <w:hyperlink w:anchor="_Toc3891" w:tgtFrame="#_Toc3891">
        <w:r>
          <w:rPr>
            <w:color w:val="000000"/>
            <w:shd w:fill="FFFFFF" w:val="clear"/>
          </w:rPr>
          <w:t>Article 17 - CLAUSES DE GESTION DES DONNEES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_Toc3891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2"/>
        <w:tabs>
          <w:tab w:val="clear" w:pos="706"/>
          <w:tab w:val="right" w:pos="8290" w:leader="dot"/>
        </w:tabs>
        <w:rPr/>
      </w:pPr>
      <w:hyperlink w:anchor="_Toc3892" w:tgtFrame="#_Toc3892">
        <w:r>
          <w:rPr>
            <w:color w:val="000000"/>
            <w:shd w:fill="FFFFFF" w:val="clear"/>
          </w:rPr>
          <w:t>17.1 Les contraintes réglementaires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_Toc3892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3"/>
        <w:tabs>
          <w:tab w:val="right" w:pos="8290" w:leader="dot"/>
          <w:tab w:val="right" w:pos="9241" w:leader="dot"/>
        </w:tabs>
        <w:rPr/>
      </w:pPr>
      <w:hyperlink w:anchor="_Toc3893" w:tgtFrame="#_Toc3893">
        <w:r>
          <w:rPr>
            <w:color w:val="000000"/>
            <w:shd w:fill="FFFFFF" w:val="clear"/>
          </w:rPr>
          <w:t>17.1.1 Le RGS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_Toc3893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3"/>
        <w:tabs>
          <w:tab w:val="right" w:pos="8290" w:leader="dot"/>
          <w:tab w:val="right" w:pos="9241" w:leader="dot"/>
        </w:tabs>
        <w:rPr/>
      </w:pPr>
      <w:hyperlink w:anchor="_Toc3894" w:tgtFrame="#_Toc3894">
        <w:r>
          <w:rPr>
            <w:color w:val="000000"/>
            <w:shd w:fill="FFFFFF" w:val="clear"/>
          </w:rPr>
          <w:t>17.1.2 Le Règlement Général sur la Protection des Données (RGPD)</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_Toc3894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_Toc3894 \h </w:instrText>
        </w:r>
        <w:r>
          <w:rPr>
            <w:shd w:fill="FFFFFF" w:val="clear"/>
            <w:color w:val="000000"/>
          </w:rPr>
          <w:fldChar w:fldCharType="separate"/>
        </w:r>
        <w:r>
          <w:rPr>
            <w:shd w:fill="FFFFFF" w:val="clear"/>
            <w:color w:val="000000"/>
          </w:rPr>
          <w:t>13</w:t>
        </w:r>
        <w:r>
          <w:rPr>
            <w:shd w:fill="FFFFFF" w:val="clear"/>
            <w:color w:val="000000"/>
          </w:rPr>
          <w:fldChar w:fldCharType="end"/>
        </w:r>
      </w:hyperlink>
    </w:p>
    <w:p>
      <w:pPr>
        <w:pStyle w:val="Tabledesmatiresniveau3"/>
        <w:tabs>
          <w:tab w:val="right" w:pos="8290" w:leader="dot"/>
          <w:tab w:val="right" w:pos="9241" w:leader="dot"/>
        </w:tabs>
        <w:rPr/>
      </w:pPr>
      <w:hyperlink w:anchor="_Toc3895" w:tgtFrame="#_Toc3895">
        <w:r>
          <w:rPr>
            <w:color w:val="000000"/>
            <w:shd w:fill="FFFFFF" w:val="clear"/>
          </w:rPr>
          <w:t>17.1.3 Le Code du Patrimoine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_Toc3895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_Toc3895 \h </w:instrText>
        </w:r>
        <w:r>
          <w:rPr>
            <w:shd w:fill="FFFFFF" w:val="clear"/>
            <w:color w:val="000000"/>
          </w:rPr>
          <w:fldChar w:fldCharType="separate"/>
        </w:r>
        <w:r>
          <w:rPr>
            <w:shd w:fill="FFFFFF" w:val="clear"/>
            <w:color w:val="000000"/>
          </w:rPr>
          <w:t>14</w:t>
        </w:r>
        <w:r>
          <w:rPr>
            <w:shd w:fill="FFFFFF" w:val="clear"/>
            <w:color w:val="000000"/>
          </w:rPr>
          <w:fldChar w:fldCharType="end"/>
        </w:r>
      </w:hyperlink>
    </w:p>
    <w:p>
      <w:pPr>
        <w:pStyle w:val="Tabledesmatiresniveau2"/>
        <w:tabs>
          <w:tab w:val="clear" w:pos="706"/>
          <w:tab w:val="right" w:pos="8290" w:leader="dot"/>
        </w:tabs>
        <w:rPr/>
      </w:pPr>
      <w:hyperlink w:anchor="_Toc3896" w:tgtFrame="#_Toc3896">
        <w:r>
          <w:rPr>
            <w:color w:val="000000"/>
            <w:shd w:fill="FFFFFF" w:val="clear"/>
          </w:rPr>
          <w:t>17.2 Les clauses générales de confidentialité</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_Toc3896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_Toc3896 \h </w:instrText>
        </w:r>
        <w:r>
          <w:rPr>
            <w:shd w:fill="FFFFFF" w:val="clear"/>
            <w:color w:val="000000"/>
          </w:rPr>
          <w:fldChar w:fldCharType="separate"/>
        </w:r>
        <w:r>
          <w:rPr>
            <w:shd w:fill="FFFFFF" w:val="clear"/>
            <w:color w:val="000000"/>
          </w:rPr>
          <w:t>14</w:t>
        </w:r>
        <w:r>
          <w:rPr>
            <w:shd w:fill="FFFFFF" w:val="clear"/>
            <w:color w:val="000000"/>
          </w:rPr>
          <w:fldChar w:fldCharType="end"/>
        </w:r>
      </w:hyperlink>
    </w:p>
    <w:p>
      <w:pPr>
        <w:pStyle w:val="Tabledesmatiresniveau2"/>
        <w:tabs>
          <w:tab w:val="clear" w:pos="706"/>
          <w:tab w:val="right" w:pos="8290" w:leader="dot"/>
        </w:tabs>
        <w:rPr/>
      </w:pPr>
      <w:hyperlink w:anchor="_Toc3897" w:tgtFrame="#_Toc3897">
        <w:r>
          <w:rPr>
            <w:color w:val="000000"/>
            <w:shd w:fill="FFFFFF" w:val="clear"/>
          </w:rPr>
          <w:t>17.3 Les contrôles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_Toc3897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_Toc3897 \h </w:instrText>
        </w:r>
        <w:r>
          <w:rPr>
            <w:shd w:fill="FFFFFF" w:val="clear"/>
            <w:color w:val="000000"/>
          </w:rPr>
          <w:fldChar w:fldCharType="separate"/>
        </w:r>
        <w:r>
          <w:rPr>
            <w:shd w:fill="FFFFFF" w:val="clear"/>
            <w:color w:val="000000"/>
          </w:rPr>
          <w:t>15</w:t>
        </w:r>
        <w:r>
          <w:rPr>
            <w:shd w:fill="FFFFFF" w:val="clear"/>
            <w:color w:val="000000"/>
          </w:rPr>
          <w:fldChar w:fldCharType="end"/>
        </w:r>
      </w:hyperlink>
    </w:p>
    <w:p>
      <w:pPr>
        <w:pStyle w:val="Tabledesmatiresniveau2"/>
        <w:tabs>
          <w:tab w:val="clear" w:pos="706"/>
          <w:tab w:val="right" w:pos="8290" w:leader="dot"/>
        </w:tabs>
        <w:rPr/>
      </w:pPr>
      <w:hyperlink w:anchor="_Toc3898" w:tgtFrame="#_Toc3898">
        <w:r>
          <w:rPr>
            <w:color w:val="000000"/>
            <w:shd w:fill="FFFFFF" w:val="clear"/>
          </w:rPr>
          <w:t>17.4 Phase de réversibilité</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_Toc3898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_Toc3898 \h </w:instrText>
        </w:r>
        <w:r>
          <w:rPr>
            <w:shd w:fill="FFFFFF" w:val="clear"/>
            <w:color w:val="000000"/>
          </w:rPr>
          <w:fldChar w:fldCharType="separate"/>
        </w:r>
        <w:r>
          <w:rPr>
            <w:shd w:fill="FFFFFF" w:val="clear"/>
            <w:color w:val="000000"/>
          </w:rPr>
          <w:t>15</w:t>
        </w:r>
        <w:r>
          <w:rPr>
            <w:shd w:fill="FFFFFF" w:val="clear"/>
            <w:color w:val="000000"/>
          </w:rPr>
          <w:fldChar w:fldCharType="end"/>
        </w:r>
      </w:hyperlink>
    </w:p>
    <w:p>
      <w:pPr>
        <w:pStyle w:val="Tabledesmatiresniveau1"/>
        <w:tabs>
          <w:tab w:val="right" w:pos="8290" w:leader="dot"/>
          <w:tab w:val="right" w:pos="9637" w:leader="dot"/>
        </w:tabs>
        <w:rPr/>
      </w:pPr>
      <w:hyperlink w:anchor="_Toc3899" w:tgtFrame="#_Toc3899">
        <w:r>
          <w:rPr>
            <w:color w:val="000000"/>
            <w:shd w:fill="FFFFFF" w:val="clear"/>
          </w:rPr>
          <w:t>Article 18 - LOGICIEL E-ATTESTATIONS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_Toc3899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_Toc3899 \h </w:instrText>
        </w:r>
        <w:r>
          <w:rPr>
            <w:shd w:fill="FFFFFF" w:val="clear"/>
            <w:color w:val="000000"/>
          </w:rPr>
          <w:fldChar w:fldCharType="separate"/>
        </w:r>
        <w:r>
          <w:rPr>
            <w:shd w:fill="FFFFFF" w:val="clear"/>
            <w:color w:val="000000"/>
          </w:rPr>
          <w:t>15</w:t>
        </w:r>
        <w:r>
          <w:rPr>
            <w:shd w:fill="FFFFFF" w:val="clear"/>
            <w:color w:val="000000"/>
          </w:rPr>
          <w:fldChar w:fldCharType="end"/>
        </w:r>
      </w:hyperlink>
    </w:p>
    <w:p>
      <w:pPr>
        <w:pStyle w:val="Tabledesmatiresniveau1"/>
        <w:tabs>
          <w:tab w:val="right" w:pos="8290" w:leader="dot"/>
          <w:tab w:val="right" w:pos="9637" w:leader="dot"/>
        </w:tabs>
        <w:rPr/>
      </w:pPr>
      <w:hyperlink w:anchor="_Toc3900" w:tgtFrame="#_Toc3900">
        <w:r>
          <w:rPr>
            <w:color w:val="000000"/>
            <w:shd w:fill="FFFFFF" w:val="clear"/>
          </w:rPr>
          <w:t>Article 19 - LOI APPLICABLE</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_Toc3900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_Toc3900 \h </w:instrText>
        </w:r>
        <w:r>
          <w:rPr>
            <w:shd w:fill="FFFFFF" w:val="clear"/>
            <w:color w:val="000000"/>
          </w:rPr>
          <w:fldChar w:fldCharType="separate"/>
        </w:r>
        <w:r>
          <w:rPr>
            <w:shd w:fill="FFFFFF" w:val="clear"/>
            <w:color w:val="000000"/>
          </w:rPr>
          <w:t>15</w:t>
        </w:r>
        <w:r>
          <w:rPr>
            <w:shd w:fill="FFFFFF" w:val="clear"/>
            <w:color w:val="000000"/>
          </w:rPr>
          <w:fldChar w:fldCharType="end"/>
        </w:r>
      </w:hyperlink>
    </w:p>
    <w:p>
      <w:pPr>
        <w:pStyle w:val="Tabledesmatiresniveau1"/>
        <w:tabs>
          <w:tab w:val="right" w:pos="8290" w:leader="dot"/>
          <w:tab w:val="right" w:pos="9637" w:leader="dot"/>
        </w:tabs>
        <w:rPr/>
      </w:pPr>
      <w:hyperlink w:anchor="_Toc3901" w:tgtFrame="#_Toc3901">
        <w:r>
          <w:rPr>
            <w:color w:val="000000"/>
            <w:shd w:fill="FFFFFF" w:val="clear"/>
          </w:rPr>
          <w:t>Article 20 - CONFORMITE AUX NORMES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_Toc3901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_Toc3901 \h </w:instrText>
        </w:r>
        <w:r>
          <w:rPr>
            <w:shd w:fill="FFFFFF" w:val="clear"/>
            <w:color w:val="000000"/>
          </w:rPr>
          <w:fldChar w:fldCharType="separate"/>
        </w:r>
        <w:r>
          <w:rPr>
            <w:shd w:fill="FFFFFF" w:val="clear"/>
            <w:color w:val="000000"/>
          </w:rPr>
          <w:t>16</w:t>
        </w:r>
        <w:r>
          <w:rPr>
            <w:shd w:fill="FFFFFF" w:val="clear"/>
            <w:color w:val="000000"/>
          </w:rPr>
          <w:fldChar w:fldCharType="end"/>
        </w:r>
      </w:hyperlink>
    </w:p>
    <w:p>
      <w:pPr>
        <w:pStyle w:val="Tabledesmatiresniveau1"/>
        <w:tabs>
          <w:tab w:val="right" w:pos="8290" w:leader="dot"/>
          <w:tab w:val="right" w:pos="9637" w:leader="dot"/>
        </w:tabs>
        <w:rPr/>
      </w:pPr>
      <w:hyperlink w:anchor="_Toc3902" w:tgtFrame="#_Toc3902">
        <w:r>
          <w:rPr>
            <w:color w:val="000000"/>
            <w:shd w:fill="FFFFFF" w:val="clear"/>
          </w:rPr>
          <w:t>Article 21 - ASSURANCES</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_Toc3902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_Toc3902 \h </w:instrText>
        </w:r>
        <w:r>
          <w:rPr>
            <w:shd w:fill="FFFFFF" w:val="clear"/>
            <w:color w:val="000000"/>
          </w:rPr>
          <w:fldChar w:fldCharType="separate"/>
        </w:r>
        <w:r>
          <w:rPr>
            <w:shd w:fill="FFFFFF" w:val="clear"/>
            <w:color w:val="000000"/>
          </w:rPr>
          <w:t>16</w:t>
        </w:r>
        <w:r>
          <w:rPr>
            <w:shd w:fill="FFFFFF" w:val="clear"/>
            <w:color w:val="000000"/>
          </w:rPr>
          <w:fldChar w:fldCharType="end"/>
        </w:r>
      </w:hyperlink>
    </w:p>
    <w:p>
      <w:pPr>
        <w:pStyle w:val="Tabledesmatiresniveau1"/>
        <w:tabs>
          <w:tab w:val="right" w:pos="8290" w:leader="dot"/>
          <w:tab w:val="right" w:pos="9637" w:leader="dot"/>
        </w:tabs>
        <w:rPr/>
      </w:pPr>
      <w:hyperlink w:anchor="_Toc3903" w:tgtFrame="#_Toc3903">
        <w:r>
          <w:rPr>
            <w:color w:val="000000"/>
            <w:shd w:fill="FFFFFF" w:val="clear"/>
          </w:rPr>
          <w:t>Article 22 - DEROGATIONS AUX DOCUMENTS GENERAUX</w:t>
          <w:tab/>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fldChar w:fldCharType="begin"/>
        </w:r>
        <w:r>
          <w:rPr>
            <w:shd w:fill="FFFFFF" w:val="clear"/>
            <w:color w:val="000000"/>
          </w:rPr>
        </w:r>
        <w:r>
          <w:rPr>
            <w:color w:val="000000"/>
            <w:shd w:fill="FFFFFF" w:val="clear"/>
          </w:rPr>
        </w:r>
        <w:r>
          <w:rPr>
            <w:shd w:fill="FFFFFF" w:val="clear"/>
            <w:color w:val="000000"/>
          </w:rPr>
          <w:fldChar w:fldCharType="separate"/>
        </w:r>
        <w:r>
          <w:rPr>
            <w:color w:val="000000"/>
            <w:shd w:fill="FFFFFF" w:val="clear"/>
          </w:rPr>
        </w:r>
        <w:r>
          <w:rPr>
            <w:color w:val="000000"/>
            <w:shd w:fill="FFFFFF" w:val="clear"/>
          </w:rPr>
        </w:r>
        <w:r>
          <w:rPr>
            <w:shd w:fill="FFFFFF" w:val="clear"/>
            <w:color w:val="000000"/>
          </w:rPr>
          <w:fldChar w:fldCharType="end"/>
        </w:r>
        <w:r>
          <w:rPr>
            <w:webHidden/>
          </w:rPr>
          <w:fldChar w:fldCharType="begin"/>
        </w:r>
        <w:r>
          <w:rPr>
            <w:webHidden/>
          </w:rPr>
          <w:instrText>PAGEREF _Toc3903 \h</w:instrText>
        </w:r>
        <w:r>
          <w:rPr>
            <w:webHidden/>
          </w:rPr>
          <w:fldChar w:fldCharType="separate"/>
        </w:r>
        <w:r>
          <w:rPr>
            <w:color w:val="000000"/>
            <w:shd w:fill="FFFFFF" w:val="clear"/>
          </w:rPr>
          <w:fldChar w:fldCharType="begin"/>
        </w:r>
        <w:r>
          <w:rPr>
            <w:webHidden/>
          </w:rPr>
          <w:fldChar w:fldCharType="end"/>
        </w:r>
        <w:r>
          <w:rPr>
            <w:shd w:fill="FFFFFF" w:val="clear"/>
            <w:color w:val="000000"/>
          </w:rPr>
          <w:instrText> PAGEREF _Toc3903 \h </w:instrText>
        </w:r>
        <w:r>
          <w:rPr>
            <w:shd w:fill="FFFFFF" w:val="clear"/>
            <w:color w:val="000000"/>
          </w:rPr>
          <w:fldChar w:fldCharType="separate"/>
        </w:r>
        <w:r>
          <w:rPr>
            <w:shd w:fill="FFFFFF" w:val="clear"/>
            <w:color w:val="000000"/>
          </w:rPr>
          <w:t>16</w:t>
        </w:r>
        <w:r>
          <w:rPr>
            <w:shd w:fill="FFFFFF" w:val="clear"/>
            <w:color w:val="000000"/>
          </w:rPr>
          <w:fldChar w:fldCharType="end"/>
        </w:r>
      </w:hyperlink>
      <w:r>
        <w:br w:type="page"/>
      </w:r>
    </w:p>
    <w:p>
      <w:pPr>
        <w:pStyle w:val="Titre1"/>
        <w:numPr>
          <w:ilvl w:val="0"/>
          <w:numId w:val="2"/>
        </w:numPr>
        <w:rPr>
          <w:color w:val="000000"/>
          <w:highlight w:val="none"/>
          <w:shd w:fill="FFFFFF" w:val="clear"/>
        </w:rPr>
      </w:pPr>
      <w:bookmarkStart w:id="1" w:name="_Toc3844"/>
      <w:r>
        <w:rPr>
          <w:color w:val="000000"/>
          <w:shd w:fill="FFFFFF" w:val="clear"/>
        </w:rPr>
        <w:t>OBJET ET DUREE DU MARCHE</w:t>
      </w:r>
      <w:bookmarkEnd w:id="1"/>
    </w:p>
    <w:p>
      <w:pPr>
        <w:pStyle w:val="Titre2"/>
        <w:numPr>
          <w:ilvl w:val="1"/>
          <w:numId w:val="2"/>
        </w:numPr>
        <w:rPr>
          <w:color w:val="000000"/>
          <w:highlight w:val="none"/>
          <w:shd w:fill="FFFFFF" w:val="clear"/>
        </w:rPr>
      </w:pPr>
      <w:bookmarkStart w:id="2" w:name="_Toc3845"/>
      <w:r>
        <w:rPr>
          <w:color w:val="000000"/>
          <w:shd w:fill="FFFFFF" w:val="clear"/>
        </w:rPr>
        <w:t>Intitulé et Objet des prestations</w:t>
      </w:r>
      <w:bookmarkEnd w:id="2"/>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Intitulé de la consultation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Désinsectisation des punaises de lit au sein des établissements municipaux 2 lots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La présente consultation a pour objet : Désinsectisation des punaises de lit au sein des établissements municipaux 2 lots</w:t>
      </w:r>
    </w:p>
    <w:p>
      <w:pPr>
        <w:pStyle w:val="Titre2"/>
        <w:numPr>
          <w:ilvl w:val="1"/>
          <w:numId w:val="2"/>
        </w:numPr>
        <w:rPr>
          <w:color w:val="000000"/>
          <w:highlight w:val="none"/>
          <w:shd w:fill="FFFFFF" w:val="clear"/>
        </w:rPr>
      </w:pPr>
      <w:bookmarkStart w:id="3" w:name="_Toc3846"/>
      <w:r>
        <w:rPr>
          <w:color w:val="000000"/>
          <w:shd w:fill="FFFFFF" w:val="clear"/>
        </w:rPr>
        <w:t>Procédure</w:t>
      </w:r>
      <w:bookmarkEnd w:id="3"/>
    </w:p>
    <w:p>
      <w:pPr>
        <w:pStyle w:val="Normal"/>
        <w:rPr>
          <w:color w:val="000000"/>
          <w:highlight w:val="none"/>
          <w:shd w:fill="FFFFFF" w:val="clear"/>
        </w:rPr>
      </w:pPr>
      <w:r>
        <w:rPr>
          <w:rFonts w:eastAsia="arial" w:cs="arial" w:ascii="arial" w:hAnsi="arial"/>
          <w:b w:val="false"/>
          <w:i w:val="false"/>
          <w:color w:val="000000"/>
          <w:sz w:val="20"/>
          <w:u w:val="none"/>
          <w:shd w:fill="FFFFFF" w:val="clear"/>
        </w:rPr>
        <w:t>La procédure de passation est la suivante :MAPA OUVERT AVEC BOAMP - selon les articles suivants : articles L2123-1, R2123-1-1°, R2123-4 et 5 du Code de la commande publique.</w:t>
      </w:r>
    </w:p>
    <w:p>
      <w:pPr>
        <w:pStyle w:val="Titre2"/>
        <w:numPr>
          <w:ilvl w:val="1"/>
          <w:numId w:val="2"/>
        </w:numPr>
        <w:rPr>
          <w:color w:val="000000"/>
          <w:highlight w:val="none"/>
          <w:shd w:fill="FFFFFF" w:val="clear"/>
        </w:rPr>
      </w:pPr>
      <w:bookmarkStart w:id="4" w:name="_Toc3847"/>
      <w:r>
        <w:rPr>
          <w:color w:val="000000"/>
          <w:shd w:fill="FFFFFF" w:val="clear"/>
        </w:rPr>
        <w:t>Décomposition en Lots, Tranches et postes</w:t>
      </w:r>
      <w:bookmarkEnd w:id="4"/>
    </w:p>
    <w:p>
      <w:pPr>
        <w:pStyle w:val="Titre3"/>
        <w:numPr>
          <w:ilvl w:val="2"/>
          <w:numId w:val="2"/>
        </w:numPr>
        <w:rPr>
          <w:color w:val="000000"/>
          <w:highlight w:val="none"/>
          <w:shd w:fill="FFFFFF" w:val="clear"/>
        </w:rPr>
      </w:pPr>
      <w:bookmarkStart w:id="5" w:name="_Toc3848"/>
      <w:r>
        <w:rPr>
          <w:color w:val="000000"/>
          <w:shd w:fill="FFFFFF" w:val="clear"/>
        </w:rPr>
        <w:t>Décomposition en lots</w:t>
      </w:r>
      <w:bookmarkEnd w:id="5"/>
    </w:p>
    <w:p>
      <w:pPr>
        <w:pStyle w:val="Normal"/>
        <w:rPr>
          <w:color w:val="000000"/>
          <w:highlight w:val="none"/>
          <w:shd w:fill="FFFFFF" w:val="clear"/>
        </w:rPr>
      </w:pPr>
      <w:r>
        <w:rPr>
          <w:rFonts w:eastAsia="arial" w:cs="arial" w:ascii="arial" w:hAnsi="arial"/>
          <w:b w:val="false"/>
          <w:i w:val="false"/>
          <w:color w:val="000000"/>
          <w:sz w:val="20"/>
          <w:u w:val="none"/>
          <w:shd w:fill="FFFFFF" w:val="clear"/>
        </w:rPr>
        <w:t>L'ensemble des prestations est réparti en plusieurs lots traités par marchés séparés et définis comme suit :</w:t>
      </w:r>
    </w:p>
    <w:p>
      <w:pPr>
        <w:pStyle w:val="Normal"/>
        <w:spacing w:before="120" w:after="0"/>
        <w:rPr>
          <w:color w:val="000000"/>
          <w:highlight w:val="none"/>
          <w:shd w:fill="FFFFFF" w:val="clear"/>
        </w:rPr>
      </w:pPr>
      <w:r>
        <w:rPr>
          <w:color w:val="000000"/>
          <w:shd w:fill="FFFFFF" w:val="clear"/>
        </w:rPr>
      </w:r>
    </w:p>
    <w:tbl>
      <w:tblPr>
        <w:tblW w:w="863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0"/>
              <w:left w:val="single" w:sz="4" w:space="0" w:color="000000"/>
              <w:bottom w:val="single" w:sz="4" w:space="0" w:color="000000"/>
              <w:right w:val="single" w:sz="4" w:space="0" w:color="000000"/>
            </w:tcBorders>
            <w:shd w:color="C0C0C0" w:fill="C0C0C0" w:val="clear"/>
          </w:tcPr>
          <w:p>
            <w:pPr>
              <w:pStyle w:val="Normal"/>
              <w:keepNext w:val="true"/>
              <w:keepLines/>
              <w:widowControl w:val="false"/>
              <w:spacing w:before="120" w:after="0"/>
              <w:jc w:val="left"/>
              <w:rPr>
                <w:color w:val="000000"/>
                <w:highlight w:val="none"/>
                <w:shd w:fill="CCCCCC" w:val="clear"/>
              </w:rPr>
            </w:pPr>
            <w:r>
              <w:rPr>
                <w:rFonts w:eastAsia="arial" w:cs="arial" w:ascii="arial" w:hAnsi="arial"/>
                <w:b/>
                <w:i w:val="false"/>
                <w:color w:val="000000"/>
                <w:sz w:val="20"/>
                <w:u w:val="none"/>
                <w:shd w:fill="CCCCCC" w:val="clear"/>
              </w:rPr>
              <w:t>N°</w:t>
            </w:r>
          </w:p>
        </w:tc>
        <w:tc>
          <w:tcPr>
            <w:tcW w:w="7769" w:type="dxa"/>
            <w:tcBorders>
              <w:top w:val="single" w:sz="4" w:space="0" w:color="000000"/>
              <w:left w:val="single" w:sz="4" w:space="0" w:color="000000"/>
              <w:bottom w:val="single" w:sz="4" w:space="0" w:color="000000"/>
              <w:right w:val="single" w:sz="4" w:space="0" w:color="000000"/>
            </w:tcBorders>
            <w:shd w:color="C0C0C0" w:fill="C0C0C0" w:val="clear"/>
          </w:tcPr>
          <w:p>
            <w:pPr>
              <w:pStyle w:val="Normal"/>
              <w:keepNext w:val="true"/>
              <w:keepLines/>
              <w:widowControl w:val="false"/>
              <w:spacing w:before="120" w:after="0"/>
              <w:jc w:val="left"/>
              <w:rPr>
                <w:color w:val="000000"/>
                <w:highlight w:val="none"/>
                <w:shd w:fill="CCCCCC" w:val="clear"/>
              </w:rPr>
            </w:pPr>
            <w:r>
              <w:rPr>
                <w:rFonts w:eastAsia="arial" w:cs="arial" w:ascii="arial" w:hAnsi="arial"/>
                <w:b/>
                <w:i w:val="false"/>
                <w:color w:val="000000"/>
                <w:sz w:val="20"/>
                <w:u w:val="none"/>
                <w:shd w:fill="CCCCCC" w:val="clear"/>
              </w:rPr>
              <w:t>Intitulés lots séparés</w:t>
            </w:r>
          </w:p>
        </w:tc>
      </w:tr>
      <w:tr>
        <w:trPr>
          <w:cantSplit w:val="true"/>
        </w:trPr>
        <w:tc>
          <w:tcPr>
            <w:tcW w:w="863"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keepNext w:val="true"/>
              <w:keepLines/>
              <w:widowControl w:val="false"/>
              <w:spacing w:before="120" w:after="0"/>
              <w:jc w:val="left"/>
              <w:rPr>
                <w:color w:val="000000"/>
                <w:highlight w:val="none"/>
                <w:shd w:fill="FFFFFF" w:val="clear"/>
              </w:rPr>
            </w:pPr>
            <w:r>
              <w:rPr>
                <w:rFonts w:eastAsia="arial" w:cs="arial" w:ascii="arial" w:hAnsi="arial"/>
                <w:b w:val="false"/>
                <w:i w:val="false"/>
                <w:color w:val="000000"/>
                <w:sz w:val="20"/>
                <w:u w:val="none"/>
                <w:shd w:fill="FFFFFF" w:val="clear"/>
              </w:rPr>
              <w:t>1</w:t>
            </w:r>
          </w:p>
        </w:tc>
        <w:tc>
          <w:tcPr>
            <w:tcW w:w="7769"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keepNext w:val="true"/>
              <w:keepLines/>
              <w:widowControl w:val="false"/>
              <w:spacing w:before="120" w:after="0"/>
              <w:jc w:val="left"/>
              <w:rPr>
                <w:color w:val="000000"/>
                <w:highlight w:val="none"/>
                <w:shd w:fill="FFFFFF" w:val="clear"/>
              </w:rPr>
            </w:pPr>
            <w:r>
              <w:rPr>
                <w:rFonts w:eastAsia="arial" w:cs="arial" w:ascii="arial" w:hAnsi="arial"/>
                <w:b w:val="false"/>
                <w:i w:val="false"/>
                <w:color w:val="000000"/>
                <w:sz w:val="20"/>
                <w:u w:val="none"/>
                <w:shd w:fill="FFFFFF" w:val="clear"/>
              </w:rPr>
              <w:t>Détection des punaises de lit par un chien renifleur</w:t>
            </w:r>
          </w:p>
        </w:tc>
      </w:tr>
      <w:tr>
        <w:trPr>
          <w:cantSplit w:val="true"/>
        </w:trPr>
        <w:tc>
          <w:tcPr>
            <w:tcW w:w="863"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keepNext w:val="true"/>
              <w:keepLines/>
              <w:widowControl w:val="false"/>
              <w:spacing w:before="120" w:after="0"/>
              <w:jc w:val="left"/>
              <w:rPr>
                <w:color w:val="000000"/>
                <w:highlight w:val="none"/>
                <w:shd w:fill="FFFFFF" w:val="clear"/>
              </w:rPr>
            </w:pPr>
            <w:r>
              <w:rPr>
                <w:rFonts w:eastAsia="arial" w:cs="arial" w:ascii="arial" w:hAnsi="arial"/>
                <w:b w:val="false"/>
                <w:i w:val="false"/>
                <w:color w:val="000000"/>
                <w:sz w:val="20"/>
                <w:u w:val="none"/>
                <w:shd w:fill="FFFFFF" w:val="clear"/>
              </w:rPr>
              <w:t>2</w:t>
            </w:r>
          </w:p>
        </w:tc>
        <w:tc>
          <w:tcPr>
            <w:tcW w:w="7769" w:type="dxa"/>
            <w:tcBorders>
              <w:top w:val="single" w:sz="4" w:space="0" w:color="000000"/>
              <w:left w:val="single" w:sz="4" w:space="0" w:color="000000"/>
              <w:bottom w:val="single" w:sz="4" w:space="0" w:color="000000"/>
              <w:right w:val="single" w:sz="4" w:space="0" w:color="000000"/>
            </w:tcBorders>
            <w:shd w:color="FFFFFF" w:fill="FFFFFF" w:val="clear"/>
          </w:tcPr>
          <w:p>
            <w:pPr>
              <w:pStyle w:val="Normal"/>
              <w:keepNext w:val="true"/>
              <w:keepLines/>
              <w:widowControl w:val="false"/>
              <w:spacing w:before="120" w:after="0"/>
              <w:jc w:val="left"/>
              <w:rPr>
                <w:color w:val="000000"/>
                <w:highlight w:val="none"/>
                <w:shd w:fill="FFFFFF" w:val="clear"/>
              </w:rPr>
            </w:pPr>
            <w:r>
              <w:rPr>
                <w:rFonts w:eastAsia="arial" w:cs="arial" w:ascii="arial" w:hAnsi="arial"/>
                <w:b w:val="false"/>
                <w:i w:val="false"/>
                <w:color w:val="000000"/>
                <w:sz w:val="20"/>
                <w:u w:val="none"/>
                <w:shd w:fill="FFFFFF" w:val="clear"/>
              </w:rPr>
              <w:t>Désinsectisation des punaises de lit au sein des établissements municipaux</w:t>
            </w:r>
          </w:p>
        </w:tc>
      </w:tr>
    </w:tbl>
    <w:p>
      <w:pPr>
        <w:pStyle w:val="Normal"/>
        <w:rPr>
          <w:color w:val="000000"/>
          <w:highlight w:val="none"/>
          <w:shd w:fill="FFFFFF" w:val="clear"/>
        </w:rPr>
      </w:pPr>
      <w:r>
        <w:rPr>
          <w:color w:val="000000"/>
          <w:shd w:fill="FFFFFF" w:val="clear"/>
        </w:rPr>
      </w:r>
    </w:p>
    <w:p>
      <w:pPr>
        <w:pStyle w:val="Titre3"/>
        <w:numPr>
          <w:ilvl w:val="2"/>
          <w:numId w:val="2"/>
        </w:numPr>
        <w:rPr>
          <w:color w:val="000000"/>
          <w:highlight w:val="none"/>
          <w:shd w:fill="FFFFFF" w:val="clear"/>
        </w:rPr>
      </w:pPr>
      <w:bookmarkStart w:id="6" w:name="_Toc3849"/>
      <w:r>
        <w:rPr>
          <w:color w:val="000000"/>
          <w:shd w:fill="FFFFFF" w:val="clear"/>
        </w:rPr>
        <w:t>Décomposition en tranches</w:t>
      </w:r>
      <w:bookmarkEnd w:id="6"/>
    </w:p>
    <w:p>
      <w:pPr>
        <w:pStyle w:val="Normal"/>
        <w:rPr>
          <w:color w:val="000000"/>
          <w:highlight w:val="none"/>
          <w:shd w:fill="FFFFFF" w:val="clear"/>
        </w:rPr>
      </w:pPr>
      <w:r>
        <w:rPr>
          <w:rFonts w:eastAsia="arial" w:cs="arial" w:ascii="arial" w:hAnsi="arial"/>
          <w:b w:val="false"/>
          <w:i w:val="false"/>
          <w:color w:val="000000"/>
          <w:sz w:val="20"/>
          <w:u w:val="none"/>
          <w:shd w:fill="FFFFFF" w:val="clear"/>
        </w:rPr>
        <w:t>L'ensemble des prestations n'est pas subdivisé en tranches.</w:t>
      </w:r>
    </w:p>
    <w:p>
      <w:pPr>
        <w:pStyle w:val="Titre3"/>
        <w:numPr>
          <w:ilvl w:val="2"/>
          <w:numId w:val="2"/>
        </w:numPr>
        <w:rPr>
          <w:color w:val="000000"/>
          <w:highlight w:val="none"/>
          <w:shd w:fill="FFFFFF" w:val="clear"/>
        </w:rPr>
      </w:pPr>
      <w:bookmarkStart w:id="7" w:name="_Toc3850"/>
      <w:r>
        <w:rPr>
          <w:color w:val="000000"/>
          <w:shd w:fill="FFFFFF" w:val="clear"/>
        </w:rPr>
        <w:t>Décomposition en postes</w:t>
      </w:r>
      <w:bookmarkEnd w:id="7"/>
    </w:p>
    <w:p>
      <w:pPr>
        <w:pStyle w:val="Titre3"/>
        <w:numPr>
          <w:ilvl w:val="0"/>
          <w:numId w:val="0"/>
        </w:numPr>
        <w:ind w:left="0" w:hanging="0"/>
        <w:rPr>
          <w:color w:val="000000"/>
          <w:highlight w:val="none"/>
          <w:shd w:fill="FFFFFF" w:val="clear"/>
        </w:rPr>
      </w:pPr>
      <w:r>
        <w:rPr>
          <w:color w:val="000000"/>
          <w:shd w:fill="FFFFFF" w:val="clear"/>
        </w:rPr>
      </w:r>
    </w:p>
    <w:p>
      <w:pPr>
        <w:pStyle w:val="Normal"/>
        <w:rPr>
          <w:b/>
          <w:b/>
          <w:bCs/>
        </w:rPr>
      </w:pPr>
      <w:r>
        <w:rPr>
          <w:rFonts w:eastAsia="arial" w:cs="arial" w:ascii="arial" w:hAnsi="arial"/>
          <w:b/>
          <w:bCs/>
          <w:i w:val="false"/>
          <w:color w:val="000000"/>
          <w:sz w:val="20"/>
          <w:u w:val="none"/>
          <w:shd w:fill="FFFFFF" w:val="clear"/>
        </w:rPr>
        <w:t>Le lot 2 est décomposé en postes :</w:t>
      </w:r>
    </w:p>
    <w:p>
      <w:pPr>
        <w:pStyle w:val="Normal"/>
        <w:rPr>
          <w:color w:val="000000"/>
          <w:highlight w:val="none"/>
          <w:shd w:fill="FFFFFF" w:val="clear"/>
        </w:rPr>
      </w:pPr>
      <w:r>
        <w:rPr>
          <w:color w:val="000000"/>
          <w:shd w:fill="FFFFFF" w:val="clear"/>
        </w:rPr>
      </w:r>
    </w:p>
    <w:p>
      <w:pPr>
        <w:pStyle w:val="Normal"/>
        <w:rPr>
          <w:b w:val="false"/>
          <w:b w:val="false"/>
          <w:bCs w:val="false"/>
        </w:rPr>
      </w:pPr>
      <w:r>
        <w:rPr>
          <w:rFonts w:eastAsia="arial" w:cs="arial" w:ascii="arial" w:hAnsi="arial"/>
          <w:b w:val="false"/>
          <w:bCs w:val="false"/>
          <w:i w:val="false"/>
          <w:color w:val="000000"/>
          <w:sz w:val="20"/>
          <w:u w:val="none"/>
          <w:shd w:fill="FFFFFF" w:val="clear"/>
        </w:rPr>
        <w:t>Poste 1 : Désinsectisation par emploi de la vapeur et peroxyde de d’hydrogène.</w:t>
      </w:r>
    </w:p>
    <w:p>
      <w:pPr>
        <w:pStyle w:val="Normal"/>
        <w:rPr>
          <w:b w:val="false"/>
          <w:b w:val="false"/>
          <w:bCs w:val="false"/>
        </w:rPr>
      </w:pPr>
      <w:r>
        <w:rPr>
          <w:rFonts w:eastAsia="arial" w:cs="arial" w:ascii="arial" w:hAnsi="arial"/>
          <w:b w:val="false"/>
          <w:bCs w:val="false"/>
          <w:i w:val="false"/>
          <w:color w:val="000000"/>
          <w:sz w:val="20"/>
          <w:u w:val="none"/>
          <w:shd w:fill="FFFFFF" w:val="clear"/>
        </w:rPr>
        <w:t>Poste 2 : Désinsectisation par emploi biocide</w:t>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Titre2"/>
        <w:numPr>
          <w:ilvl w:val="1"/>
          <w:numId w:val="2"/>
        </w:numPr>
        <w:rPr>
          <w:color w:val="000000"/>
          <w:highlight w:val="none"/>
          <w:shd w:fill="FFFFFF" w:val="clear"/>
        </w:rPr>
      </w:pPr>
      <w:bookmarkStart w:id="8" w:name="_Toc3851"/>
      <w:r>
        <w:rPr>
          <w:color w:val="000000"/>
          <w:shd w:fill="FFFFFF" w:val="clear"/>
        </w:rPr>
        <w:t>Modalités d'exécution des tranches optionnelles</w:t>
      </w:r>
      <w:bookmarkEnd w:id="8"/>
    </w:p>
    <w:p>
      <w:pPr>
        <w:pStyle w:val="Normal"/>
        <w:rPr>
          <w:color w:val="000000"/>
          <w:highlight w:val="none"/>
          <w:shd w:fill="FFFFFF" w:val="clear"/>
        </w:rPr>
      </w:pPr>
      <w:r>
        <w:rPr>
          <w:rFonts w:eastAsia="arial" w:cs="arial" w:ascii="arial" w:hAnsi="arial"/>
          <w:b w:val="false"/>
          <w:i w:val="false"/>
          <w:color w:val="000000"/>
          <w:sz w:val="20"/>
          <w:u w:val="none"/>
          <w:shd w:fill="FFFFFF" w:val="clear"/>
        </w:rPr>
        <w:t>L'ensemble des prestations n'est pas subdivisé en tranches.</w:t>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Titre2"/>
        <w:numPr>
          <w:ilvl w:val="1"/>
          <w:numId w:val="2"/>
        </w:numPr>
        <w:rPr>
          <w:color w:val="000000"/>
          <w:highlight w:val="none"/>
          <w:shd w:fill="FFFFFF" w:val="clear"/>
        </w:rPr>
      </w:pPr>
      <w:bookmarkStart w:id="9" w:name="_Toc3852"/>
      <w:r>
        <w:rPr>
          <w:color w:val="000000"/>
          <w:shd w:fill="FFFFFF" w:val="clear"/>
        </w:rPr>
        <w:t>Accord-cadre à bons de commande</w:t>
      </w:r>
      <w:bookmarkEnd w:id="9"/>
    </w:p>
    <w:p>
      <w:pPr>
        <w:pStyle w:val="Normal"/>
        <w:rPr>
          <w:color w:val="000000"/>
          <w:highlight w:val="none"/>
          <w:shd w:fill="FFFFFF" w:val="clear"/>
        </w:rPr>
      </w:pPr>
      <w:r>
        <w:rPr>
          <w:rFonts w:eastAsia="arial" w:cs="arial" w:ascii="arial" w:hAnsi="arial"/>
          <w:b w:val="false"/>
          <w:i w:val="false"/>
          <w:color w:val="000000"/>
          <w:sz w:val="20"/>
          <w:u w:val="none"/>
          <w:shd w:fill="FFFFFF" w:val="clear"/>
        </w:rPr>
        <w:t>Le présent marché est un accord-cadre exécuté par l'émission de bons de commande, en application des articles R2162-1 à 6 et R2162-13 et 14 du Code de la commande publique</w:t>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bons de commandes seront émis dans les conditions et limites suivantes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valeurs données ci-après sont données sur toute la durée du marché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Lot 1 : Montant minimum : 50 000 euros HT maximum : 140 000 euros HT</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Lot 2 : Montant minimum : 5 000 euros HT maximum : 60 000 euros HT</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Titre2"/>
        <w:numPr>
          <w:ilvl w:val="1"/>
          <w:numId w:val="2"/>
        </w:numPr>
        <w:rPr>
          <w:color w:val="000000"/>
          <w:highlight w:val="none"/>
          <w:shd w:fill="FFFFFF" w:val="clear"/>
        </w:rPr>
      </w:pPr>
      <w:bookmarkStart w:id="10" w:name="_Toc3853"/>
      <w:r>
        <w:rPr>
          <w:color w:val="000000"/>
          <w:shd w:fill="FFFFFF" w:val="clear"/>
        </w:rPr>
        <w:t>Date d'effet du marché</w:t>
      </w:r>
      <w:bookmarkEnd w:id="10"/>
    </w:p>
    <w:p>
      <w:pPr>
        <w:pStyle w:val="Normal"/>
        <w:rPr>
          <w:color w:val="000000"/>
          <w:highlight w:val="none"/>
          <w:shd w:fill="FFFFFF" w:val="clear"/>
        </w:rPr>
      </w:pPr>
      <w:r>
        <w:rPr>
          <w:rFonts w:eastAsia="arial" w:cs="arial" w:ascii="arial" w:hAnsi="arial"/>
          <w:b w:val="false"/>
          <w:i w:val="false"/>
          <w:color w:val="000000"/>
          <w:sz w:val="20"/>
          <w:u w:val="none"/>
          <w:shd w:fill="FFFFFF" w:val="clear"/>
        </w:rPr>
        <w:t>La date de début de la période de validité et d'exécution du marché est la date de notification du marché au titulaire.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Par dérogation à l'article 13.1.1 du CCAG FCS, la date de début d'exécution du marché est la date de démarrage des prestations indiquées dans l'ordre de service n°1.</w:t>
      </w:r>
    </w:p>
    <w:p>
      <w:pPr>
        <w:pStyle w:val="Titre2"/>
        <w:numPr>
          <w:ilvl w:val="1"/>
          <w:numId w:val="2"/>
        </w:numPr>
        <w:rPr>
          <w:color w:val="000000"/>
          <w:highlight w:val="none"/>
          <w:shd w:fill="FFFFFF" w:val="clear"/>
        </w:rPr>
      </w:pPr>
      <w:bookmarkStart w:id="11" w:name="_Toc3854"/>
      <w:r>
        <w:rPr>
          <w:color w:val="000000"/>
          <w:shd w:fill="FFFFFF" w:val="clear"/>
        </w:rPr>
        <w:t>Durée du marché - Période de validité</w:t>
      </w:r>
      <w:bookmarkEnd w:id="11"/>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La durée du marché se définit comme suit :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4 ans à compter de la date de notification.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Cette durée est une durée ferme et ne pourra faire l'objet de reconductions.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bons de commande émis en fin de marché ne pourront voir leur exécution se prolonger de plus de 3 mois après la date d'expiration du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Titre2"/>
        <w:numPr>
          <w:ilvl w:val="1"/>
          <w:numId w:val="2"/>
        </w:numPr>
        <w:rPr>
          <w:color w:val="000000"/>
          <w:highlight w:val="none"/>
          <w:shd w:fill="FFFFFF" w:val="clear"/>
        </w:rPr>
      </w:pPr>
      <w:bookmarkStart w:id="12" w:name="_Toc3855"/>
      <w:r>
        <w:rPr>
          <w:color w:val="000000"/>
          <w:shd w:fill="FFFFFF" w:val="clear"/>
        </w:rPr>
        <w:t>Clause obligatoire d'insertion par l'activité économique</w:t>
      </w:r>
      <w:bookmarkEnd w:id="12"/>
    </w:p>
    <w:p>
      <w:pPr>
        <w:pStyle w:val="Normal"/>
        <w:rPr>
          <w:color w:val="000000"/>
          <w:highlight w:val="none"/>
          <w:shd w:fill="FFFFFF" w:val="clear"/>
        </w:rPr>
      </w:pPr>
      <w:r>
        <w:rPr>
          <w:rFonts w:eastAsia="arial" w:cs="arial" w:ascii="arial" w:hAnsi="arial"/>
          <w:b w:val="false"/>
          <w:i w:val="false"/>
          <w:color w:val="000000"/>
          <w:sz w:val="20"/>
          <w:u w:val="none"/>
          <w:shd w:fill="FFFFFF" w:val="clear"/>
        </w:rPr>
        <w:t>Le marché ne prévoit pas la mise en place d'une clause obligatoire d'insertion par l'activité économique.</w:t>
      </w:r>
    </w:p>
    <w:p>
      <w:pPr>
        <w:pStyle w:val="Titre1"/>
        <w:numPr>
          <w:ilvl w:val="0"/>
          <w:numId w:val="2"/>
        </w:numPr>
        <w:rPr>
          <w:color w:val="000000"/>
          <w:highlight w:val="none"/>
          <w:shd w:fill="FFFFFF" w:val="clear"/>
        </w:rPr>
      </w:pPr>
      <w:bookmarkStart w:id="13" w:name="_Toc3857"/>
      <w:r>
        <w:rPr>
          <w:color w:val="000000"/>
          <w:shd w:fill="FFFFFF" w:val="clear"/>
        </w:rPr>
        <w:t>DOCUMENTS CONTRACTUELS</w:t>
      </w:r>
      <w:bookmarkEnd w:id="13"/>
    </w:p>
    <w:p>
      <w:pPr>
        <w:pStyle w:val="Normal"/>
        <w:rPr>
          <w:color w:val="000000"/>
          <w:highlight w:val="none"/>
          <w:shd w:fill="FFFFFF" w:val="clear"/>
        </w:rPr>
      </w:pPr>
      <w:r>
        <w:rPr>
          <w:rFonts w:eastAsia="arial" w:cs="arial" w:ascii="arial" w:hAnsi="arial"/>
          <w:b/>
          <w:i w:val="false"/>
          <w:color w:val="000000"/>
          <w:sz w:val="20"/>
          <w:u w:val="none"/>
          <w:shd w:fill="FFFFFF" w:val="clear"/>
        </w:rPr>
        <w:t>Par dérogation à l'article 4.1 du C.C.A.G. FCS</w:t>
      </w:r>
      <w:r>
        <w:rPr>
          <w:rFonts w:eastAsia="arial" w:cs="arial" w:ascii="arial" w:hAnsi="arial"/>
          <w:b w:val="false"/>
          <w:i w:val="false"/>
          <w:color w:val="000000"/>
          <w:sz w:val="20"/>
          <w:u w:val="none"/>
          <w:shd w:fill="FFFFFF" w:val="clear"/>
        </w:rPr>
        <w:t>, les pièces constitutives du marché sont les suivantes par ordre de priorité décroissante :</w:t>
      </w:r>
    </w:p>
    <w:p>
      <w:pPr>
        <w:pStyle w:val="Normal"/>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L'Acte d'Engagement (AE) et ses annexes désignées ci-après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Le Bordereau de Prix Unitaires (B.P.U)</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présent cahier des clauses administratives particulières (C.C.A.P.)</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document intitulé Cahier des Clauses Techniques Particulières (C.C.T.P.)</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Le cahier des clauses administratives générales (C.C.A.G.) applicable aux marchés publics de Fournitures courantes et de services approuvé par l'arrêté du 30 mars 2021 publié au JORF du 1er avril 2021</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Le mémoire technique pour chacun des lots</w:t>
      </w:r>
    </w:p>
    <w:p>
      <w:pPr>
        <w:pStyle w:val="Titre1"/>
        <w:numPr>
          <w:ilvl w:val="0"/>
          <w:numId w:val="2"/>
        </w:numPr>
        <w:rPr>
          <w:color w:val="000000"/>
          <w:highlight w:val="none"/>
          <w:shd w:fill="FFFFFF" w:val="clear"/>
        </w:rPr>
      </w:pPr>
      <w:bookmarkStart w:id="14" w:name="_Toc3858"/>
      <w:r>
        <w:rPr>
          <w:color w:val="000000"/>
          <w:shd w:fill="FFFFFF" w:val="clear"/>
        </w:rPr>
        <w:t>DÉLAIS DE LIVRAISON ET/OU D</w:t>
      </w:r>
      <w:bookmarkEnd w:id="14"/>
      <w:r>
        <w:rPr>
          <w:color w:val="000000"/>
          <w:shd w:fill="FFFFFF" w:val="clear"/>
        </w:rPr>
        <w:t>’EXÉCUTION</w:t>
      </w:r>
    </w:p>
    <w:p>
      <w:pPr>
        <w:pStyle w:val="Titre2"/>
        <w:numPr>
          <w:ilvl w:val="1"/>
          <w:numId w:val="2"/>
        </w:numPr>
        <w:rPr>
          <w:color w:val="000000"/>
          <w:highlight w:val="none"/>
          <w:shd w:fill="FFFFFF" w:val="clear"/>
        </w:rPr>
      </w:pPr>
      <w:bookmarkStart w:id="15" w:name="_Toc3859"/>
      <w:r>
        <w:rPr>
          <w:color w:val="000000"/>
          <w:shd w:fill="FFFFFF" w:val="clear"/>
        </w:rPr>
        <w:t>Délais</w:t>
      </w:r>
      <w:bookmarkEnd w:id="15"/>
    </w:p>
    <w:p>
      <w:pPr>
        <w:pStyle w:val="Normal"/>
        <w:rPr>
          <w:color w:val="000000"/>
          <w:highlight w:val="none"/>
          <w:shd w:fill="FFFFFF" w:val="clear"/>
        </w:rPr>
      </w:pPr>
      <w:r>
        <w:rPr>
          <w:rFonts w:eastAsia="arial" w:cs="arial" w:ascii="arial" w:hAnsi="arial"/>
          <w:b w:val="false"/>
          <w:i w:val="false"/>
          <w:color w:val="000000"/>
          <w:sz w:val="20"/>
          <w:u w:val="none"/>
          <w:shd w:fill="FFFFFF" w:val="clear"/>
        </w:rPr>
        <w:t>Le délai de d'exécution est fixé comme suit :</w:t>
      </w:r>
      <w:r>
        <w:rPr>
          <w:rFonts w:eastAsia="arial" w:cs="arial" w:ascii="arial" w:hAnsi="arial"/>
          <w:b/>
          <w:i w:val="false"/>
          <w:color w:val="000000"/>
          <w:sz w:val="20"/>
          <w:u w:val="none"/>
          <w:shd w:fill="FFFFFF" w:val="clear"/>
        </w:rPr>
        <w:t xml:space="preserve"> </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Pour l’ensemble des lots, le délai d’exécution est fixé à 48 heures à compter de la réception du bon de commande.</w:t>
      </w:r>
    </w:p>
    <w:p>
      <w:pPr>
        <w:pStyle w:val="Titre2"/>
        <w:numPr>
          <w:ilvl w:val="1"/>
          <w:numId w:val="2"/>
        </w:numPr>
        <w:rPr>
          <w:color w:val="000000"/>
          <w:highlight w:val="none"/>
          <w:shd w:fill="FFFFFF" w:val="clear"/>
        </w:rPr>
      </w:pPr>
      <w:bookmarkStart w:id="16" w:name="_Toc3860"/>
      <w:r>
        <w:rPr>
          <w:color w:val="000000"/>
          <w:shd w:fill="FFFFFF" w:val="clear"/>
        </w:rPr>
        <w:t xml:space="preserve">Emission des bons de commande </w:t>
      </w:r>
      <w:bookmarkEnd w:id="16"/>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commandes sont faites au fur et à mesure des besoins par le moyen de bons de commande délivrés par le service et qui comporteront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référence au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désignation de la désignation de la prestation à effectuer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quantité commandée- Le lieu d'exécution,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Le délai d'exécution,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Le montant total en Euro HT et TTC du bon de commande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date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La personne habilitée à signer les bons de commande est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Directeur de la Santé Publique et de l’Inclusion</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bons de commande seront notifiés par courrier, fax (télécopie) ou par mail (avec accusé de réception).</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délai d'exécution commence à courir à compter de la date de notification du bon de commande.</w:t>
      </w:r>
    </w:p>
    <w:p>
      <w:pPr>
        <w:pStyle w:val="Titre1"/>
        <w:numPr>
          <w:ilvl w:val="0"/>
          <w:numId w:val="2"/>
        </w:numPr>
        <w:rPr>
          <w:color w:val="000000"/>
          <w:highlight w:val="none"/>
          <w:shd w:fill="FFFFFF" w:val="clear"/>
        </w:rPr>
      </w:pPr>
      <w:bookmarkStart w:id="17" w:name="_Toc3861"/>
      <w:r>
        <w:rPr>
          <w:color w:val="000000"/>
          <w:shd w:fill="FFFFFF" w:val="clear"/>
        </w:rPr>
        <w:t>ENTREPRISES GROUPEES</w:t>
      </w:r>
      <w:bookmarkEnd w:id="17"/>
    </w:p>
    <w:p>
      <w:pPr>
        <w:pStyle w:val="Normal"/>
        <w:rPr>
          <w:color w:val="000000"/>
          <w:highlight w:val="none"/>
          <w:shd w:fill="FFFFFF" w:val="clear"/>
        </w:rPr>
      </w:pPr>
      <w:r>
        <w:rPr>
          <w:rFonts w:eastAsia="arial" w:cs="arial" w:ascii="arial" w:hAnsi="arial"/>
          <w:b w:val="false"/>
          <w:i w:val="false"/>
          <w:color w:val="000000"/>
          <w:sz w:val="20"/>
          <w:u w:val="none"/>
          <w:shd w:fill="FFFFFF" w:val="clear"/>
        </w:rPr>
        <w:t>Le mandataire du groupement représente l'ensemble des entrepreneurs, vis-à-vis du représentant du pouvoir adjudicateur pour l'exécution du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Il assure, sous sa responsabilité, la coordination de ces entrepreneurs.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Dans le cas d'entrepreneurs groupés conjoints, le mandataire est solidaire de chacun des membres du groupement dans les obligations contractuelles de celui-ci à l'égard de la personne publique jusqu'à la date à laquelle ces obligations prennent fin.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Dans le cas d'entrepreneurs groupés solidaires, si le marché ne désigne pas l'entrepreneur mandataire, celui qui est énuméré le premier dans l'acte d'engagement est le mandataire des autres entrepreneurs.</w:t>
      </w:r>
    </w:p>
    <w:p>
      <w:pPr>
        <w:pStyle w:val="Titre1"/>
        <w:numPr>
          <w:ilvl w:val="0"/>
          <w:numId w:val="2"/>
        </w:numPr>
        <w:rPr>
          <w:color w:val="000000"/>
          <w:highlight w:val="none"/>
          <w:shd w:fill="FFFFFF" w:val="clear"/>
        </w:rPr>
      </w:pPr>
      <w:bookmarkStart w:id="18" w:name="_Toc3862"/>
      <w:r>
        <w:rPr>
          <w:color w:val="000000"/>
          <w:shd w:fill="FFFFFF" w:val="clear"/>
        </w:rPr>
        <w:t>CONDITIONS DE LIVRAISON ET D</w:t>
      </w:r>
      <w:bookmarkEnd w:id="18"/>
      <w:r>
        <w:rPr>
          <w:color w:val="000000"/>
          <w:shd w:fill="FFFFFF" w:val="clear"/>
        </w:rPr>
        <w:t>’EXÉCUTION</w:t>
      </w:r>
    </w:p>
    <w:p>
      <w:pPr>
        <w:pStyle w:val="Titre2"/>
        <w:numPr>
          <w:ilvl w:val="1"/>
          <w:numId w:val="2"/>
        </w:numPr>
        <w:rPr>
          <w:color w:val="000000"/>
          <w:highlight w:val="none"/>
          <w:shd w:fill="FFFFFF" w:val="clear"/>
        </w:rPr>
      </w:pPr>
      <w:bookmarkStart w:id="19" w:name="_Toc3863"/>
      <w:r>
        <w:rPr>
          <w:color w:val="000000"/>
          <w:shd w:fill="FFFFFF" w:val="clear"/>
        </w:rPr>
        <w:t>Transport  et Emballages</w:t>
      </w:r>
      <w:bookmarkEnd w:id="19"/>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frais de transport sont à la charge du titulaire.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Conformément à l'article 20.3 du CCAG FCS, le transport, le conditionnement, le chargement et le déchargement s'effectuent sous la responsabilité du titulaire.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Par dérogation à l'article 20.2.2 du CCAG FCS , les emballages restent la propriété de la personne publique.</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Il n'est pas prévu de dispositions particulières.</w:t>
      </w:r>
    </w:p>
    <w:p>
      <w:pPr>
        <w:pStyle w:val="Titre2"/>
        <w:numPr>
          <w:ilvl w:val="1"/>
          <w:numId w:val="2"/>
        </w:numPr>
        <w:rPr>
          <w:color w:val="000000"/>
          <w:highlight w:val="none"/>
          <w:shd w:fill="FFFFFF" w:val="clear"/>
        </w:rPr>
      </w:pPr>
      <w:bookmarkStart w:id="20" w:name="_Toc3864"/>
      <w:r>
        <w:rPr>
          <w:color w:val="000000"/>
          <w:shd w:fill="FFFFFF" w:val="clear"/>
        </w:rPr>
        <w:t>Lieux d'exécution ou de livraison</w:t>
      </w:r>
      <w:bookmarkEnd w:id="20"/>
    </w:p>
    <w:p>
      <w:pPr>
        <w:pStyle w:val="Normal"/>
        <w:rPr>
          <w:color w:val="000000"/>
          <w:highlight w:val="none"/>
          <w:shd w:fill="FFFFFF" w:val="clear"/>
        </w:rPr>
      </w:pPr>
      <w:r>
        <w:rPr>
          <w:rFonts w:eastAsia="arial" w:cs="arial" w:ascii="arial" w:hAnsi="arial"/>
          <w:b w:val="false"/>
          <w:i w:val="false"/>
          <w:color w:val="000000"/>
          <w:sz w:val="20"/>
          <w:u w:val="none"/>
          <w:shd w:fill="FFFFFF" w:val="clear"/>
        </w:rPr>
        <w:t>Le lieu d'exécution est précisé dans chaque bon de commande.</w:t>
      </w:r>
    </w:p>
    <w:p>
      <w:pPr>
        <w:pStyle w:val="Titre1"/>
        <w:numPr>
          <w:ilvl w:val="0"/>
          <w:numId w:val="2"/>
        </w:numPr>
        <w:rPr>
          <w:color w:val="000000"/>
          <w:highlight w:val="none"/>
          <w:shd w:fill="FFFFFF" w:val="clear"/>
        </w:rPr>
      </w:pPr>
      <w:bookmarkStart w:id="21" w:name="_Toc3865"/>
      <w:r>
        <w:rPr>
          <w:color w:val="000000"/>
          <w:shd w:fill="FFFFFF" w:val="clear"/>
        </w:rPr>
        <w:t>CONDITIONS PARTICULIERES D'EXECUTION</w:t>
      </w:r>
      <w:bookmarkEnd w:id="21"/>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C.C.T.P du marché fixe les conditions particulières d'exécution.</w:t>
      </w:r>
    </w:p>
    <w:p>
      <w:pPr>
        <w:pStyle w:val="Titre1"/>
        <w:numPr>
          <w:ilvl w:val="0"/>
          <w:numId w:val="2"/>
        </w:numPr>
        <w:rPr>
          <w:color w:val="000000"/>
          <w:highlight w:val="none"/>
          <w:shd w:fill="FFFFFF" w:val="clear"/>
        </w:rPr>
      </w:pPr>
      <w:bookmarkStart w:id="22" w:name="_Toc3866"/>
      <w:r>
        <w:rPr>
          <w:color w:val="000000"/>
          <w:shd w:fill="FFFFFF" w:val="clear"/>
        </w:rPr>
        <w:t>OPERATIONS DE VERIFICATIONS / ADMISSION</w:t>
      </w:r>
      <w:bookmarkEnd w:id="22"/>
    </w:p>
    <w:p>
      <w:pPr>
        <w:pStyle w:val="Titre2"/>
        <w:numPr>
          <w:ilvl w:val="1"/>
          <w:numId w:val="2"/>
        </w:numPr>
        <w:rPr>
          <w:color w:val="000000"/>
          <w:highlight w:val="none"/>
          <w:shd w:fill="FFFFFF" w:val="clear"/>
        </w:rPr>
      </w:pPr>
      <w:bookmarkStart w:id="23" w:name="_Toc3867"/>
      <w:r>
        <w:rPr>
          <w:color w:val="000000"/>
          <w:shd w:fill="FFFFFF" w:val="clear"/>
        </w:rPr>
        <w:t>Vérifications</w:t>
      </w:r>
      <w:bookmarkEnd w:id="23"/>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opérations de vérifications prévues ci-dessous sont effectuées dans les conditions prévues aux articles 27 à 29 du CCAG/FCS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Vérification quantitative : Lors de la livraison, le réceptionnaire procède à des vérifications quantitatives entre la fourniture demandée et la fourniture effectivement livrée.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Vérification qualitative : Lors de la livraison, le réceptionnaire procède à des vérifications qualitatives et indiquera, s'il y a lieu, au titulaire tout défaut constaté par rapport à la fourniture demandée.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L'article 27.3 du CCAG/FCS n'est pas applicable.</w:t>
      </w:r>
    </w:p>
    <w:p>
      <w:pPr>
        <w:pStyle w:val="Titre2"/>
        <w:numPr>
          <w:ilvl w:val="1"/>
          <w:numId w:val="2"/>
        </w:numPr>
        <w:rPr>
          <w:color w:val="000000"/>
          <w:highlight w:val="none"/>
          <w:shd w:fill="FFFFFF" w:val="clear"/>
        </w:rPr>
      </w:pPr>
      <w:bookmarkStart w:id="24" w:name="_Toc3868"/>
      <w:r>
        <w:rPr>
          <w:color w:val="000000"/>
          <w:shd w:fill="FFFFFF" w:val="clear"/>
        </w:rPr>
        <w:t>Admission</w:t>
      </w:r>
      <w:bookmarkEnd w:id="24"/>
    </w:p>
    <w:p>
      <w:pPr>
        <w:pStyle w:val="Normal"/>
        <w:rPr>
          <w:color w:val="000000"/>
          <w:highlight w:val="none"/>
          <w:shd w:fill="FFFFFF" w:val="clear"/>
        </w:rPr>
      </w:pPr>
      <w:r>
        <w:rPr>
          <w:rFonts w:eastAsia="arial" w:cs="arial" w:ascii="arial" w:hAnsi="arial"/>
          <w:b w:val="false"/>
          <w:i w:val="false"/>
          <w:color w:val="000000"/>
          <w:sz w:val="20"/>
          <w:u w:val="none"/>
          <w:shd w:fill="FFFFFF" w:val="clear"/>
        </w:rPr>
        <w:t>Suite aux vérifications, les décisions d'admission, de réfaction, d'ajournement ou de rejet des prestations sont prises dans les conditions prévues à l'article 30 du C.C.A.G./F.C.S par le responsable désigné par la personne publique. Les opérations de vérification et la notification de la décision du pouvoir adjudicateur doivent être effectuées sous un délai de quinze jours. Passé ce délai, la décision d'admission des prestations est réputée acquise.</w:t>
      </w:r>
    </w:p>
    <w:p>
      <w:pPr>
        <w:pStyle w:val="Normal"/>
        <w:rPr>
          <w:color w:val="000000"/>
          <w:highlight w:val="none"/>
          <w:shd w:fill="FFFFFF" w:val="clear"/>
        </w:rPr>
      </w:pPr>
      <w:r>
        <w:rPr>
          <w:color w:val="000000"/>
          <w:shd w:fill="FFFFFF" w:val="clear"/>
        </w:rPr>
      </w:r>
    </w:p>
    <w:p>
      <w:pPr>
        <w:pStyle w:val="Titre1"/>
        <w:numPr>
          <w:ilvl w:val="0"/>
          <w:numId w:val="2"/>
        </w:numPr>
        <w:rPr>
          <w:color w:val="000000"/>
          <w:highlight w:val="none"/>
          <w:shd w:fill="FFFFFF" w:val="clear"/>
        </w:rPr>
      </w:pPr>
      <w:bookmarkStart w:id="25" w:name="_Toc3869"/>
      <w:r>
        <w:rPr>
          <w:color w:val="000000"/>
          <w:shd w:fill="FFFFFF" w:val="clear"/>
        </w:rPr>
        <w:t>GARANTIE CONTRACTUELLE</w:t>
      </w:r>
      <w:bookmarkEnd w:id="25"/>
    </w:p>
    <w:p>
      <w:pPr>
        <w:pStyle w:val="Titre2"/>
        <w:numPr>
          <w:ilvl w:val="1"/>
          <w:numId w:val="2"/>
        </w:numPr>
        <w:rPr>
          <w:color w:val="000000"/>
          <w:highlight w:val="none"/>
          <w:shd w:fill="FFFFFF" w:val="clear"/>
        </w:rPr>
      </w:pPr>
      <w:bookmarkStart w:id="26" w:name="_Toc3870"/>
      <w:r>
        <w:rPr>
          <w:color w:val="000000"/>
          <w:shd w:fill="FFFFFF" w:val="clear"/>
        </w:rPr>
        <w:t>Durée de garantie</w:t>
      </w:r>
      <w:bookmarkEnd w:id="26"/>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prestations</w:t>
      </w:r>
      <w:r>
        <w:rPr>
          <w:rFonts w:eastAsia="arial" w:cs="arial" w:ascii="arial" w:hAnsi="arial"/>
          <w:b/>
          <w:i w:val="false"/>
          <w:color w:val="000000"/>
          <w:sz w:val="20"/>
          <w:u w:val="none"/>
          <w:shd w:fill="FFFFFF" w:val="clear"/>
        </w:rPr>
        <w:t xml:space="preserve"> </w:t>
      </w:r>
      <w:r>
        <w:rPr>
          <w:rFonts w:eastAsia="arial" w:cs="arial" w:ascii="arial" w:hAnsi="arial"/>
          <w:b w:val="false"/>
          <w:i w:val="false"/>
          <w:color w:val="000000"/>
          <w:sz w:val="20"/>
          <w:u w:val="none"/>
          <w:shd w:fill="FFFFFF" w:val="clear"/>
        </w:rPr>
        <w:t>font l'objet d'une garantie d'une durée de 1 an, conformément à l'article 33 du CCAG/FCS.</w:t>
      </w:r>
    </w:p>
    <w:p>
      <w:pPr>
        <w:pStyle w:val="Titre2"/>
        <w:numPr>
          <w:ilvl w:val="1"/>
          <w:numId w:val="2"/>
        </w:numPr>
        <w:rPr>
          <w:color w:val="000000"/>
          <w:highlight w:val="none"/>
          <w:shd w:fill="FFFFFF" w:val="clear"/>
        </w:rPr>
      </w:pPr>
      <w:bookmarkStart w:id="27" w:name="_Toc3871"/>
      <w:r>
        <w:rPr>
          <w:color w:val="000000"/>
          <w:shd w:fill="FFFFFF" w:val="clear"/>
        </w:rPr>
        <w:t>Point de départ de la garantie</w:t>
      </w:r>
      <w:bookmarkEnd w:id="27"/>
    </w:p>
    <w:p>
      <w:pPr>
        <w:pStyle w:val="Normal"/>
        <w:rPr>
          <w:color w:val="000000"/>
          <w:highlight w:val="none"/>
          <w:shd w:fill="FFFFFF" w:val="clear"/>
        </w:rPr>
      </w:pPr>
      <w:r>
        <w:rPr>
          <w:rFonts w:eastAsia="arial" w:cs="arial" w:ascii="arial" w:hAnsi="arial"/>
          <w:b w:val="false"/>
          <w:i w:val="false"/>
          <w:color w:val="000000"/>
          <w:sz w:val="20"/>
          <w:u w:val="none"/>
          <w:shd w:fill="FFFFFF" w:val="clear"/>
        </w:rPr>
        <w:t>Conformément à l'article 33.1 du CCAG/FCS, le point de départ du délai de garantie est la date de notification de la décision d'admission.</w:t>
      </w:r>
    </w:p>
    <w:p>
      <w:pPr>
        <w:pStyle w:val="Titre1"/>
        <w:numPr>
          <w:ilvl w:val="0"/>
          <w:numId w:val="2"/>
        </w:numPr>
        <w:rPr>
          <w:color w:val="000000"/>
          <w:highlight w:val="none"/>
          <w:shd w:fill="FFFFFF" w:val="clear"/>
        </w:rPr>
      </w:pPr>
      <w:bookmarkStart w:id="28" w:name="_Toc4318"/>
      <w:r>
        <w:rPr>
          <w:color w:val="000000"/>
          <w:shd w:fill="FFFFFF" w:val="clear"/>
        </w:rPr>
        <w:t>PROPRIETE INTELLECTUELLE ET UTILISATION DES RESULTATS</w:t>
      </w:r>
      <w:bookmarkEnd w:id="28"/>
    </w:p>
    <w:p>
      <w:pPr>
        <w:pStyle w:val="Normal"/>
        <w:rPr>
          <w:color w:val="000000"/>
          <w:highlight w:val="none"/>
          <w:shd w:fill="FFFFFF" w:val="clear"/>
        </w:rPr>
      </w:pPr>
      <w:r>
        <w:rPr>
          <w:rFonts w:eastAsia="arial" w:cs="arial" w:ascii="arial" w:hAnsi="arial"/>
          <w:b w:val="false"/>
          <w:i w:val="false"/>
          <w:color w:val="000000"/>
          <w:sz w:val="20"/>
          <w:u w:val="none"/>
          <w:shd w:fill="FFFFFF" w:val="clear"/>
        </w:rPr>
        <w:t>L'utilisation des résultats, et notamment les droits respectifs du pouvoir adjudicateur et du titulaire en la matière, sont définis à l'article 37 du CCAG FCS.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Il n'est pas prévu de disposition particulière.</w:t>
      </w:r>
    </w:p>
    <w:p>
      <w:pPr>
        <w:pStyle w:val="Titre1"/>
        <w:numPr>
          <w:ilvl w:val="0"/>
          <w:numId w:val="2"/>
        </w:numPr>
        <w:rPr>
          <w:color w:val="000000"/>
          <w:highlight w:val="none"/>
          <w:shd w:fill="FFFFFF" w:val="clear"/>
        </w:rPr>
      </w:pPr>
      <w:bookmarkStart w:id="29" w:name="_Toc4557"/>
      <w:r>
        <w:rPr>
          <w:color w:val="000000"/>
          <w:shd w:fill="FFFFFF" w:val="clear"/>
        </w:rPr>
        <w:t>CONFIDENTIALITE ET MESURES DE SECURITE</w:t>
      </w:r>
      <w:bookmarkEnd w:id="29"/>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dispositions du CCAG FCS (articles 5 et 14) s'appliquent, sans dispositions particulières.</w:t>
      </w:r>
    </w:p>
    <w:p>
      <w:pPr>
        <w:pStyle w:val="Titre1"/>
        <w:numPr>
          <w:ilvl w:val="0"/>
          <w:numId w:val="2"/>
        </w:numPr>
        <w:rPr>
          <w:color w:val="000000"/>
          <w:highlight w:val="none"/>
          <w:shd w:fill="FFFFFF" w:val="clear"/>
        </w:rPr>
      </w:pPr>
      <w:bookmarkStart w:id="30" w:name="_Toc3872"/>
      <w:r>
        <w:rPr>
          <w:color w:val="000000"/>
          <w:shd w:fill="FFFFFF" w:val="clear"/>
        </w:rPr>
        <w:t>MODALITES DE DETERMINATION DES PRIX</w:t>
      </w:r>
      <w:bookmarkEnd w:id="30"/>
    </w:p>
    <w:p>
      <w:pPr>
        <w:pStyle w:val="Titre2"/>
        <w:numPr>
          <w:ilvl w:val="1"/>
          <w:numId w:val="2"/>
        </w:numPr>
        <w:rPr>
          <w:color w:val="000000"/>
          <w:highlight w:val="none"/>
          <w:shd w:fill="FFFFFF" w:val="clear"/>
        </w:rPr>
      </w:pPr>
      <w:bookmarkStart w:id="31" w:name="_Toc3873"/>
      <w:r>
        <w:rPr>
          <w:color w:val="000000"/>
          <w:shd w:fill="FFFFFF" w:val="clear"/>
        </w:rPr>
        <w:t>Nature du prix</w:t>
      </w:r>
      <w:bookmarkEnd w:id="31"/>
    </w:p>
    <w:p>
      <w:pPr>
        <w:pStyle w:val="Normal"/>
        <w:rPr>
          <w:color w:val="000000"/>
          <w:highlight w:val="none"/>
          <w:shd w:fill="FFFFFF" w:val="clear"/>
        </w:rPr>
      </w:pPr>
      <w:r>
        <w:rPr>
          <w:rFonts w:eastAsia="arial" w:cs="arial" w:ascii="arial" w:hAnsi="arial"/>
          <w:b w:val="false"/>
          <w:i w:val="false"/>
          <w:color w:val="000000"/>
          <w:sz w:val="20"/>
          <w:u w:val="single"/>
          <w:shd w:fill="FFFFFF" w:val="clear"/>
        </w:rPr>
        <w:t>Prix unitaires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marché est conclu aux prix unitaires figurant en annexe à l'acte d'engagement.</w:t>
      </w:r>
    </w:p>
    <w:p>
      <w:pPr>
        <w:pStyle w:val="Normal"/>
        <w:spacing w:before="120" w:after="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i w:val="false"/>
          <w:color w:val="000000"/>
          <w:sz w:val="20"/>
          <w:u w:val="single"/>
          <w:shd w:fill="FFFFFF" w:val="clear"/>
        </w:rPr>
        <w:t>OFFRES PROMOTIONNELLES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titulaire pourra facturer les prestations ou les fournitures en fonction des offres promotionnelles momentanées appliquées à ses tarifs publics, à condition qu'elles soient plus avantageuses que les prix prévus au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Il signalera au service gestionnaire de la Ville de Marseille, suffisamment tôt, par message mail ou télécopie ou document promotionnel, l'existence de ces tarifs et leur période d'application, afin que celui-ci puisse en tenir compte dans ses commandes, ses bons de commande et leur planification.</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 taux de la TVA à prendre en considération est celui en vigueur à la date du fait générateur, conformément à l'article 269 du CGI.</w:t>
      </w:r>
    </w:p>
    <w:p>
      <w:pPr>
        <w:pStyle w:val="Titre2"/>
        <w:numPr>
          <w:ilvl w:val="1"/>
          <w:numId w:val="2"/>
        </w:numPr>
        <w:rPr>
          <w:color w:val="000000"/>
          <w:highlight w:val="none"/>
          <w:shd w:fill="FFFFFF" w:val="clear"/>
        </w:rPr>
      </w:pPr>
      <w:bookmarkStart w:id="32" w:name="_Toc3874"/>
      <w:r>
        <w:rPr>
          <w:color w:val="000000"/>
          <w:shd w:fill="FFFFFF" w:val="clear"/>
        </w:rPr>
        <w:t>Variations de prix</w:t>
      </w:r>
      <w:bookmarkEnd w:id="32"/>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prix sont révisables selon les modalités fixées ci-après.</w:t>
      </w:r>
    </w:p>
    <w:p>
      <w:pPr>
        <w:pStyle w:val="Normal"/>
        <w:rPr>
          <w:color w:val="000000"/>
          <w:highlight w:val="none"/>
          <w:shd w:fill="FFFFFF" w:val="clear"/>
        </w:rPr>
      </w:pPr>
      <w:r>
        <w:rPr>
          <w:rFonts w:eastAsia="arial" w:cs="arial" w:ascii="arial" w:hAnsi="arial"/>
          <w:b w:val="false"/>
          <w:i w:val="false"/>
          <w:color w:val="000000"/>
          <w:sz w:val="20"/>
          <w:u w:val="single"/>
          <w:shd w:fill="FFFFFF" w:val="clear"/>
        </w:rPr>
        <w:t>Révision des prix selon formule paramétrique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Par dérogation à l'article 10.2.4 du CCAG, les prix du présent marché sont réputés établis sur la base des conditions économiques du mois de la date </w:t>
      </w:r>
      <w:r>
        <w:rPr>
          <w:rFonts w:eastAsia="arial" w:cs="arial" w:ascii="arial" w:hAnsi="arial"/>
          <w:b w:val="false"/>
          <w:i w:val="false"/>
          <w:color w:val="000000"/>
          <w:sz w:val="20"/>
          <w:u w:val="single"/>
          <w:shd w:fill="FFFFFF" w:val="clear"/>
        </w:rPr>
        <w:t>limite</w:t>
      </w:r>
      <w:r>
        <w:rPr>
          <w:rFonts w:eastAsia="arial" w:cs="arial" w:ascii="arial" w:hAnsi="arial"/>
          <w:b w:val="false"/>
          <w:i w:val="false"/>
          <w:color w:val="000000"/>
          <w:sz w:val="20"/>
          <w:u w:val="none"/>
          <w:shd w:fill="FFFFFF" w:val="clear"/>
        </w:rPr>
        <w:t xml:space="preserve"> de remise des offres ; ce mois est appelé "mois zéro".</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Les prix du marché évoluent de la manière suivante en fonction de l'évolution des conditions économiques. </w:t>
      </w:r>
      <w:r>
        <w:rPr>
          <w:rFonts w:eastAsia="arial" w:cs="arial" w:ascii="arial" w:hAnsi="arial"/>
          <w:b w:val="false"/>
          <w:i w:val="false"/>
          <w:color w:val="000000"/>
          <w:sz w:val="20"/>
          <w:u w:val="single"/>
          <w:shd w:fill="FFFFFF" w:val="clear"/>
        </w:rPr>
        <w:t>Les prix sont révisables</w:t>
      </w: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Pour déterminer les prix de règlement, il sera fait application de la formule de révision figurant ci-après.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prix sont révisés annuellement</w:t>
      </w:r>
      <w:r>
        <w:rPr>
          <w:rFonts w:eastAsia="arial" w:cs="arial" w:ascii="arial" w:hAnsi="arial"/>
          <w:b/>
          <w:i w:val="false"/>
          <w:color w:val="000000"/>
          <w:sz w:val="20"/>
          <w:u w:val="none"/>
          <w:shd w:fill="FFFFFF" w:val="clear"/>
        </w:rPr>
        <w:t xml:space="preserve"> </w:t>
      </w:r>
      <w:r>
        <w:rPr>
          <w:rFonts w:eastAsia="arial" w:cs="arial" w:ascii="arial" w:hAnsi="arial"/>
          <w:b w:val="false"/>
          <w:i w:val="false"/>
          <w:color w:val="000000"/>
          <w:sz w:val="20"/>
          <w:u w:val="none"/>
          <w:shd w:fill="FFFFFF" w:val="clear"/>
        </w:rPr>
        <w:t>à chaque date anniversaire de la notification du marché, en application de la formule suivante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P(n) = P(o)* [0.15+0.85*(I(n)/I(0))]</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paramètres figurant dans la formule ont la signification suivante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 (n) : Prix après révision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 (0) : Prix à la date limite de remise des offres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 (n) : Valeur de l'indice des prix de production des services français aux entreprises françaises (BtoB), Prix de base - A38MC identifiant n° 001664637, pris à chaque date anniversaire de la notification.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 (0) : Même indice pris à la date limite de remise des offres.</w:t>
      </w:r>
    </w:p>
    <w:p>
      <w:pPr>
        <w:pStyle w:val="Normal"/>
        <w:rPr>
          <w:color w:val="000000"/>
          <w:highlight w:val="none"/>
          <w:shd w:fill="FFFFFF" w:val="clear"/>
        </w:rPr>
      </w:pPr>
      <w:r>
        <w:rPr>
          <w:color w:val="000000"/>
          <w:shd w:fill="FFFFFF" w:val="clear"/>
        </w:rPr>
      </w:r>
    </w:p>
    <w:p>
      <w:pPr>
        <w:pStyle w:val="Titre2"/>
        <w:numPr>
          <w:ilvl w:val="1"/>
          <w:numId w:val="2"/>
        </w:numPr>
        <w:rPr>
          <w:color w:val="000000"/>
          <w:highlight w:val="none"/>
          <w:shd w:fill="FFFFFF" w:val="clear"/>
        </w:rPr>
      </w:pPr>
      <w:bookmarkStart w:id="33" w:name="_Toc3875"/>
      <w:r>
        <w:rPr>
          <w:color w:val="000000"/>
          <w:shd w:fill="FFFFFF" w:val="clear"/>
        </w:rPr>
        <w:t>Disparition d'indice</w:t>
      </w:r>
      <w:bookmarkEnd w:id="33"/>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Dans le cas de disparition d'indice, le nouvel indice de substitution préconisé par l'organisme qui l'établit sera de plein droit applicable dès lors qu'il correspond à la structure de prix de la prestation.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l'hypothèse où aucun indice de substitution ne serait préconisé, les parties conviennent que la substitution d'indice sera effectuée par avenant après accord de chacune d'elles.</w:t>
      </w:r>
    </w:p>
    <w:p>
      <w:pPr>
        <w:pStyle w:val="Titre1"/>
        <w:numPr>
          <w:ilvl w:val="0"/>
          <w:numId w:val="2"/>
        </w:numPr>
        <w:rPr>
          <w:color w:val="000000"/>
          <w:highlight w:val="none"/>
          <w:shd w:fill="FFFFFF" w:val="clear"/>
        </w:rPr>
      </w:pPr>
      <w:bookmarkStart w:id="34" w:name="_Toc3876"/>
      <w:r>
        <w:rPr>
          <w:color w:val="000000"/>
          <w:shd w:fill="FFFFFF" w:val="clear"/>
        </w:rPr>
        <w:t>AVANCE</w:t>
      </w:r>
      <w:bookmarkEnd w:id="34"/>
    </w:p>
    <w:p>
      <w:pPr>
        <w:pStyle w:val="Titre2"/>
        <w:numPr>
          <w:ilvl w:val="1"/>
          <w:numId w:val="2"/>
        </w:numPr>
        <w:rPr>
          <w:color w:val="000000"/>
          <w:highlight w:val="none"/>
          <w:shd w:fill="FFFFFF" w:val="clear"/>
        </w:rPr>
      </w:pPr>
      <w:bookmarkStart w:id="35" w:name="_Toc3877"/>
      <w:r>
        <w:rPr>
          <w:color w:val="000000"/>
          <w:shd w:fill="FFFFFF" w:val="clear"/>
        </w:rPr>
        <w:t>Régime de l'avance</w:t>
      </w:r>
      <w:bookmarkEnd w:id="35"/>
    </w:p>
    <w:p>
      <w:pPr>
        <w:pStyle w:val="Normal"/>
        <w:rPr>
          <w:color w:val="000000"/>
          <w:highlight w:val="none"/>
          <w:shd w:fill="FFFFFF" w:val="clear"/>
        </w:rPr>
      </w:pPr>
      <w:r>
        <w:rPr>
          <w:rFonts w:eastAsia="arial" w:cs="arial" w:ascii="arial" w:hAnsi="arial"/>
          <w:b w:val="false"/>
          <w:i w:val="false"/>
          <w:color w:val="000000"/>
          <w:sz w:val="20"/>
          <w:u w:val="none"/>
          <w:shd w:fill="FFFFFF" w:val="clear"/>
        </w:rPr>
        <w:t>Sauf renoncement du titulaire porté à l'acte d'engagement, une avance sera versée au titulaire, dans les cas et selon les modalités prévues aux articles R2191-3 à 19 du Code de la commande publique et à l'acte d'engagement.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Elle est versée le cas échéant dans le délai de 30 jours à compter de la date de début du délai contractuel d'exécution du marché, du bon de commande ou de la tranche.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L'avance est remboursée dans les conditions prévues aux articles R2191-11, R2191-12 et R2191-29 du Code de la commande publique.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remboursement de l'avance s'impute sur les sommes dues au titulaire quand le montant des prestations exécutées par le titulaire atteint 65% du montant initial du présent marché et se termine lorsque le montant des prestations exécutées par le titulaire atteint 80% du même montant selon un rythme calculé au prorata du pourcentage d'avancement.</w:t>
      </w:r>
    </w:p>
    <w:p>
      <w:pPr>
        <w:pStyle w:val="Titre2"/>
        <w:numPr>
          <w:ilvl w:val="1"/>
          <w:numId w:val="2"/>
        </w:numPr>
        <w:rPr>
          <w:color w:val="000000"/>
          <w:highlight w:val="none"/>
          <w:shd w:fill="FFFFFF" w:val="clear"/>
        </w:rPr>
      </w:pPr>
      <w:bookmarkStart w:id="36" w:name="_Toc3878"/>
      <w:r>
        <w:rPr>
          <w:color w:val="000000"/>
          <w:shd w:fill="FFFFFF" w:val="clear"/>
        </w:rPr>
        <w:t>Dispositions complémentaires</w:t>
      </w:r>
      <w:bookmarkEnd w:id="36"/>
    </w:p>
    <w:p>
      <w:pPr>
        <w:pStyle w:val="Normal"/>
        <w:rPr>
          <w:color w:val="000000"/>
          <w:highlight w:val="none"/>
          <w:shd w:fill="FFFFFF" w:val="clear"/>
        </w:rPr>
      </w:pPr>
      <w:r>
        <w:rPr>
          <w:rFonts w:eastAsia="arial" w:cs="arial" w:ascii="arial" w:hAnsi="arial"/>
          <w:b w:val="false"/>
          <w:i w:val="false"/>
          <w:color w:val="000000"/>
          <w:sz w:val="20"/>
          <w:u w:val="none"/>
          <w:shd w:fill="FFFFFF" w:val="clear"/>
        </w:rPr>
        <w:t>L'avance ne pourra toutefois être versée qu'après constitution par le titulaire d'une garantie à première demande ou, si le pouvoir adjudicateur en a donné son accord, d'une caution personnelle et solidaire d'un montant de 100 % du montant de l'avance et dont l'objet est de garantir le remboursement de l'avance consentie.</w:t>
      </w:r>
    </w:p>
    <w:p>
      <w:pPr>
        <w:pStyle w:val="Titre1"/>
        <w:numPr>
          <w:ilvl w:val="0"/>
          <w:numId w:val="2"/>
        </w:numPr>
        <w:rPr>
          <w:color w:val="000000"/>
          <w:highlight w:val="none"/>
          <w:shd w:fill="FFFFFF" w:val="clear"/>
        </w:rPr>
      </w:pPr>
      <w:bookmarkStart w:id="37" w:name="_Toc3879"/>
      <w:r>
        <w:rPr>
          <w:color w:val="000000"/>
          <w:shd w:fill="FFFFFF" w:val="clear"/>
        </w:rPr>
        <w:t>MODALITÉS DE REGLEMENT</w:t>
      </w:r>
      <w:bookmarkEnd w:id="37"/>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dispositions des articles R2191-20 à 22 du Code de la commande publique relatives aux acomptes sont applicables. Il n'est pas prévu de disposition complémentaire.</w:t>
      </w:r>
    </w:p>
    <w:p>
      <w:pPr>
        <w:pStyle w:val="Titre1"/>
        <w:numPr>
          <w:ilvl w:val="0"/>
          <w:numId w:val="2"/>
        </w:numPr>
        <w:rPr>
          <w:color w:val="000000"/>
          <w:highlight w:val="none"/>
          <w:shd w:fill="FFFFFF" w:val="clear"/>
        </w:rPr>
      </w:pPr>
      <w:bookmarkStart w:id="38" w:name="_Toc3880"/>
      <w:r>
        <w:rPr>
          <w:color w:val="000000"/>
          <w:shd w:fill="FFFFFF" w:val="clear"/>
        </w:rPr>
        <w:t>PAIEMENT ET ETABLISSEMENT DE LA FACTURE</w:t>
      </w:r>
      <w:bookmarkEnd w:id="38"/>
    </w:p>
    <w:p>
      <w:pPr>
        <w:pStyle w:val="Titre2"/>
        <w:numPr>
          <w:ilvl w:val="1"/>
          <w:numId w:val="2"/>
        </w:numPr>
        <w:rPr>
          <w:color w:val="000000"/>
          <w:highlight w:val="none"/>
          <w:shd w:fill="FFFFFF" w:val="clear"/>
        </w:rPr>
      </w:pPr>
      <w:bookmarkStart w:id="39" w:name="_Toc3881"/>
      <w:r>
        <w:rPr>
          <w:color w:val="000000"/>
          <w:shd w:fill="FFFFFF" w:val="clear"/>
        </w:rPr>
        <w:t>Délais de paiements</w:t>
      </w:r>
      <w:bookmarkEnd w:id="39"/>
    </w:p>
    <w:p>
      <w:pPr>
        <w:pStyle w:val="Normal"/>
        <w:rPr>
          <w:color w:val="000000"/>
          <w:highlight w:val="none"/>
          <w:shd w:fill="FFFFFF" w:val="clear"/>
        </w:rPr>
      </w:pPr>
      <w:r>
        <w:rPr>
          <w:rFonts w:eastAsia="arial" w:cs="arial" w:ascii="arial" w:hAnsi="arial"/>
          <w:b w:val="false"/>
          <w:i w:val="false"/>
          <w:color w:val="000000"/>
          <w:sz w:val="20"/>
          <w:u w:val="none"/>
          <w:shd w:fill="FFFFFF" w:val="clear"/>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délai global de paiement pourra être suspendu dans les conditions prévues par la réglementation en vigueur.</w:t>
      </w:r>
    </w:p>
    <w:p>
      <w:pPr>
        <w:pStyle w:val="Titre2"/>
        <w:numPr>
          <w:ilvl w:val="1"/>
          <w:numId w:val="2"/>
        </w:numPr>
        <w:rPr>
          <w:color w:val="000000"/>
          <w:highlight w:val="none"/>
          <w:shd w:fill="FFFFFF" w:val="clear"/>
        </w:rPr>
      </w:pPr>
      <w:bookmarkStart w:id="40" w:name="_Toc3882"/>
      <w:r>
        <w:rPr>
          <w:color w:val="000000"/>
          <w:shd w:fill="FFFFFF" w:val="clear"/>
        </w:rPr>
        <w:t>Intérêts moratoires</w:t>
      </w:r>
      <w:bookmarkEnd w:id="40"/>
    </w:p>
    <w:p>
      <w:pPr>
        <w:pStyle w:val="Normal"/>
        <w:rPr>
          <w:color w:val="000000"/>
          <w:highlight w:val="none"/>
          <w:shd w:fill="FFFFFF" w:val="clear"/>
        </w:rPr>
      </w:pPr>
      <w:r>
        <w:rPr>
          <w:rFonts w:eastAsia="arial" w:cs="arial" w:ascii="arial" w:hAnsi="arial"/>
          <w:b w:val="false"/>
          <w:i w:val="false"/>
          <w:color w:val="000000"/>
          <w:sz w:val="20"/>
          <w:u w:val="none"/>
          <w:shd w:fill="FFFFFF" w:val="clear"/>
        </w:rPr>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montant de l'indemnité forfaitaire pour frais de recouvrement est fixé à 40 Euros conformément à l'article D2192-35 du Code de la commande publique.</w:t>
      </w:r>
    </w:p>
    <w:p>
      <w:pPr>
        <w:pStyle w:val="Titre2"/>
        <w:numPr>
          <w:ilvl w:val="0"/>
          <w:numId w:val="0"/>
        </w:numPr>
        <w:ind w:left="0" w:hanging="0"/>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Titre2"/>
        <w:numPr>
          <w:ilvl w:val="1"/>
          <w:numId w:val="2"/>
        </w:numPr>
        <w:rPr>
          <w:color w:val="000000"/>
          <w:highlight w:val="none"/>
          <w:shd w:fill="FFFFFF" w:val="clear"/>
        </w:rPr>
      </w:pPr>
      <w:bookmarkStart w:id="41" w:name="_Toc3884"/>
      <w:r>
        <w:rPr>
          <w:color w:val="000000"/>
          <w:shd w:fill="FFFFFF" w:val="clear"/>
        </w:rPr>
        <w:t>Présentation des demandes de paiement</w:t>
      </w:r>
      <w:bookmarkEnd w:id="41"/>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factures afférentes au marché sont établies en portant, outre les mentions légales, les indications suivantes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Le nom / la raison sociale et l'adresses du créancier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le numéro de SIRET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Le numéro de son compte bancaire ou postal tel qu'il est précisé à l'acte d'engagement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Le numéro et la date du marché et de chaque avenant </w:t>
      </w:r>
    </w:p>
    <w:p>
      <w:pPr>
        <w:pStyle w:val="Normal"/>
        <w:spacing w:before="120" w:after="0"/>
        <w:rPr>
          <w:color w:val="000000"/>
          <w:highlight w:val="none"/>
          <w:shd w:fill="FFFFFF" w:val="clear"/>
        </w:rPr>
      </w:pPr>
      <w:r>
        <w:rPr>
          <w:rFonts w:eastAsia="arial" w:cs="arial" w:ascii="arial" w:hAnsi="arial"/>
          <w:b w:val="false"/>
          <w:bCs w:val="false"/>
          <w:i w:val="false"/>
          <w:color w:val="000000"/>
          <w:sz w:val="20"/>
          <w:u w:val="none"/>
          <w:shd w:fill="FFFFFF" w:val="clear"/>
        </w:rPr>
        <w:t>- La date et le numéro du bon de commande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nature des prestations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La quantité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Le prix de base hors révision et hors taxes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 Le taux et le montant de la T.V.A.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Le montant total de la facture en euro HT et TTC</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date et le numéro de facture.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Tout rabais remise ristourne ou escompte acquis et chiffrable lors de l'opération et directement applicable à cette opération</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Les factures dématérialisées indiquent l'adresse suivante :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Ville de Marseille</w:t>
      </w:r>
    </w:p>
    <w:p>
      <w:pPr>
        <w:pStyle w:val="Normal"/>
        <w:spacing w:before="120" w:after="0"/>
        <w:rPr>
          <w:color w:val="000000"/>
          <w:highlight w:val="none"/>
          <w:shd w:fill="FFFFFF" w:val="clear"/>
        </w:rPr>
      </w:pPr>
      <w:r>
        <w:rPr>
          <w:color w:val="000000"/>
          <w:shd w:fill="FFFFFF" w:val="clear"/>
        </w:rPr>
        <w:t>Direction des Solidarités et de l’Inclusion</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Immeuble Communica</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2, place François Mireur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13 233 MARSEILLE CEDEX 20</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Le paiement s'effectue suivant les règles de la comptabilité publique dans les conditions prévues aux articles 11 et 12 du C.C.A.G./F.C.S.</w:t>
      </w:r>
    </w:p>
    <w:p>
      <w:pPr>
        <w:pStyle w:val="Normal"/>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single"/>
          <w:shd w:fill="FFFFFF" w:val="clear"/>
        </w:rPr>
        <w:t>Pour les candidats européens sans établissement en France</w:t>
      </w:r>
      <w:r>
        <w:rPr>
          <w:rFonts w:eastAsia="arial" w:cs="arial" w:ascii="arial" w:hAnsi="arial"/>
          <w:b w:val="false"/>
          <w:i w:val="false"/>
          <w:color w:val="000000"/>
          <w:sz w:val="20"/>
          <w:u w:val="none"/>
          <w:shd w:fill="FFFFFF" w:val="clear"/>
        </w:rPr>
        <w:t xml:space="preserve"> : en lieu et place du numéro de SIRET, indiquer le N° de TVA intracommunautaire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N° de TVA intracommunautaire de la Ville de Marseille : FR75211300553</w:t>
      </w:r>
    </w:p>
    <w:p>
      <w:pPr>
        <w:pStyle w:val="Titre2"/>
        <w:numPr>
          <w:ilvl w:val="1"/>
          <w:numId w:val="2"/>
        </w:numPr>
        <w:rPr>
          <w:color w:val="000000"/>
          <w:highlight w:val="none"/>
          <w:shd w:fill="FFFFFF" w:val="clear"/>
        </w:rPr>
      </w:pPr>
      <w:bookmarkStart w:id="42" w:name="_Toc3885"/>
      <w:r>
        <w:rPr>
          <w:color w:val="000000"/>
          <w:shd w:fill="FFFFFF" w:val="clear"/>
        </w:rPr>
        <w:t>Dématérialisation des factures</w:t>
      </w:r>
      <w:bookmarkEnd w:id="42"/>
    </w:p>
    <w:p>
      <w:pPr>
        <w:pStyle w:val="Normal"/>
        <w:rPr>
          <w:color w:val="000000"/>
          <w:highlight w:val="none"/>
          <w:shd w:fill="FFFFFF" w:val="clear"/>
        </w:rPr>
      </w:pPr>
      <w:r>
        <w:rPr>
          <w:rFonts w:eastAsia="arial" w:cs="arial" w:ascii="arial" w:hAnsi="arial"/>
          <w:b w:val="false"/>
          <w:i w:val="false"/>
          <w:color w:val="000000"/>
          <w:sz w:val="20"/>
          <w:u w:val="none"/>
          <w:shd w:fill="FFFFFF" w:val="clear"/>
        </w:rPr>
        <w:t>Le titulaire, ainsi que ses éventuels sous-traitants admis au paiement direct, transmettent leurs factures sous forme électronique, conformément aux dispositions des articles L2192-1 à L2192-7 et D2192-1 à D2192-3 du Code de la Commande Publique.</w:t>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factures doivent être envoyées de façon dématérialisée et gratuite en utilisant le "portail public de facturation" sécurisé Chorus Pro à l'adresse suivante : https://chorus-pro.gouv.fr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Ce portail permet d'intégrer automatiquement les données nécessaires à la mise en paiement des factures et d'économiser les coûts d'édition et d'envoi postal des factures ainsi que de suivre par internet l'état d'avancement de leur traitement.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Toutes les informations utiles aux modalités d'utilisation du portail et de transmission des factures sont </w:t>
      </w:r>
      <w:r>
        <w:rPr>
          <w:rFonts w:eastAsia="arial" w:cs="arial" w:ascii="arial" w:hAnsi="arial"/>
          <w:b/>
          <w:i w:val="false"/>
          <w:color w:val="000000"/>
          <w:sz w:val="20"/>
          <w:u w:val="single"/>
          <w:shd w:fill="FFFFFF" w:val="clear"/>
        </w:rPr>
        <w:t>disponibles directement sur le site</w:t>
      </w: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Pour accéder à la « structure »(au sens CHORUS PRO) Ville de Marseille adéquate, le titulaire sera informé du </w:t>
      </w:r>
      <w:r>
        <w:rPr>
          <w:rFonts w:eastAsia="arial" w:cs="arial" w:ascii="arial" w:hAnsi="arial"/>
          <w:b/>
          <w:i w:val="false"/>
          <w:color w:val="000000"/>
          <w:sz w:val="20"/>
          <w:u w:val="single"/>
          <w:shd w:fill="FFFFFF" w:val="clear"/>
        </w:rPr>
        <w:t>numéro SIRET</w:t>
      </w:r>
      <w:r>
        <w:rPr>
          <w:rFonts w:eastAsia="arial" w:cs="arial" w:ascii="arial" w:hAnsi="arial"/>
          <w:b w:val="false"/>
          <w:i w:val="false"/>
          <w:color w:val="000000"/>
          <w:sz w:val="20"/>
          <w:u w:val="none"/>
          <w:shd w:fill="FFFFFF" w:val="clear"/>
        </w:rPr>
        <w:t xml:space="preserve"> devant être utilisé.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De même, la Ville de Marseille a choisi de rendre obligatoire la </w:t>
      </w:r>
      <w:r>
        <w:rPr>
          <w:rFonts w:eastAsia="arial" w:cs="arial" w:ascii="arial" w:hAnsi="arial"/>
          <w:b/>
          <w:i w:val="false"/>
          <w:color w:val="000000"/>
          <w:sz w:val="20"/>
          <w:u w:val="single"/>
          <w:shd w:fill="FFFFFF" w:val="clear"/>
        </w:rPr>
        <w:t>référence à l'engagement</w:t>
      </w:r>
      <w:r>
        <w:rPr>
          <w:rFonts w:eastAsia="arial" w:cs="arial" w:ascii="arial" w:hAnsi="arial"/>
          <w:b w:val="false"/>
          <w:i w:val="false"/>
          <w:color w:val="000000"/>
          <w:sz w:val="20"/>
          <w:u w:val="none"/>
          <w:shd w:fill="FFFFFF" w:val="clear"/>
        </w:rPr>
        <w:t>. Le ou les numéros d'engagement seront communiqués au titulaire par le service gestionnaire du marché ou par le service acheteur.</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Sous peine d'irrecevabilité, les factures seront déposées dans CHORUS PRO en respectant l'obligation de renseignement exact des 2 numéros précités.</w:t>
      </w:r>
    </w:p>
    <w:p>
      <w:pPr>
        <w:pStyle w:val="Titre1"/>
        <w:numPr>
          <w:ilvl w:val="0"/>
          <w:numId w:val="2"/>
        </w:numPr>
        <w:rPr>
          <w:color w:val="000000"/>
          <w:highlight w:val="none"/>
          <w:shd w:fill="FFFFFF" w:val="clear"/>
        </w:rPr>
      </w:pPr>
      <w:bookmarkStart w:id="43" w:name="_Toc3886"/>
      <w:r>
        <w:rPr>
          <w:color w:val="000000"/>
          <w:shd w:fill="FFFFFF" w:val="clear"/>
        </w:rPr>
        <w:t>PENALITES</w:t>
      </w:r>
      <w:bookmarkEnd w:id="43"/>
    </w:p>
    <w:p>
      <w:pPr>
        <w:pStyle w:val="Titre2"/>
        <w:numPr>
          <w:ilvl w:val="1"/>
          <w:numId w:val="2"/>
        </w:numPr>
        <w:rPr>
          <w:color w:val="000000"/>
          <w:highlight w:val="none"/>
          <w:shd w:fill="FFFFFF" w:val="clear"/>
        </w:rPr>
      </w:pPr>
      <w:bookmarkStart w:id="44" w:name="_Toc3887"/>
      <w:r>
        <w:rPr>
          <w:color w:val="000000"/>
          <w:shd w:fill="FFFFFF" w:val="clear"/>
        </w:rPr>
        <w:t>Pénalités de retard</w:t>
      </w:r>
      <w:bookmarkEnd w:id="44"/>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En cas de retard dans l'exécution des prestations, imputable au titulaire, des pénalités seront appliquées </w:t>
      </w:r>
      <w:r>
        <w:rPr>
          <w:rFonts w:eastAsia="arial" w:cs="arial" w:ascii="arial" w:hAnsi="arial"/>
          <w:b/>
          <w:i w:val="false"/>
          <w:color w:val="000000"/>
          <w:sz w:val="20"/>
          <w:u w:val="none"/>
          <w:shd w:fill="FFFFFF" w:val="clear"/>
        </w:rPr>
        <w:t>après observations éventuelles</w:t>
      </w:r>
      <w:r>
        <w:rPr>
          <w:rFonts w:eastAsia="arial" w:cs="arial" w:ascii="arial" w:hAnsi="arial"/>
          <w:b w:val="false"/>
          <w:i w:val="false"/>
          <w:color w:val="000000"/>
          <w:sz w:val="20"/>
          <w:u w:val="none"/>
          <w:shd w:fill="FFFFFF" w:val="clear"/>
        </w:rPr>
        <w:t xml:space="preserve"> du titulaire, selon les dispositions de l'article 14.1.1 du CCAG FCS.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Par dérogation à l'article 14.1.1 du C.C.A.G., le régime des pénalités applicables au marché est le suivant : lorsque le délai d'exécution contractualisé à l'acte d'engagement est dépassé, le titulaire encourt sans mise en demeure préalable, une pénalité calculée par application de la formule suivante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P = V x R / </w:t>
      </w:r>
      <w:r>
        <w:rPr>
          <w:rFonts w:eastAsia="arial" w:cs="arial" w:ascii="arial" w:hAnsi="arial"/>
          <w:b w:val="false"/>
          <w:bCs w:val="false"/>
          <w:i w:val="false"/>
          <w:color w:val="000000"/>
          <w:sz w:val="20"/>
          <w:u w:val="none"/>
          <w:shd w:fill="FFFFFF" w:val="clear"/>
        </w:rPr>
        <w:t>100</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dans laquelle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P = le montant de la pénalité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R = le nombre de jours de retard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V = valeur des prestations sur laquelle est calculée la pénalité, cette valeur étant égale au montant, hors champ d'application de la TVA, de la partie des prestations en retard (ou de l'ensemble des prestations si le retard d'exécution d'une partie rend l'ensemble inutilisable).</w:t>
      </w:r>
    </w:p>
    <w:p>
      <w:pPr>
        <w:pStyle w:val="Normal"/>
        <w:spacing w:before="120" w:after="0"/>
        <w:rPr>
          <w:highlight w:val="none"/>
          <w:shd w:fill="FFFFFF" w:val="clear"/>
        </w:rPr>
      </w:pPr>
      <w:r>
        <w:rPr>
          <w:rFonts w:eastAsia="arial" w:cs="arial" w:ascii="arial" w:hAnsi="arial"/>
          <w:b w:val="false"/>
          <w:i w:val="false"/>
          <w:color w:val="000000"/>
          <w:sz w:val="20"/>
          <w:u w:val="none"/>
          <w:shd w:fill="FFFFFF" w:val="clear"/>
        </w:rPr>
        <w:t>En application de l'article 14.1.2 du CCAG FCS, le montant total des pénalités de retard ne peut excéder 10 % du montant total hors taxes du bon de commande.</w:t>
      </w:r>
    </w:p>
    <w:p>
      <w:pPr>
        <w:pStyle w:val="Normal"/>
        <w:spacing w:before="120" w:after="0"/>
        <w:rPr>
          <w:b w:val="false"/>
          <w:b w:val="false"/>
          <w:color w:val="000000"/>
          <w:highlight w:val="none"/>
          <w:shd w:fill="FFFFFF" w:val="clear"/>
        </w:rPr>
      </w:pPr>
      <w:r>
        <w:rPr>
          <w:b w:val="false"/>
          <w:color w:val="000000"/>
          <w:shd w:fill="FFFFFF" w:val="clear"/>
        </w:rPr>
      </w:r>
    </w:p>
    <w:p>
      <w:pPr>
        <w:pStyle w:val="Titre2"/>
        <w:numPr>
          <w:ilvl w:val="1"/>
          <w:numId w:val="2"/>
        </w:numPr>
        <w:rPr>
          <w:color w:val="000000"/>
          <w:highlight w:val="none"/>
          <w:shd w:fill="FFFFFF" w:val="clear"/>
        </w:rPr>
      </w:pPr>
      <w:bookmarkStart w:id="45" w:name="_Toc4545"/>
      <w:r>
        <w:rPr>
          <w:color w:val="000000"/>
          <w:shd w:fill="FFFFFF" w:val="clear"/>
        </w:rPr>
        <w:t>Pénalités pour non respect des obligations environnementales du titulaire</w:t>
      </w:r>
      <w:bookmarkEnd w:id="45"/>
    </w:p>
    <w:p>
      <w:pPr>
        <w:pStyle w:val="Normal"/>
        <w:rPr>
          <w:color w:val="000000"/>
          <w:highlight w:val="none"/>
          <w:shd w:fill="FFFFFF" w:val="clear"/>
        </w:rPr>
      </w:pPr>
      <w:r>
        <w:rPr>
          <w:rFonts w:eastAsia="arial" w:cs="arial" w:ascii="arial" w:hAnsi="arial"/>
          <w:b w:val="false"/>
          <w:i w:val="false"/>
          <w:color w:val="000000"/>
          <w:sz w:val="20"/>
          <w:u w:val="none"/>
          <w:shd w:fill="FFFFFF" w:val="clear"/>
        </w:rPr>
        <w:t>En application de l'article 16.2 du CCAG FCS,</w:t>
      </w:r>
      <w:r>
        <w:rPr>
          <w:rFonts w:eastAsia="arial" w:cs="arial" w:ascii="arial" w:hAnsi="arial"/>
          <w:b/>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présent le CCTP précise les obligations environnementales du titulaire dans l'exécution du marché.</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pouvoir adjudicateur procédera à des contrôles afin de s'assurer de la mise en oeuvre des engagements du titulaire, et se réserve la possibilité d'opérer par contrôle inopiné.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non-respect des obligations prévues en la matière, et conformément à l'article 16.2.3 du CCAG FCS,le titulaire se voit appliquer pour chaque manquement, après mise en demeure restée infructueuse, une pénalité dont le montant est fixé à 50 euros.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outre, conformément à l'article 20.4 du CCAG FCS, la valorisation ou l'élimination des déchets créés lors de l'exécution des prestations est de la responsabilité du titulaire pendant la durée du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titulaire veille à ce que soient effectuées les opérations, de collecte, transport, entreposage, tris éventuels et de l'évacuation des déchets créés par les prestations objet du marché vers les sites susceptibles de les recevoir, conformément à la réglementation en vigueur.</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titulaire est tenu de produire, à la demande de l'acheteur, tout justificatif de traçabilité du traitement des déchets issus de l'exécution de la prestation, qui fasse apparaître une gestion des déchets conforme aux exigences réglementaires, notamment en ce qui concerne les déchets dangereux.</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d'absence de production des éléments attestant la traçabilité des déchets, et en application de l'article 20.4 du CCAG FCS, le titulaire se voit appliquer, après mise en demeure restée infructueuse, une pénalité dont le montant est fixé à 50 euros.</w:t>
      </w:r>
    </w:p>
    <w:p>
      <w:pPr>
        <w:pStyle w:val="Titre2"/>
        <w:numPr>
          <w:ilvl w:val="1"/>
          <w:numId w:val="2"/>
        </w:numPr>
        <w:rPr>
          <w:color w:val="000000"/>
          <w:highlight w:val="none"/>
          <w:shd w:fill="FFFFFF" w:val="clear"/>
        </w:rPr>
      </w:pPr>
      <w:bookmarkStart w:id="46" w:name="_Toc3888"/>
      <w:r>
        <w:rPr>
          <w:color w:val="000000"/>
          <w:shd w:fill="FFFFFF" w:val="clear"/>
        </w:rPr>
        <w:t>Pénalités pour non respect des dispositions du Code du Travail</w:t>
      </w:r>
      <w:bookmarkEnd w:id="46"/>
    </w:p>
    <w:p>
      <w:pPr>
        <w:pStyle w:val="Titre2"/>
        <w:numPr>
          <w:ilvl w:val="0"/>
          <w:numId w:val="0"/>
        </w:numPr>
        <w:ind w:left="0" w:hanging="0"/>
        <w:rPr>
          <w:color w:val="000000"/>
          <w:highlight w:val="none"/>
          <w:shd w:fill="FFFFFF" w:val="clear"/>
        </w:rPr>
      </w:pPr>
      <w:r>
        <w:rPr>
          <w:color w:val="000000"/>
          <w:shd w:fill="FFFFFF" w:val="clear"/>
        </w:rPr>
      </w:r>
    </w:p>
    <w:p>
      <w:pPr>
        <w:pStyle w:val="Normal"/>
        <w:rPr>
          <w:color w:val="000000"/>
          <w:highlight w:val="none"/>
          <w:shd w:fill="FFFFFF" w:val="clear"/>
        </w:rPr>
      </w:pPr>
      <w:r>
        <w:rPr>
          <w:rFonts w:eastAsia="arial" w:cs="arial" w:ascii="arial" w:hAnsi="arial"/>
          <w:b w:val="false"/>
          <w:i w:val="false"/>
          <w:color w:val="000000"/>
          <w:sz w:val="20"/>
          <w:u w:val="none"/>
          <w:shd w:fill="FFFFFF" w:val="clear"/>
        </w:rPr>
        <w:t>En application de l'article 93 de la loi n°2011-525 du 17/05/2011 de simplification et d'amélioration de la qualité du droit, le titulaire qui ne s'acquitte pas des formalités mentionnées aux articles L.8221-3 à L.8221-5 du Code du Travail se verra infliger une pénalité d'un montant de 50 euros par jour de retard.</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montant de cette pénalité sera au plus égal à 10% du montant du présent contrat et ne pourra excéder le montant des amendes encourues en application des articles L.8224-1, L.8224-2 et L.8224-5 du Code du Travail.</w:t>
      </w:r>
    </w:p>
    <w:p>
      <w:pPr>
        <w:pStyle w:val="Titre2"/>
        <w:numPr>
          <w:ilvl w:val="1"/>
          <w:numId w:val="2"/>
        </w:numPr>
        <w:rPr>
          <w:color w:val="000000"/>
          <w:highlight w:val="none"/>
          <w:shd w:fill="FFFFFF" w:val="clear"/>
        </w:rPr>
      </w:pPr>
      <w:bookmarkStart w:id="47" w:name="_Toc3889"/>
      <w:r>
        <w:rPr>
          <w:color w:val="000000"/>
          <w:shd w:fill="FFFFFF" w:val="clear"/>
        </w:rPr>
        <w:t>Autres pénalités</w:t>
      </w:r>
      <w:bookmarkEnd w:id="47"/>
    </w:p>
    <w:p>
      <w:pPr>
        <w:pStyle w:val="Normal"/>
        <w:rPr>
          <w:color w:val="000000"/>
          <w:highlight w:val="none"/>
          <w:shd w:fill="FFFFFF" w:val="clear"/>
        </w:rPr>
      </w:pPr>
      <w:r>
        <w:rPr>
          <w:rFonts w:eastAsia="arial" w:cs="arial" w:ascii="arial" w:hAnsi="arial"/>
          <w:b w:val="false"/>
          <w:i w:val="false"/>
          <w:color w:val="000000"/>
          <w:sz w:val="20"/>
          <w:u w:val="none"/>
          <w:shd w:fill="FFFFFF" w:val="clear"/>
        </w:rPr>
        <w:t>Il n'est pas prévu d'autres pénalités.</w:t>
      </w:r>
    </w:p>
    <w:p>
      <w:pPr>
        <w:pStyle w:val="Titre1"/>
        <w:numPr>
          <w:ilvl w:val="0"/>
          <w:numId w:val="2"/>
        </w:numPr>
        <w:rPr>
          <w:color w:val="000000"/>
          <w:highlight w:val="none"/>
          <w:shd w:fill="FFFFFF" w:val="clear"/>
        </w:rPr>
      </w:pPr>
      <w:bookmarkStart w:id="48" w:name="_Toc3890"/>
      <w:r>
        <w:rPr>
          <w:color w:val="000000"/>
          <w:shd w:fill="FFFFFF" w:val="clear"/>
        </w:rPr>
        <w:t>RESILIATION ET EXECUTION DES PRESTATIONS AUX FRAIS ET RISQUES DU TITULAIRE</w:t>
      </w:r>
      <w:bookmarkEnd w:id="48"/>
    </w:p>
    <w:p>
      <w:pPr>
        <w:pStyle w:val="Normal"/>
        <w:rPr>
          <w:color w:val="000000"/>
          <w:highlight w:val="none"/>
          <w:shd w:fill="FFFFFF" w:val="clear"/>
        </w:rPr>
      </w:pPr>
      <w:r>
        <w:rPr>
          <w:rFonts w:eastAsia="arial" w:cs="arial" w:ascii="arial" w:hAnsi="arial"/>
          <w:b w:val="false"/>
          <w:i w:val="false"/>
          <w:color w:val="000000"/>
          <w:sz w:val="20"/>
          <w:u w:val="none"/>
          <w:shd w:fill="FFFFFF" w:val="clear"/>
        </w:rPr>
        <w:t>L'ensemble des dispositions du CCAG/FCS (chapitre 7) est applicable.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FCS).</w:t>
      </w:r>
    </w:p>
    <w:p>
      <w:pPr>
        <w:pStyle w:val="Normal"/>
        <w:rPr>
          <w:color w:val="000000"/>
          <w:highlight w:val="none"/>
          <w:shd w:fill="FFFFFF" w:val="clear"/>
        </w:rPr>
      </w:pPr>
      <w:r>
        <w:rPr>
          <w:rFonts w:eastAsia="arial" w:cs="arial" w:ascii="arial" w:hAnsi="arial"/>
          <w:b w:val="false"/>
          <w:i w:val="false"/>
          <w:color w:val="000000"/>
          <w:sz w:val="20"/>
          <w:u w:val="none"/>
          <w:shd w:fill="FFFFFF" w:val="clear"/>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pPr>
        <w:pStyle w:val="Titre1"/>
        <w:numPr>
          <w:ilvl w:val="0"/>
          <w:numId w:val="2"/>
        </w:numPr>
        <w:rPr>
          <w:color w:val="000000"/>
          <w:highlight w:val="none"/>
          <w:shd w:fill="FFFFFF" w:val="clear"/>
        </w:rPr>
      </w:pPr>
      <w:bookmarkStart w:id="49" w:name="_Toc3891"/>
      <w:r>
        <w:rPr>
          <w:color w:val="000000"/>
          <w:shd w:fill="FFFFFF" w:val="clear"/>
        </w:rPr>
        <w:t>CLAUSES DE GESTION DES DONNEES</w:t>
      </w:r>
      <w:bookmarkEnd w:id="49"/>
    </w:p>
    <w:p>
      <w:pPr>
        <w:pStyle w:val="Titre2"/>
        <w:numPr>
          <w:ilvl w:val="1"/>
          <w:numId w:val="2"/>
        </w:numPr>
        <w:rPr>
          <w:color w:val="000000"/>
          <w:highlight w:val="none"/>
          <w:shd w:fill="FFFFFF" w:val="clear"/>
        </w:rPr>
      </w:pPr>
      <w:bookmarkStart w:id="50" w:name="_Toc3892"/>
      <w:r>
        <w:rPr>
          <w:color w:val="000000"/>
          <w:shd w:fill="FFFFFF" w:val="clear"/>
        </w:rPr>
        <w:t xml:space="preserve">Les contraintes réglementaires </w:t>
      </w:r>
      <w:bookmarkEnd w:id="50"/>
    </w:p>
    <w:p>
      <w:pPr>
        <w:pStyle w:val="Titre3"/>
        <w:numPr>
          <w:ilvl w:val="2"/>
          <w:numId w:val="2"/>
        </w:numPr>
        <w:rPr>
          <w:color w:val="000000"/>
          <w:highlight w:val="none"/>
          <w:shd w:fill="FFFFFF" w:val="clear"/>
        </w:rPr>
      </w:pPr>
      <w:bookmarkStart w:id="51" w:name="_Toc3893"/>
      <w:r>
        <w:rPr>
          <w:color w:val="000000"/>
          <w:shd w:fill="FFFFFF" w:val="clear"/>
        </w:rPr>
        <w:t>Le RGS</w:t>
      </w:r>
      <w:bookmarkEnd w:id="51"/>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Le décret </w:t>
      </w:r>
      <w:r>
        <w:rPr>
          <w:rFonts w:eastAsia="arial" w:cs="arial" w:ascii="arial" w:hAnsi="arial"/>
          <w:b/>
          <w:i w:val="false"/>
          <w:color w:val="000000"/>
          <w:sz w:val="20"/>
          <w:u w:val="none"/>
          <w:shd w:fill="FFFFFF" w:val="clear"/>
        </w:rPr>
        <w:t>RGS</w:t>
      </w:r>
      <w:r>
        <w:rPr>
          <w:rFonts w:eastAsia="arial" w:cs="arial" w:ascii="arial" w:hAnsi="arial"/>
          <w:b w:val="false"/>
          <w:i/>
          <w:color w:val="000000"/>
          <w:sz w:val="20"/>
          <w:u w:val="none"/>
          <w:shd w:fill="FFFFFF" w:val="clear"/>
        </w:rPr>
        <w:t>(Référentiel Général de Sécurité)</w:t>
      </w:r>
      <w:r>
        <w:rPr>
          <w:rFonts w:eastAsia="arial" w:cs="arial" w:ascii="arial" w:hAnsi="arial"/>
          <w:b w:val="false"/>
          <w:i w:val="false"/>
          <w:color w:val="000000"/>
          <w:sz w:val="20"/>
          <w:u w:val="none"/>
          <w:shd w:fill="FFFFFF" w:val="clear"/>
        </w:rPr>
        <w:t>, pris en application de</w:t>
      </w:r>
      <w:r>
        <w:rPr>
          <w:rFonts w:eastAsia="arial" w:cs="arial" w:ascii="arial" w:hAnsi="arial"/>
          <w:b/>
          <w:i w:val="false"/>
          <w:color w:val="000000"/>
          <w:sz w:val="20"/>
          <w:u w:val="none"/>
          <w:shd w:fill="FFFFFF" w:val="clear"/>
        </w:rPr>
        <w:t xml:space="preserve"> l'ordonnance n° 2005-1516 du 8 Décembre 2005</w:t>
      </w:r>
      <w:r>
        <w:rPr>
          <w:rFonts w:eastAsia="arial" w:cs="arial" w:ascii="arial" w:hAnsi="arial"/>
          <w:b w:val="false"/>
          <w:i w:val="false"/>
          <w:color w:val="000000"/>
          <w:sz w:val="20"/>
          <w:u w:val="none"/>
          <w:shd w:fill="FFFFFF" w:val="clear"/>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eastAsia="arial" w:cs="arial" w:ascii="arial" w:hAnsi="arial"/>
          <w:b/>
          <w:i w:val="false"/>
          <w:color w:val="000000"/>
          <w:sz w:val="20"/>
          <w:u w:val="none"/>
          <w:shd w:fill="FFFFFF" w:val="clear"/>
        </w:rPr>
        <w:t xml:space="preserve"> télé-services</w:t>
      </w:r>
      <w:r>
        <w:rPr>
          <w:rFonts w:eastAsia="arial" w:cs="arial" w:ascii="arial" w:hAnsi="arial"/>
          <w:b w:val="false"/>
          <w:i w:val="false"/>
          <w:color w:val="000000"/>
          <w:sz w:val="20"/>
          <w:u w:val="none"/>
          <w:shd w:fill="FFFFFF" w:val="clear"/>
        </w:rPr>
        <w:t>.</w:t>
      </w:r>
    </w:p>
    <w:p>
      <w:pPr>
        <w:pStyle w:val="Titre3"/>
        <w:numPr>
          <w:ilvl w:val="2"/>
          <w:numId w:val="2"/>
        </w:numPr>
        <w:rPr>
          <w:color w:val="000000"/>
          <w:highlight w:val="none"/>
          <w:shd w:fill="FFFFFF" w:val="clear"/>
        </w:rPr>
      </w:pPr>
      <w:bookmarkStart w:id="52" w:name="_Toc3894"/>
      <w:r>
        <w:rPr>
          <w:color w:val="000000"/>
          <w:shd w:fill="FFFFFF" w:val="clear"/>
        </w:rPr>
        <w:t>Le Règlement Général sur la Protection des Données (RGPD)</w:t>
      </w:r>
      <w:bookmarkEnd w:id="52"/>
    </w:p>
    <w:p>
      <w:pPr>
        <w:pStyle w:val="Normal"/>
        <w:rPr>
          <w:color w:val="000000"/>
          <w:highlight w:val="none"/>
          <w:shd w:fill="FFFFFF" w:val="clear"/>
        </w:rPr>
      </w:pPr>
      <w:r>
        <w:rPr>
          <w:rFonts w:eastAsia="arial" w:cs="arial" w:ascii="arial" w:hAnsi="arial"/>
          <w:b w:val="false"/>
          <w:i w:val="false"/>
          <w:color w:val="000000"/>
          <w:sz w:val="20"/>
          <w:u w:val="none"/>
          <w:shd w:fill="FFFFFF" w:val="clear"/>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Il est notamment nécessaire de confirmer le respect de l'article 44 du Règlement Général sur la Protection des Données qui précise que le transfert de données personnelles à l'extérieur de l'Union Européenne ne peut se faire qu'à certaines conditions contractuelles et en co-responsabilité du responsable de traitement et du titulaire du marché (sous-traitant au sens du RGPD)</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L'ensemble des conditions sont définies dans l'annexe « Protection des données et Politique de sécurité » de l'acte d'engagement, le cas échéant.</w:t>
      </w:r>
    </w:p>
    <w:p>
      <w:pPr>
        <w:pStyle w:val="Titre3"/>
        <w:numPr>
          <w:ilvl w:val="2"/>
          <w:numId w:val="2"/>
        </w:numPr>
        <w:rPr>
          <w:color w:val="000000"/>
          <w:highlight w:val="none"/>
          <w:shd w:fill="FFFFFF" w:val="clear"/>
        </w:rPr>
      </w:pPr>
      <w:bookmarkStart w:id="53" w:name="_Toc3895"/>
      <w:r>
        <w:rPr>
          <w:color w:val="000000"/>
          <w:shd w:fill="FFFFFF" w:val="clear"/>
        </w:rPr>
        <w:t>Le Code du Patrimoine</w:t>
      </w:r>
      <w:bookmarkEnd w:id="53"/>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documents et données produits ou reçus par la Ville de Marseille constituent des archives publiques.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Or, la </w:t>
      </w:r>
      <w:r>
        <w:rPr>
          <w:rFonts w:eastAsia="arial" w:cs="arial" w:ascii="arial" w:hAnsi="arial"/>
          <w:b/>
          <w:i w:val="false"/>
          <w:color w:val="000000"/>
          <w:sz w:val="20"/>
          <w:u w:val="none"/>
          <w:shd w:fill="FFFFFF" w:val="clear"/>
        </w:rPr>
        <w:t>loi n°2015-195</w:t>
      </w:r>
      <w:r>
        <w:rPr>
          <w:rFonts w:eastAsia="arial" w:cs="arial" w:ascii="arial" w:hAnsi="arial"/>
          <w:b w:val="false"/>
          <w:i w:val="false"/>
          <w:color w:val="000000"/>
          <w:sz w:val="20"/>
          <w:u w:val="none"/>
          <w:shd w:fill="FFFFFF" w:val="clear"/>
        </w:rPr>
        <w:t xml:space="preserve"> promulguée le 20 février 2015 et modifiant</w:t>
      </w:r>
      <w:r>
        <w:rPr>
          <w:rFonts w:eastAsia="arial" w:cs="arial" w:ascii="arial" w:hAnsi="arial"/>
          <w:b/>
          <w:i w:val="false"/>
          <w:color w:val="000000"/>
          <w:sz w:val="20"/>
          <w:u w:val="none"/>
          <w:shd w:fill="FFFFFF" w:val="clear"/>
        </w:rPr>
        <w:t xml:space="preserve"> l'article L.111-1 du Code du Patrimoine</w:t>
      </w:r>
      <w:r>
        <w:rPr>
          <w:rFonts w:eastAsia="arial" w:cs="arial" w:ascii="arial" w:hAnsi="arial"/>
          <w:b w:val="false"/>
          <w:i w:val="false"/>
          <w:color w:val="000000"/>
          <w:sz w:val="20"/>
          <w:u w:val="none"/>
          <w:shd w:fill="FFFFFF" w:val="clear"/>
        </w:rPr>
        <w:t>, qualifie les archives publiques de "</w:t>
      </w:r>
      <w:r>
        <w:rPr>
          <w:rFonts w:eastAsia="arial" w:cs="arial" w:ascii="arial" w:hAnsi="arial"/>
          <w:b w:val="false"/>
          <w:i w:val="false"/>
          <w:color w:val="000000"/>
          <w:sz w:val="20"/>
          <w:u w:val="single"/>
          <w:shd w:fill="FFFFFF" w:val="clear"/>
        </w:rPr>
        <w:t>Trésors nationaux</w:t>
      </w:r>
      <w:r>
        <w:rPr>
          <w:rFonts w:eastAsia="arial" w:cs="arial" w:ascii="arial" w:hAnsi="arial"/>
          <w:b w:val="false"/>
          <w:i w:val="false"/>
          <w:color w:val="000000"/>
          <w:sz w:val="20"/>
          <w:u w:val="none"/>
          <w:shd w:fill="FFFFFF" w:val="clear"/>
        </w:rPr>
        <w:t>" et ne peuvent donc sortir du territoire douanier qu'après autorisation du Service inter-ministériel des Archives de France (SIAF) et seulement dans certains cas précis.</w:t>
      </w:r>
    </w:p>
    <w:p>
      <w:pPr>
        <w:pStyle w:val="Titre2"/>
        <w:numPr>
          <w:ilvl w:val="1"/>
          <w:numId w:val="2"/>
        </w:numPr>
        <w:rPr>
          <w:color w:val="000000"/>
          <w:highlight w:val="none"/>
          <w:shd w:fill="FFFFFF" w:val="clear"/>
        </w:rPr>
      </w:pPr>
      <w:bookmarkStart w:id="54" w:name="_Toc3896"/>
      <w:r>
        <w:rPr>
          <w:color w:val="000000"/>
          <w:shd w:fill="FFFFFF" w:val="clear"/>
        </w:rPr>
        <w:t>Les clauses générales de confidentialité</w:t>
      </w:r>
      <w:bookmarkEnd w:id="54"/>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Les supports informatiques physiques et documents fournis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à la société prestataire restent la propriété de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Les données</w:t>
      </w:r>
      <w:r>
        <w:rPr>
          <w:rFonts w:eastAsia="arial" w:cs="arial" w:ascii="arial" w:hAnsi="arial"/>
          <w:b w:val="false"/>
          <w:i w:val="false"/>
          <w:color w:val="000000"/>
          <w:sz w:val="20"/>
          <w:u w:val="none"/>
          <w:shd w:fill="FFFFFF" w:val="clear"/>
        </w:rPr>
        <w:t xml:space="preserve"> contenues dans ces supports et documents sont </w:t>
      </w:r>
      <w:r>
        <w:rPr>
          <w:rFonts w:eastAsia="arial" w:cs="arial" w:ascii="arial" w:hAnsi="arial"/>
          <w:b/>
          <w:i w:val="false"/>
          <w:color w:val="000000"/>
          <w:sz w:val="20"/>
          <w:u w:val="none"/>
          <w:shd w:fill="FFFFFF" w:val="clear"/>
        </w:rPr>
        <w:t>strictement couvertes par le secret professionnel</w:t>
      </w:r>
      <w:r>
        <w:rPr>
          <w:rFonts w:eastAsia="arial" w:cs="arial" w:ascii="arial" w:hAnsi="arial"/>
          <w:b w:val="false"/>
          <w:i w:val="false"/>
          <w:color w:val="000000"/>
          <w:sz w:val="20"/>
          <w:u w:val="none"/>
          <w:shd w:fill="FFFFFF" w:val="clear"/>
        </w:rPr>
        <w:t xml:space="preserve"> (article 226-13 du Code pénal), il en va de même pour toutes les données dont la société prestataire prendra connaissance à l'occasion de l'exécution de ce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l'exécution du marché public. A l'issue du marché public, le titulaire s'engage à remettre gratuitement à l'acheteur public toutes les données visées dans cet article et à apporter la preuve de leur destruction.</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La société</w:t>
      </w:r>
      <w:r>
        <w:rPr>
          <w:rFonts w:eastAsia="arial" w:cs="arial" w:ascii="arial" w:hAnsi="arial"/>
          <w:b w:val="false"/>
          <w:i w:val="false"/>
          <w:color w:val="000000"/>
          <w:sz w:val="20"/>
          <w:u w:val="none"/>
          <w:shd w:fill="FFFFFF" w:val="clear"/>
        </w:rPr>
        <w:t xml:space="preserve"> prestataire s'engage donc à respecter les obligations suivantes et à les faire respecter par son personnel :</w:t>
      </w:r>
    </w:p>
    <w:p>
      <w:pPr>
        <w:pStyle w:val="Normal"/>
        <w:spacing w:before="120" w:after="0"/>
        <w:rPr>
          <w:color w:val="000000"/>
          <w:highlight w:val="none"/>
          <w:shd w:fill="FFFFFF" w:val="clear"/>
        </w:rPr>
      </w:pPr>
      <w:r>
        <w:rPr>
          <w:color w:val="000000"/>
          <w:shd w:fill="FFFFFF" w:val="clear"/>
        </w:rPr>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ne prendre aucune copie des documents et supports d'informations qui lui sont confiés, à l'exception de celles nécessaires à l'exécution de la prestation prévue dans ce marché, l'accord préalable du responsable du fichier est nécessaire ;</w:t>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ne pas utiliser les documents et informations traités à des fins autres que celles spécifiées dans ce marché ;</w:t>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ne pas divulguer ces documents ou informations à d'autres personnes, qu'il s'agisse de personnes privées ou publiques, physiques ou morales ;</w:t>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prendre toutes mesures permettant d'éviter toute utilisation détournée ou frauduleuse des fichiers informatiques en cours d'exécution du marché ;</w:t>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prendre toutes mesures de sécurité, notamment matérielle, pour assurer la conservation et l'intégrité des documents et informations traités pendant la durée du marché ;</w:t>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échanger des informations personnelles, sensibles ou des authentifications/identifications uniquement de manière chiffrée ;</w:t>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en fin de marché à procéder à la mise à disposition de toutes les données appartenant à la Ville de Marseille ;</w:t>
      </w:r>
    </w:p>
    <w:p>
      <w:pPr>
        <w:pStyle w:val="Normal"/>
        <w:numPr>
          <w:ilvl w:val="0"/>
          <w:numId w:val="3"/>
        </w:numPr>
        <w:rPr>
          <w:color w:val="000000"/>
          <w:highlight w:val="none"/>
          <w:shd w:fill="FFFFFF" w:val="clear"/>
        </w:rPr>
      </w:pPr>
      <w:r>
        <w:rPr>
          <w:rFonts w:eastAsia="arial" w:cs="arial" w:ascii="arial" w:hAnsi="arial"/>
          <w:b w:val="false"/>
          <w:i w:val="false"/>
          <w:color w:val="000000"/>
          <w:sz w:val="20"/>
          <w:u w:val="none"/>
          <w:shd w:fill="FFFFFF" w:val="clear"/>
        </w:rPr>
        <w:t>et en fin de marché à procéder à la destruction de tous fichiers manuels ou informatisés stockant les informations saisies.</w:t>
      </w:r>
    </w:p>
    <w:p>
      <w:pPr>
        <w:pStyle w:val="Titre2"/>
        <w:numPr>
          <w:ilvl w:val="1"/>
          <w:numId w:val="2"/>
        </w:numPr>
        <w:rPr>
          <w:color w:val="000000"/>
          <w:highlight w:val="none"/>
          <w:shd w:fill="FFFFFF" w:val="clear"/>
        </w:rPr>
      </w:pPr>
      <w:bookmarkStart w:id="55" w:name="_Toc3897"/>
      <w:r>
        <w:rPr>
          <w:color w:val="000000"/>
          <w:shd w:fill="FFFFFF" w:val="clear"/>
        </w:rPr>
        <w:t>Les contrôles</w:t>
      </w:r>
      <w:bookmarkEnd w:id="55"/>
    </w:p>
    <w:p>
      <w:pPr>
        <w:pStyle w:val="Normal"/>
        <w:rPr>
          <w:color w:val="000000"/>
          <w:highlight w:val="none"/>
          <w:shd w:fill="FFFFFF" w:val="clear"/>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En cas de non-respect des dispositions précitées, la responsabilité du titulaire peut également être engagée sur la base des dispositions des articles 226-5 et 226-17 du nouveau code pénal.</w:t>
      </w:r>
    </w:p>
    <w:p>
      <w:pPr>
        <w:pStyle w:val="Normal"/>
        <w:spacing w:before="120" w:after="0"/>
        <w:rPr>
          <w:color w:val="000000"/>
          <w:highlight w:val="none"/>
          <w:shd w:fill="FFFFFF" w:val="clear"/>
        </w:rPr>
      </w:pPr>
      <w:r>
        <w:rPr>
          <w:rFonts w:eastAsia="arial" w:cs="arial" w:ascii="arial" w:hAnsi="arial"/>
          <w:b/>
          <w:i w:val="false"/>
          <w:color w:val="000000"/>
          <w:sz w:val="20"/>
          <w:u w:val="none"/>
          <w:shd w:fill="FFFFFF" w:val="clear"/>
        </w:rPr>
        <w:t>La Ville de Marseille</w:t>
      </w:r>
      <w:r>
        <w:rPr>
          <w:rFonts w:eastAsia="arial" w:cs="arial" w:ascii="arial" w:hAnsi="arial"/>
          <w:b w:val="false"/>
          <w:i w:val="false"/>
          <w:color w:val="000000"/>
          <w:sz w:val="20"/>
          <w:u w:val="none"/>
          <w:shd w:fill="FFFFFF" w:val="clear"/>
        </w:rPr>
        <w:t xml:space="preserve"> pourra prononcer la résiliation du marché, sans indemnisation du titulaire, en cas de violation du secret professionnel ou de non-respect des dispositions précitées.</w:t>
      </w:r>
    </w:p>
    <w:p>
      <w:pPr>
        <w:pStyle w:val="Titre2"/>
        <w:numPr>
          <w:ilvl w:val="1"/>
          <w:numId w:val="2"/>
        </w:numPr>
        <w:rPr>
          <w:color w:val="000000"/>
          <w:highlight w:val="none"/>
          <w:shd w:fill="FFFFFF" w:val="clear"/>
        </w:rPr>
      </w:pPr>
      <w:bookmarkStart w:id="56" w:name="_Toc3898"/>
      <w:r>
        <w:rPr>
          <w:color w:val="000000"/>
          <w:shd w:fill="FFFFFF" w:val="clear"/>
        </w:rPr>
        <w:t>Phase de réversibilité</w:t>
      </w:r>
      <w:bookmarkEnd w:id="56"/>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Au terme du marché, le prestataire s'engage à faciliter la réversibilité selon les modalités choisies par la </w:t>
      </w:r>
      <w:r>
        <w:rPr>
          <w:rFonts w:eastAsia="arial" w:cs="arial" w:ascii="arial" w:hAnsi="arial"/>
          <w:b/>
          <w:i w:val="false"/>
          <w:color w:val="000000"/>
          <w:sz w:val="20"/>
          <w:u w:val="none"/>
          <w:shd w:fill="FFFFFF" w:val="clear"/>
        </w:rPr>
        <w:t>Ville de Marseille</w:t>
      </w:r>
      <w:r>
        <w:rPr>
          <w:rFonts w:eastAsia="arial" w:cs="arial" w:ascii="arial" w:hAnsi="arial"/>
          <w:b w:val="false"/>
          <w:i w:val="false"/>
          <w:color w:val="000000"/>
          <w:sz w:val="20"/>
          <w:u w:val="none"/>
          <w:shd w:fill="FFFFFF" w:val="clear"/>
        </w:rPr>
        <w:t xml:space="preserve"> et à fournir toutes les informations et prestations utiles à sa mise en oeuvre.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La fourniture de toutes les</w:t>
      </w:r>
      <w:r>
        <w:rPr>
          <w:rFonts w:eastAsia="arial" w:cs="arial" w:ascii="arial" w:hAnsi="arial"/>
          <w:b/>
          <w:i w:val="false"/>
          <w:color w:val="000000"/>
          <w:sz w:val="20"/>
          <w:u w:val="none"/>
          <w:shd w:fill="FFFFFF" w:val="clear"/>
        </w:rPr>
        <w:t xml:space="preserve"> informations relatives à l'exécution du marché</w:t>
      </w:r>
      <w:r>
        <w:rPr>
          <w:rFonts w:eastAsia="arial" w:cs="arial" w:ascii="arial" w:hAnsi="arial"/>
          <w:b w:val="false"/>
          <w:i w:val="false"/>
          <w:color w:val="000000"/>
          <w:sz w:val="20"/>
          <w:u w:val="none"/>
          <w:shd w:fill="FFFFFF" w:val="clear"/>
        </w:rPr>
        <w:t xml:space="preserve">, la </w:t>
      </w:r>
      <w:r>
        <w:rPr>
          <w:rFonts w:eastAsia="arial" w:cs="arial" w:ascii="arial" w:hAnsi="arial"/>
          <w:b/>
          <w:i w:val="false"/>
          <w:color w:val="000000"/>
          <w:sz w:val="20"/>
          <w:u w:val="none"/>
          <w:shd w:fill="FFFFFF" w:val="clear"/>
        </w:rPr>
        <w:t>documentation</w:t>
      </w:r>
      <w:r>
        <w:rPr>
          <w:rFonts w:eastAsia="arial" w:cs="arial" w:ascii="arial" w:hAnsi="arial"/>
          <w:b w:val="false"/>
          <w:i w:val="false"/>
          <w:color w:val="000000"/>
          <w:sz w:val="20"/>
          <w:u w:val="none"/>
          <w:shd w:fill="FFFFFF" w:val="clear"/>
        </w:rPr>
        <w:t xml:space="preserve"> constituée durant la prestation, sous forme électronique mise à jour, ainsi que le</w:t>
      </w:r>
      <w:r>
        <w:rPr>
          <w:rFonts w:eastAsia="arial" w:cs="arial" w:ascii="arial" w:hAnsi="arial"/>
          <w:b/>
          <w:i w:val="false"/>
          <w:color w:val="000000"/>
          <w:sz w:val="20"/>
          <w:u w:val="none"/>
          <w:shd w:fill="FFFFFF" w:val="clear"/>
        </w:rPr>
        <w:t xml:space="preserve"> transfert de connaissance</w:t>
      </w:r>
      <w:r>
        <w:rPr>
          <w:rFonts w:eastAsia="arial" w:cs="arial" w:ascii="arial" w:hAnsi="arial"/>
          <w:b w:val="false"/>
          <w:i w:val="false"/>
          <w:color w:val="000000"/>
          <w:sz w:val="20"/>
          <w:u w:val="none"/>
          <w:shd w:fill="FFFFFF" w:val="clear"/>
        </w:rPr>
        <w:t xml:space="preserve"> sont inclus dans le présent marché.</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Ce transfert se fera directement aux équipes de la Ville de Marseille.</w:t>
      </w:r>
    </w:p>
    <w:p>
      <w:pPr>
        <w:pStyle w:val="Titre1"/>
        <w:numPr>
          <w:ilvl w:val="0"/>
          <w:numId w:val="2"/>
        </w:numPr>
        <w:rPr>
          <w:color w:val="000000"/>
          <w:highlight w:val="none"/>
          <w:shd w:fill="FFFFFF" w:val="clear"/>
        </w:rPr>
      </w:pPr>
      <w:bookmarkStart w:id="57" w:name="_Toc3899"/>
      <w:r>
        <w:rPr>
          <w:color w:val="000000"/>
          <w:shd w:fill="FFFFFF" w:val="clear"/>
        </w:rPr>
        <w:t>LOGICIEL E-ATTESTATIONS</w:t>
      </w:r>
      <w:bookmarkEnd w:id="57"/>
    </w:p>
    <w:p>
      <w:pPr>
        <w:pStyle w:val="Normal"/>
        <w:rPr>
          <w:color w:val="000000"/>
          <w:highlight w:val="none"/>
          <w:shd w:fill="FFFFFF" w:val="clear"/>
        </w:rPr>
      </w:pPr>
      <w:r>
        <w:rPr>
          <w:rFonts w:eastAsia="arial" w:cs="arial" w:ascii="arial" w:hAnsi="arial"/>
          <w:b w:val="false"/>
          <w:i w:val="false"/>
          <w:color w:val="000000"/>
          <w:sz w:val="20"/>
          <w:u w:val="none"/>
          <w:shd w:fill="FFFFFF" w:val="clear"/>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les attestations fiscales et sociales,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l'inscription au RCS (K ou K Bis),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garantie décennale pour les marchés de travaux,</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 liste nominative des travailleurs étrangers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l'attestation sur l'honneur relative à l'égalité réelle entre les femmes et les hommes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Cette démarche présente l'avantage de limiter les échanges administratifs lors de la notification et de l'exécution des marchés. Par ailleurs, le logiciel garantit la confidentialité des documents déposés.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xml:space="preserve">L'interface e-attestations est une solution </w:t>
      </w:r>
      <w:r>
        <w:rPr>
          <w:rFonts w:eastAsia="arial" w:cs="arial" w:ascii="arial" w:hAnsi="arial"/>
          <w:b/>
          <w:i w:val="false"/>
          <w:color w:val="000000"/>
          <w:sz w:val="20"/>
          <w:u w:val="none"/>
          <w:shd w:fill="FFFFFF" w:val="clear"/>
        </w:rPr>
        <w:t>gratuite</w:t>
      </w:r>
      <w:r>
        <w:rPr>
          <w:rFonts w:eastAsia="arial" w:cs="arial" w:ascii="arial" w:hAnsi="arial"/>
          <w:b w:val="false"/>
          <w:i w:val="false"/>
          <w:color w:val="000000"/>
          <w:sz w:val="20"/>
          <w:u w:val="none"/>
          <w:shd w:fill="FFFFFF" w:val="clear"/>
        </w:rPr>
        <w:t xml:space="preserve"> de dépôt et de mise à jour, l'adresse du site est la suivante : http://www.e-attestations.com/</w:t>
      </w:r>
    </w:p>
    <w:p>
      <w:pPr>
        <w:pStyle w:val="Titre1"/>
        <w:numPr>
          <w:ilvl w:val="0"/>
          <w:numId w:val="2"/>
        </w:numPr>
        <w:rPr>
          <w:color w:val="000000"/>
          <w:highlight w:val="none"/>
          <w:shd w:fill="FFFFFF" w:val="clear"/>
        </w:rPr>
      </w:pPr>
      <w:bookmarkStart w:id="58" w:name="_Toc3900"/>
      <w:r>
        <w:rPr>
          <w:color w:val="000000"/>
          <w:shd w:fill="FFFFFF" w:val="clear"/>
        </w:rPr>
        <w:t>LOI APPLICABLE</w:t>
      </w:r>
      <w:bookmarkEnd w:id="58"/>
    </w:p>
    <w:p>
      <w:pPr>
        <w:pStyle w:val="Normal"/>
        <w:rPr>
          <w:color w:val="000000"/>
          <w:highlight w:val="none"/>
          <w:shd w:fill="FFFFFF" w:val="clear"/>
        </w:rPr>
      </w:pPr>
      <w:r>
        <w:rPr>
          <w:rFonts w:eastAsia="arial" w:cs="arial" w:ascii="arial" w:hAnsi="arial"/>
          <w:b w:val="false"/>
          <w:i w:val="false"/>
          <w:color w:val="000000"/>
          <w:sz w:val="20"/>
          <w:u w:val="none"/>
          <w:shd w:fill="FFFFFF" w:val="clear"/>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pPr>
        <w:pStyle w:val="Titre1"/>
        <w:numPr>
          <w:ilvl w:val="0"/>
          <w:numId w:val="2"/>
        </w:numPr>
        <w:rPr>
          <w:color w:val="000000"/>
          <w:highlight w:val="none"/>
          <w:shd w:fill="FFFFFF" w:val="clear"/>
        </w:rPr>
      </w:pPr>
      <w:bookmarkStart w:id="59" w:name="_Toc3901"/>
      <w:r>
        <w:rPr>
          <w:color w:val="000000"/>
          <w:shd w:fill="FFFFFF" w:val="clear"/>
        </w:rPr>
        <w:t>CONFORMITE AUX NORMES</w:t>
      </w:r>
      <w:bookmarkEnd w:id="59"/>
    </w:p>
    <w:p>
      <w:pPr>
        <w:pStyle w:val="Normal"/>
        <w:rPr>
          <w:color w:val="000000"/>
          <w:highlight w:val="none"/>
          <w:shd w:fill="FFFFFF" w:val="clear"/>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fournitures seront conformes aux normes en vigueur, normes homologuées ou autres normes reconnues équivalentes, en vertu de l'article R2111-11 du Code de la commande publique.</w:t>
      </w:r>
    </w:p>
    <w:p>
      <w:pPr>
        <w:pStyle w:val="Normal"/>
        <w:rPr>
          <w:rFonts w:ascii="arial" w:hAnsi="arial" w:eastAsia="arial" w:cs="arial"/>
          <w:b w:val="false"/>
          <w:b w:val="false"/>
          <w:i w:val="false"/>
          <w:i w:val="false"/>
          <w:sz w:val="20"/>
          <w:u w:val="none"/>
        </w:rPr>
      </w:pPr>
      <w:r>
        <w:rPr>
          <w:rFonts w:eastAsia="arial" w:cs="arial" w:ascii="arial" w:hAnsi="arial"/>
          <w:b w:val="false"/>
          <w:i w:val="false"/>
          <w:sz w:val="20"/>
          <w:u w:val="none"/>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Toute norme décrite dans le présent marché, dont l'usage n'est pas rendu obligatoire par une réglementation, est entendue comme comprenant la mention "ou équivalent" même si elle n'est pas expressément suivie de cette mention.</w:t>
      </w:r>
    </w:p>
    <w:p>
      <w:pPr>
        <w:pStyle w:val="Titre1"/>
        <w:numPr>
          <w:ilvl w:val="0"/>
          <w:numId w:val="2"/>
        </w:numPr>
        <w:rPr>
          <w:color w:val="000000"/>
          <w:highlight w:val="none"/>
          <w:shd w:fill="FFFFFF" w:val="clear"/>
        </w:rPr>
      </w:pPr>
      <w:bookmarkStart w:id="60" w:name="_Toc3902"/>
      <w:r>
        <w:rPr>
          <w:color w:val="000000"/>
          <w:shd w:fill="FFFFFF" w:val="clear"/>
        </w:rPr>
        <w:t>ASSURANCES</w:t>
      </w:r>
      <w:bookmarkEnd w:id="60"/>
    </w:p>
    <w:p>
      <w:pPr>
        <w:pStyle w:val="Normal"/>
        <w:rPr>
          <w:color w:val="000000"/>
          <w:highlight w:val="none"/>
          <w:shd w:fill="FFFFFF" w:val="clear"/>
        </w:rPr>
      </w:pPr>
      <w:r>
        <w:rPr>
          <w:rFonts w:eastAsia="arial" w:cs="arial" w:ascii="arial" w:hAnsi="arial"/>
          <w:b w:val="false"/>
          <w:i w:val="false"/>
          <w:color w:val="000000"/>
          <w:sz w:val="20"/>
          <w:u w:val="none"/>
          <w:shd w:fill="FFFFFF" w:val="clear"/>
        </w:rPr>
        <w:t>Conformément à l'article 9 du CCAG FCS, le titulaire doit contracter les assurances permettant de garantir sa responsabilité à l'égard du pouvoir adjudicateur et des tiers, victimes d'accidents ou de dommages causés par l'exécution des prestations.</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A tout moment durant l'exécution du marché, le titulaire doit être en mesure de produire cette attestation, sur demande du pouvoir adjudicateur et dans un délai de quinze jours à compter de la réception de la demande.</w:t>
      </w:r>
    </w:p>
    <w:p>
      <w:pPr>
        <w:pStyle w:val="Titre1"/>
        <w:numPr>
          <w:ilvl w:val="0"/>
          <w:numId w:val="2"/>
        </w:numPr>
        <w:rPr>
          <w:color w:val="000000"/>
          <w:highlight w:val="none"/>
          <w:shd w:fill="FFFFFF" w:val="clear"/>
        </w:rPr>
      </w:pPr>
      <w:bookmarkStart w:id="61" w:name="_Toc3903"/>
      <w:r>
        <w:rPr>
          <w:color w:val="000000"/>
          <w:shd w:fill="FFFFFF" w:val="clear"/>
        </w:rPr>
        <w:t>DEROGATIONS AUX DOCUMENTS GENERAUX</w:t>
      </w:r>
      <w:bookmarkEnd w:id="61"/>
    </w:p>
    <w:p>
      <w:pPr>
        <w:pStyle w:val="Normal"/>
        <w:rPr>
          <w:color w:val="000000"/>
          <w:highlight w:val="none"/>
          <w:shd w:fill="FFFFFF" w:val="clear"/>
        </w:rPr>
      </w:pPr>
      <w:r>
        <w:rPr>
          <w:rFonts w:eastAsia="arial" w:cs="arial" w:ascii="arial" w:hAnsi="arial"/>
          <w:b w:val="false"/>
          <w:i w:val="false"/>
          <w:color w:val="000000"/>
          <w:sz w:val="20"/>
          <w:u w:val="none"/>
          <w:shd w:fill="FFFFFF" w:val="clear"/>
        </w:rPr>
        <w:t>Les dérogations explicitées dans les articles désignés ci-après du C.C.A.P. sont apportées aux articles suivants des documents et des normes françaises homologuées ci-après :</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Dérogations au CCAG-FCS:</w:t>
      </w:r>
    </w:p>
    <w:p>
      <w:pPr>
        <w:pStyle w:val="Normal"/>
        <w:spacing w:before="120" w:after="0"/>
        <w:rPr>
          <w:color w:val="000000"/>
          <w:highlight w:val="none"/>
          <w:shd w:fill="FFFFFF" w:val="clear"/>
        </w:rPr>
      </w:pPr>
      <w:r>
        <w:rPr>
          <w:color w:val="000000"/>
          <w:shd w:fill="FFFFFF" w:val="clear"/>
        </w:rPr>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l'article 2  déroge à l'article 4.1  du CCAG</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l'article  5.1 déroge à l'article  20.2.2 du CCAG</w:t>
      </w:r>
    </w:p>
    <w:p>
      <w:pPr>
        <w:pStyle w:val="Normal"/>
        <w:spacing w:before="120" w:after="0"/>
        <w:rPr>
          <w:color w:val="000000"/>
          <w:highlight w:val="none"/>
          <w:shd w:fill="FFFFFF" w:val="clear"/>
        </w:rPr>
      </w:pPr>
      <w:r>
        <w:rPr>
          <w:rFonts w:eastAsia="arial" w:cs="arial" w:ascii="arial" w:hAnsi="arial"/>
          <w:b w:val="false"/>
          <w:i w:val="false"/>
          <w:color w:val="000000"/>
          <w:sz w:val="20"/>
          <w:u w:val="none"/>
          <w:shd w:fill="FFFFFF" w:val="clear"/>
        </w:rPr>
        <w:t>- l’article 15.1 déroge à l’article 14.1.1 du CCAG</w:t>
      </w:r>
    </w:p>
    <w:p>
      <w:pPr>
        <w:pStyle w:val="Normal"/>
        <w:rPr>
          <w:color w:val="000000"/>
          <w:highlight w:val="none"/>
          <w:shd w:fill="FFFFFF" w:val="clear"/>
        </w:rPr>
      </w:pPr>
      <w:r>
        <w:rPr/>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2" w:space="0" w:color="000001"/>
        <w:left w:val="single" w:sz="2" w:space="0" w:color="000001"/>
        <w:bottom w:val="single" w:sz="2" w:space="0" w:color="000001"/>
        <w:right w:val="single" w:sz="2" w:space="0" w:color="000001"/>
      </w:pBdr>
      <w:spacing w:before="120" w:after="0"/>
      <w:rPr/>
    </w:pPr>
    <w:r>
      <w:rPr>
        <w:color w:val="000000"/>
      </w:rPr>
      <w:t>CCAP_Désinsectisation des punaises de lit au sein des établissements municipaux.docx</w:t>
    </w:r>
    <w:r>
      <w:rPr/>
      <w:tab/>
      <w:tab/>
    </w:r>
    <w:r>
      <w:rPr/>
      <w:fldChar w:fldCharType="begin"/>
    </w:r>
    <w:r>
      <w:rPr/>
      <w:instrText> PAGE </w:instrText>
    </w:r>
    <w:r>
      <w:rPr/>
      <w:fldChar w:fldCharType="separate"/>
    </w:r>
    <w:r>
      <w:rPr/>
      <w:t>16</w:t>
    </w:r>
    <w:r>
      <w:rPr/>
      <w:fldChar w:fldCharType="end"/>
    </w:r>
    <w:r>
      <w:rPr/>
      <w:t>/</w:t>
    </w:r>
    <w:r>
      <w:rPr/>
      <w:fldChar w:fldCharType="begin"/>
    </w:r>
    <w:r>
      <w:rPr/>
      <w:instrText> NUMPAGES </w:instrText>
    </w:r>
    <w:r>
      <w:rPr/>
      <w:fldChar w:fldCharType="separate"/>
    </w:r>
    <w:r>
      <w:rPr/>
      <w:t>16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000000"/>
        <w:sz w:val="18"/>
        <w:szCs w:val="18"/>
        <w:highlight w:val="white"/>
        <w:lang w:val="fr-FR"/>
      </w:rPr>
      <w:t>Cahier des clauses administratives particulières  consultation : 22_1142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1"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814"/>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815"/>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816"/>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817"/>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818"/>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819"/>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820"/>
    <w:qFormat/>
    <w:pPr>
      <w:numPr>
        <w:ilvl w:val="6"/>
        <w:numId w:val="1"/>
      </w:numPr>
      <w:spacing w:before="283" w:after="57"/>
      <w:jc w:val="both"/>
      <w:outlineLvl w:val="6"/>
    </w:pPr>
    <w:rPr>
      <w:bCs/>
      <w:sz w:val="22"/>
    </w:rPr>
  </w:style>
  <w:style w:type="paragraph" w:styleId="Titre8">
    <w:name w:val="Heading 8"/>
    <w:basedOn w:val="Titre"/>
    <w:link w:val="821"/>
    <w:qFormat/>
    <w:pPr>
      <w:numPr>
        <w:ilvl w:val="7"/>
        <w:numId w:val="1"/>
      </w:numPr>
      <w:spacing w:before="283" w:after="57"/>
      <w:jc w:val="both"/>
      <w:outlineLvl w:val="7"/>
    </w:pPr>
    <w:rPr>
      <w:bCs/>
      <w:sz w:val="21"/>
    </w:rPr>
  </w:style>
  <w:style w:type="paragraph" w:styleId="Titre9">
    <w:name w:val="Heading 9"/>
    <w:basedOn w:val="Titre"/>
    <w:link w:val="822"/>
    <w:qFormat/>
    <w:pPr>
      <w:numPr>
        <w:ilvl w:val="8"/>
        <w:numId w:val="1"/>
      </w:numPr>
      <w:spacing w:before="283" w:after="57"/>
      <w:jc w:val="both"/>
      <w:outlineLvl w:val="8"/>
    </w:pPr>
    <w:rPr>
      <w:bCs/>
      <w:sz w:val="21"/>
    </w:rPr>
  </w:style>
  <w:style w:type="character" w:styleId="Heading1Char">
    <w:name w:val="Heading 1 Char"/>
    <w:basedOn w:val="DefaultParagraphFont"/>
    <w:link w:val="804"/>
    <w:uiPriority w:val="9"/>
    <w:qFormat/>
    <w:rPr>
      <w:rFonts w:ascii="Arial" w:hAnsi="Arial" w:eastAsia="Arial" w:cs="Arial"/>
      <w:sz w:val="40"/>
      <w:szCs w:val="40"/>
    </w:rPr>
  </w:style>
  <w:style w:type="character" w:styleId="Heading2Char">
    <w:name w:val="Heading 2 Char"/>
    <w:basedOn w:val="DefaultParagraphFont"/>
    <w:link w:val="805"/>
    <w:uiPriority w:val="9"/>
    <w:qFormat/>
    <w:rPr>
      <w:rFonts w:ascii="Arial" w:hAnsi="Arial" w:eastAsia="Arial" w:cs="Arial"/>
      <w:sz w:val="34"/>
    </w:rPr>
  </w:style>
  <w:style w:type="character" w:styleId="Heading3Char">
    <w:name w:val="Heading 3 Char"/>
    <w:basedOn w:val="DefaultParagraphFont"/>
    <w:link w:val="806"/>
    <w:uiPriority w:val="9"/>
    <w:qFormat/>
    <w:rPr>
      <w:rFonts w:ascii="Arial" w:hAnsi="Arial" w:eastAsia="Arial" w:cs="Arial"/>
      <w:sz w:val="30"/>
      <w:szCs w:val="30"/>
    </w:rPr>
  </w:style>
  <w:style w:type="character" w:styleId="Heading4Char">
    <w:name w:val="Heading 4 Char"/>
    <w:basedOn w:val="DefaultParagraphFont"/>
    <w:link w:val="807"/>
    <w:uiPriority w:val="9"/>
    <w:qFormat/>
    <w:rPr>
      <w:rFonts w:ascii="Arial" w:hAnsi="Arial" w:eastAsia="Arial" w:cs="Arial"/>
      <w:b/>
      <w:bCs/>
      <w:sz w:val="26"/>
      <w:szCs w:val="26"/>
    </w:rPr>
  </w:style>
  <w:style w:type="character" w:styleId="Heading5Char">
    <w:name w:val="Heading 5 Char"/>
    <w:basedOn w:val="DefaultParagraphFont"/>
    <w:link w:val="808"/>
    <w:uiPriority w:val="9"/>
    <w:qFormat/>
    <w:rPr>
      <w:rFonts w:ascii="Arial" w:hAnsi="Arial" w:eastAsia="Arial" w:cs="Arial"/>
      <w:b/>
      <w:bCs/>
      <w:sz w:val="24"/>
      <w:szCs w:val="24"/>
    </w:rPr>
  </w:style>
  <w:style w:type="character" w:styleId="Heading6Char">
    <w:name w:val="Heading 6 Char"/>
    <w:basedOn w:val="DefaultParagraphFont"/>
    <w:link w:val="809"/>
    <w:uiPriority w:val="9"/>
    <w:qFormat/>
    <w:rPr>
      <w:rFonts w:ascii="Arial" w:hAnsi="Arial" w:eastAsia="Arial" w:cs="Arial"/>
      <w:b/>
      <w:bCs/>
      <w:sz w:val="22"/>
      <w:szCs w:val="22"/>
    </w:rPr>
  </w:style>
  <w:style w:type="character" w:styleId="Heading7Char">
    <w:name w:val="Heading 7 Char"/>
    <w:basedOn w:val="DefaultParagraphFont"/>
    <w:link w:val="810"/>
    <w:uiPriority w:val="9"/>
    <w:qFormat/>
    <w:rPr>
      <w:rFonts w:ascii="Arial" w:hAnsi="Arial" w:eastAsia="Arial" w:cs="Arial"/>
      <w:b/>
      <w:bCs/>
      <w:i/>
      <w:iCs/>
      <w:sz w:val="22"/>
      <w:szCs w:val="22"/>
    </w:rPr>
  </w:style>
  <w:style w:type="character" w:styleId="Heading8Char">
    <w:name w:val="Heading 8 Char"/>
    <w:basedOn w:val="DefaultParagraphFont"/>
    <w:link w:val="811"/>
    <w:uiPriority w:val="9"/>
    <w:qFormat/>
    <w:rPr>
      <w:rFonts w:ascii="Arial" w:hAnsi="Arial" w:eastAsia="Arial" w:cs="Arial"/>
      <w:i/>
      <w:iCs/>
      <w:sz w:val="22"/>
      <w:szCs w:val="22"/>
    </w:rPr>
  </w:style>
  <w:style w:type="character" w:styleId="Heading9Char">
    <w:name w:val="Heading 9 Char"/>
    <w:basedOn w:val="DefaultParagraphFont"/>
    <w:link w:val="812"/>
    <w:uiPriority w:val="9"/>
    <w:qFormat/>
    <w:rPr>
      <w:rFonts w:ascii="Arial" w:hAnsi="Arial" w:eastAsia="Arial" w:cs="Arial"/>
      <w:i/>
      <w:iCs/>
      <w:sz w:val="21"/>
      <w:szCs w:val="21"/>
    </w:rPr>
  </w:style>
  <w:style w:type="character" w:styleId="TitleChar">
    <w:name w:val="Title Char"/>
    <w:basedOn w:val="DefaultParagraphFont"/>
    <w:link w:val="847"/>
    <w:uiPriority w:val="10"/>
    <w:qFormat/>
    <w:rPr>
      <w:sz w:val="48"/>
      <w:szCs w:val="48"/>
    </w:rPr>
  </w:style>
  <w:style w:type="character" w:styleId="SubtitleChar">
    <w:name w:val="Subtitle Char"/>
    <w:basedOn w:val="DefaultParagraphFont"/>
    <w:link w:val="848"/>
    <w:uiPriority w:val="11"/>
    <w:qFormat/>
    <w:rPr>
      <w:sz w:val="24"/>
      <w:szCs w:val="24"/>
    </w:rPr>
  </w:style>
  <w:style w:type="character" w:styleId="QuoteChar">
    <w:name w:val="Quote Char"/>
    <w:link w:val="849"/>
    <w:uiPriority w:val="29"/>
    <w:qFormat/>
    <w:rPr>
      <w:i/>
    </w:rPr>
  </w:style>
  <w:style w:type="character" w:styleId="IntenseQuoteChar">
    <w:name w:val="Intense Quote Char"/>
    <w:link w:val="850"/>
    <w:uiPriority w:val="30"/>
    <w:qFormat/>
    <w:rPr>
      <w:i/>
    </w:rPr>
  </w:style>
  <w:style w:type="character" w:styleId="HeaderChar">
    <w:name w:val="Header Char"/>
    <w:basedOn w:val="DefaultParagraphFont"/>
    <w:link w:val="865"/>
    <w:uiPriority w:val="99"/>
    <w:qFormat/>
    <w:rPr/>
  </w:style>
  <w:style w:type="character" w:styleId="CaptionChar">
    <w:name w:val="Caption Char"/>
    <w:link w:val="873"/>
    <w:uiPriority w:val="99"/>
    <w:qFormat/>
    <w:rPr/>
  </w:style>
  <w:style w:type="character" w:styleId="LienInternet">
    <w:name w:val="Lien Internet"/>
    <w:basedOn w:val="DefaultParagraphFont"/>
    <w:uiPriority w:val="99"/>
    <w:unhideWhenUsed/>
    <w:rPr>
      <w:color w:val="0563C1" w:themeColor="hyperlink"/>
      <w:u w:val="single"/>
    </w:rPr>
  </w:style>
  <w:style w:type="character" w:styleId="FootnoteTextChar">
    <w:name w:val="Footnote Text Char"/>
    <w:link w:val="851"/>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52"/>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804"/>
    <w:uiPriority w:val="9"/>
    <w:qFormat/>
    <w:rPr>
      <w:rFonts w:ascii="Arial" w:hAnsi="Arial" w:eastAsia="Arial" w:cs="Arial"/>
      <w:sz w:val="40"/>
      <w:szCs w:val="40"/>
    </w:rPr>
  </w:style>
  <w:style w:type="character" w:styleId="Titre2Car" w:customStyle="1">
    <w:name w:val="Titre 2 Car"/>
    <w:basedOn w:val="DefaultParagraphFont"/>
    <w:link w:val="805"/>
    <w:uiPriority w:val="9"/>
    <w:qFormat/>
    <w:rPr>
      <w:rFonts w:ascii="Arial" w:hAnsi="Arial"/>
      <w:b/>
      <w:bCs/>
      <w:iCs/>
      <w:color w:val="666699"/>
      <w:sz w:val="22"/>
      <w:szCs w:val="28"/>
      <w:u w:val="single"/>
    </w:rPr>
  </w:style>
  <w:style w:type="character" w:styleId="Titre3Car" w:customStyle="1">
    <w:name w:val="Titre 3 Car"/>
    <w:basedOn w:val="DefaultParagraphFont"/>
    <w:link w:val="806"/>
    <w:uiPriority w:val="9"/>
    <w:qFormat/>
    <w:rPr>
      <w:rFonts w:ascii="Arial" w:hAnsi="Arial" w:eastAsia="Arial" w:cs="Arial"/>
      <w:sz w:val="30"/>
      <w:szCs w:val="30"/>
    </w:rPr>
  </w:style>
  <w:style w:type="character" w:styleId="Titre4Car" w:customStyle="1">
    <w:name w:val="Titre 4 Car"/>
    <w:basedOn w:val="DefaultParagraphFont"/>
    <w:link w:val="807"/>
    <w:uiPriority w:val="9"/>
    <w:qFormat/>
    <w:rPr>
      <w:rFonts w:ascii="Arial" w:hAnsi="Arial" w:eastAsia="Arial" w:cs="Arial"/>
      <w:b/>
      <w:bCs/>
      <w:sz w:val="26"/>
      <w:szCs w:val="26"/>
    </w:rPr>
  </w:style>
  <w:style w:type="character" w:styleId="Titre5Car" w:customStyle="1">
    <w:name w:val="Titre 5 Car"/>
    <w:basedOn w:val="DefaultParagraphFont"/>
    <w:link w:val="808"/>
    <w:uiPriority w:val="9"/>
    <w:qFormat/>
    <w:rPr>
      <w:rFonts w:ascii="Arial" w:hAnsi="Arial" w:eastAsia="Arial" w:cs="Arial"/>
      <w:b/>
      <w:bCs/>
      <w:sz w:val="24"/>
      <w:szCs w:val="24"/>
    </w:rPr>
  </w:style>
  <w:style w:type="character" w:styleId="Titre6Car" w:customStyle="1">
    <w:name w:val="Titre 6 Car"/>
    <w:basedOn w:val="DefaultParagraphFont"/>
    <w:link w:val="809"/>
    <w:uiPriority w:val="9"/>
    <w:qFormat/>
    <w:rPr>
      <w:rFonts w:ascii="Arial" w:hAnsi="Arial" w:eastAsia="Arial" w:cs="Arial"/>
      <w:b/>
      <w:bCs/>
      <w:sz w:val="22"/>
      <w:szCs w:val="22"/>
    </w:rPr>
  </w:style>
  <w:style w:type="character" w:styleId="Titre7Car" w:customStyle="1">
    <w:name w:val="Titre 7 Car"/>
    <w:basedOn w:val="DefaultParagraphFont"/>
    <w:link w:val="810"/>
    <w:uiPriority w:val="9"/>
    <w:qFormat/>
    <w:rPr>
      <w:rFonts w:ascii="Arial" w:hAnsi="Arial" w:eastAsia="Arial" w:cs="Arial"/>
      <w:b/>
      <w:bCs/>
      <w:i/>
      <w:iCs/>
      <w:sz w:val="22"/>
      <w:szCs w:val="22"/>
    </w:rPr>
  </w:style>
  <w:style w:type="character" w:styleId="Titre8Car" w:customStyle="1">
    <w:name w:val="Titre 8 Car"/>
    <w:basedOn w:val="DefaultParagraphFont"/>
    <w:link w:val="811"/>
    <w:uiPriority w:val="9"/>
    <w:qFormat/>
    <w:rPr>
      <w:rFonts w:ascii="Arial" w:hAnsi="Arial" w:eastAsia="Arial" w:cs="Arial"/>
      <w:i/>
      <w:iCs/>
      <w:sz w:val="22"/>
      <w:szCs w:val="22"/>
    </w:rPr>
  </w:style>
  <w:style w:type="character" w:styleId="Titre9Car" w:customStyle="1">
    <w:name w:val="Titre 9 Car"/>
    <w:basedOn w:val="DefaultParagraphFont"/>
    <w:link w:val="812"/>
    <w:uiPriority w:val="9"/>
    <w:qFormat/>
    <w:rPr>
      <w:rFonts w:ascii="Arial" w:hAnsi="Arial" w:eastAsia="Arial" w:cs="Arial"/>
      <w:i/>
      <w:iCs/>
      <w:sz w:val="21"/>
      <w:szCs w:val="21"/>
    </w:rPr>
  </w:style>
  <w:style w:type="character" w:styleId="TitreCar" w:customStyle="1">
    <w:name w:val="Titre Car"/>
    <w:basedOn w:val="DefaultParagraphFont"/>
    <w:link w:val="840"/>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73"/>
    <w:uiPriority w:val="99"/>
    <w:qFormat/>
    <w:rPr/>
  </w:style>
  <w:style w:type="character" w:styleId="NotedebasdepageCar" w:customStyle="1">
    <w:name w:val="Note de bas de page Car"/>
    <w:link w:val="851"/>
    <w:uiPriority w:val="99"/>
    <w:qFormat/>
    <w:rPr>
      <w:sz w:val="18"/>
    </w:rPr>
  </w:style>
  <w:style w:type="character" w:styleId="NotedefinCar" w:customStyle="1">
    <w:name w:val="Note de fin Car"/>
    <w:link w:val="852"/>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59"/>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Standard"/>
    <w:qFormat/>
    <w:pPr>
      <w:spacing w:before="120" w:after="120"/>
    </w:pPr>
    <w:rPr>
      <w:i/>
      <w:iCs/>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23"/>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25"/>
    <w:uiPriority w:val="29"/>
    <w:qFormat/>
    <w:pPr>
      <w:ind w:left="720" w:right="720" w:hanging="0"/>
    </w:pPr>
    <w:rPr>
      <w:i/>
    </w:rPr>
  </w:style>
  <w:style w:type="paragraph" w:styleId="IntenseQuote">
    <w:name w:val="Intense Quote"/>
    <w:basedOn w:val="Normal"/>
    <w:link w:val="826"/>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30"/>
    <w:uiPriority w:val="99"/>
    <w:semiHidden/>
    <w:unhideWhenUsed/>
    <w:qFormat/>
    <w:pPr>
      <w:spacing w:before="120" w:after="40"/>
    </w:pPr>
    <w:rPr>
      <w:sz w:val="18"/>
    </w:rPr>
  </w:style>
  <w:style w:type="paragraph" w:styleId="Notedefin">
    <w:name w:val="Endnote Text"/>
    <w:basedOn w:val="Normal"/>
    <w:link w:val="833"/>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38"/>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29"/>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clear" w:pos="706"/>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
  <TotalTime>66</TotalTime>
  <Application>LibreOffice/7.2.7.2$Windows_X86_64 LibreOffice_project/8d71d29d553c0f7dcbfa38fbfda25ee34cce99a2</Application>
  <AppVersion>15.0000</AppVersion>
  <Pages>16</Pages>
  <Words>6726</Words>
  <Characters>28084</Characters>
  <CharactersWithSpaces>32714</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dc:description/>
  <dc:language>fr-FR</dc:language>
  <cp:lastModifiedBy/>
  <cp:lastPrinted>2022-12-14T10:05:49Z</cp:lastPrinted>
  <dcterms:modified xsi:type="dcterms:W3CDTF">2022-12-14T10:05:58Z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