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0"/>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jc w:val="center"/>
        <w:rPr>
          <w:rFonts w:cs="Arial"/>
          <w:color w:val="000000"/>
          <w:sz w:val="36"/>
          <w:szCs w:val="36"/>
          <w:highlight w:val="none"/>
          <w:shd w:fill="FFFFFF" w:val="clear"/>
        </w:rPr>
      </w:pPr>
      <w:r>
        <w:rPr>
          <w:rFonts w:cs="Arial"/>
          <w:color w:val="000000"/>
          <w:sz w:val="36"/>
          <w:szCs w:val="36"/>
          <w:shd w:fill="FFFFFF" w:val="clear"/>
        </w:rPr>
      </w:r>
    </w:p>
    <w:p>
      <w:pPr>
        <w:pStyle w:val="Standard"/>
        <w:jc w:val="center"/>
        <w:rPr>
          <w:color w:val="000000"/>
          <w:highlight w:val="none"/>
          <w:shd w:fill="FFFFFF" w:val="clear"/>
        </w:rPr>
      </w:pPr>
      <w:r>
        <w:rPr>
          <w:rFonts w:cs="Arial"/>
          <w:color w:val="000000"/>
          <w:sz w:val="36"/>
          <w:szCs w:val="36"/>
          <w:shd w:fill="FFFFFF" w:val="clear"/>
        </w:rPr>
        <w:t>Mairie de Marseille</w:t>
      </w:r>
    </w:p>
    <w:p>
      <w:pPr>
        <w:pStyle w:val="Standard"/>
        <w:jc w:val="center"/>
        <w:rPr>
          <w:color w:val="000000"/>
          <w:highlight w:val="none"/>
          <w:shd w:fill="FFFFFF" w:val="clear"/>
        </w:rPr>
      </w:pPr>
      <w:r>
        <w:rPr>
          <w:rFonts w:cs="Arial"/>
          <w:color w:val="000000"/>
          <w:sz w:val="36"/>
          <w:szCs w:val="36"/>
          <w:shd w:fill="FFFFFF" w:val="clear"/>
        </w:rPr>
        <w:t xml:space="preserve">DIRECTION DE LA SANTÉ PUBLIQUE ET DE </w:t>
      </w:r>
    </w:p>
    <w:p>
      <w:pPr>
        <w:pStyle w:val="Standard"/>
        <w:jc w:val="center"/>
        <w:rPr>
          <w:color w:val="000000"/>
          <w:highlight w:val="none"/>
          <w:shd w:fill="FFFFFF" w:val="clear"/>
        </w:rPr>
      </w:pPr>
      <w:r>
        <w:rPr>
          <w:rFonts w:cs="Arial"/>
          <w:color w:val="000000"/>
          <w:sz w:val="36"/>
          <w:szCs w:val="36"/>
          <w:shd w:fill="FFFFFF" w:val="clear"/>
        </w:rPr>
        <w:t>L’INCLUSION</w:t>
      </w:r>
    </w:p>
    <w:p>
      <w:pPr>
        <w:pStyle w:val="Standard"/>
        <w:rPr>
          <w:rFonts w:cs="Arial"/>
          <w:color w:val="000000"/>
          <w:sz w:val="20"/>
          <w:szCs w:val="20"/>
          <w:highlight w:val="none"/>
          <w:shd w:fill="FFFFFF" w:val="clear"/>
        </w:rPr>
      </w:pPr>
      <w:r>
        <w:rPr>
          <w:rFonts w:cs="Arial"/>
          <w:color w:val="000000"/>
          <w:sz w:val="20"/>
          <w:szCs w:val="20"/>
          <w:shd w:fill="FFFFFF" w:val="clear"/>
        </w:rPr>
      </w:r>
    </w:p>
    <w:p>
      <w:pPr>
        <w:pStyle w:val="Titre11"/>
        <w:shd w:val="clear" w:color="FFFFFF" w:fill="FFFFFF"/>
        <w:jc w:val="left"/>
        <w:rPr>
          <w:color w:val="000000"/>
          <w:sz w:val="44"/>
          <w:szCs w:val="44"/>
          <w:highlight w:val="none"/>
          <w:shd w:fill="FFFFFF" w:val="clear"/>
        </w:rPr>
      </w:pPr>
      <w:r>
        <w:rPr>
          <w:color w:val="000000"/>
          <w:sz w:val="44"/>
          <w:szCs w:val="44"/>
          <w:shd w:fill="FFFFFF" w:val="clear"/>
        </w:rPr>
      </w:r>
    </w:p>
    <w:p>
      <w:pPr>
        <w:pStyle w:val="Titre11"/>
        <w:shd w:val="clear" w:color="FFFFFF" w:fill="FFFFFF"/>
        <w:jc w:val="center"/>
        <w:rPr>
          <w:color w:val="000000"/>
          <w:highlight w:val="none"/>
          <w:shd w:fill="FFFFFF" w:val="clear"/>
        </w:rPr>
      </w:pPr>
      <w:r>
        <w:rPr>
          <w:rFonts w:cs="Arial"/>
          <w:color w:val="000000"/>
          <w:sz w:val="44"/>
          <w:szCs w:val="44"/>
          <w:shd w:fill="FFFFFF" w:val="clear"/>
        </w:rPr>
        <w:t>Acte d'engagement Lot 2</w:t>
      </w:r>
    </w:p>
    <w:p>
      <w:pPr>
        <w:pStyle w:val="Titre11"/>
        <w:shd w:val="clear" w:color="FFFFFF" w:fill="FFFFFF"/>
        <w:jc w:val="left"/>
        <w:rPr>
          <w:color w:val="000000"/>
          <w:sz w:val="44"/>
          <w:szCs w:val="44"/>
          <w:highlight w:val="none"/>
          <w:shd w:fill="FFFFFF" w:val="clear"/>
        </w:rPr>
      </w:pPr>
      <w:r>
        <w:rPr>
          <w:color w:val="000000"/>
          <w:sz w:val="44"/>
          <w:szCs w:val="44"/>
          <w:shd w:fill="FFFFFF" w:val="clear"/>
        </w:rPr>
      </w:r>
    </w:p>
    <w:p>
      <w:pPr>
        <w:pStyle w:val="Standard"/>
        <w:rPr>
          <w:rFonts w:cs="Arial"/>
          <w:color w:val="000000"/>
          <w:sz w:val="20"/>
          <w:szCs w:val="20"/>
          <w:highlight w:val="none"/>
          <w:shd w:fill="FFFFFF" w:val="clear"/>
        </w:rPr>
      </w:pPr>
      <w:r>
        <w:rPr>
          <w:rFonts w:cs="Arial"/>
          <w:color w:val="000000"/>
          <w:sz w:val="20"/>
          <w:szCs w:val="20"/>
          <w:shd w:fill="FFFFFF" w:val="clear"/>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color w:val="000000"/>
          <w:sz w:val="20"/>
          <w:szCs w:val="20"/>
          <w:highlight w:val="none"/>
          <w:shd w:fill="FFFFFF" w:val="clear"/>
        </w:rPr>
      </w:pPr>
      <w:r>
        <w:rPr>
          <w:rFonts w:cs="Arial"/>
          <w:color w:val="000000"/>
          <w:sz w:val="20"/>
          <w:szCs w:val="20"/>
          <w:shd w:fill="FFFFFF" w:val="clear"/>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color w:val="000000"/>
          <w:sz w:val="20"/>
          <w:szCs w:val="20"/>
          <w:highlight w:val="none"/>
          <w:shd w:fill="FFFFFF" w:val="clear"/>
        </w:rPr>
      </w:pPr>
      <w:r>
        <w:rPr>
          <w:rFonts w:cs="Arial"/>
          <w:color w:val="000000"/>
          <w:sz w:val="20"/>
          <w:szCs w:val="20"/>
          <w:shd w:fill="FFFFFF" w:val="clear"/>
        </w:rPr>
      </w:r>
    </w:p>
    <w:p>
      <w:pPr>
        <w:pStyle w:val="Titre11"/>
        <w:pBdr>
          <w:top w:val="single" w:sz="18" w:space="1" w:color="000001"/>
          <w:left w:val="single" w:sz="18" w:space="4" w:color="000001"/>
          <w:bottom w:val="single" w:sz="18" w:space="1" w:color="000001"/>
          <w:right w:val="single" w:sz="18" w:space="16" w:color="000001"/>
        </w:pBdr>
        <w:shd w:val="clear" w:color="FFFFFF" w:fill="FFFFFF"/>
        <w:rPr>
          <w:color w:val="000000"/>
          <w:highlight w:val="none"/>
          <w:shd w:fill="FFFFFF" w:val="clear"/>
        </w:rPr>
      </w:pPr>
      <w:r>
        <w:rPr>
          <w:rFonts w:cs="Arial"/>
          <w:color w:val="000000"/>
          <w:sz w:val="36"/>
          <w:szCs w:val="36"/>
          <w:shd w:fill="FFFFFF" w:val="clear"/>
        </w:rPr>
        <w:t>Désinsectisation des punaises de lit au sein des établissements municipaux 2 lots</w:t>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color w:val="000000"/>
          <w:sz w:val="20"/>
          <w:szCs w:val="20"/>
          <w:highlight w:val="none"/>
          <w:shd w:fill="FFFFFF" w:val="clear"/>
        </w:rPr>
      </w:pPr>
      <w:r>
        <w:rPr>
          <w:rFonts w:cs="Arial"/>
          <w:color w:val="000000"/>
          <w:sz w:val="20"/>
          <w:szCs w:val="20"/>
          <w:shd w:fill="FFFFFF" w:val="clear"/>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color w:val="000000"/>
          <w:sz w:val="20"/>
          <w:szCs w:val="20"/>
          <w:highlight w:val="none"/>
          <w:shd w:fill="FFFFFF" w:val="clear"/>
        </w:rPr>
      </w:pPr>
      <w:r>
        <w:rPr>
          <w:rFonts w:cs="Arial"/>
          <w:color w:val="000000"/>
          <w:sz w:val="20"/>
          <w:szCs w:val="20"/>
          <w:shd w:fill="FFFFFF" w:val="clear"/>
        </w:rPr>
      </w:r>
    </w:p>
    <w:p>
      <w:pPr>
        <w:pStyle w:val="Standard"/>
        <w:rPr>
          <w:rFonts w:cs="Arial"/>
          <w:color w:val="000000"/>
          <w:sz w:val="20"/>
          <w:szCs w:val="20"/>
          <w:highlight w:val="none"/>
          <w:shd w:fill="FFFFFF" w:val="clear"/>
        </w:rPr>
      </w:pPr>
      <w:r>
        <w:rPr>
          <w:rFonts w:cs="Arial"/>
          <w:color w:val="000000"/>
          <w:sz w:val="20"/>
          <w:szCs w:val="20"/>
          <w:shd w:fill="FFFFFF" w:val="clear"/>
        </w:rPr>
      </w:r>
    </w:p>
    <w:p>
      <w:pPr>
        <w:pStyle w:val="Standard"/>
        <w:rPr>
          <w:rFonts w:cs="Arial"/>
          <w:color w:val="000000"/>
          <w:sz w:val="20"/>
          <w:szCs w:val="20"/>
          <w:highlight w:val="none"/>
          <w:shd w:fill="FFFFFF" w:val="clear"/>
        </w:rPr>
      </w:pPr>
      <w:r>
        <w:rPr>
          <w:rFonts w:cs="Arial"/>
          <w:color w:val="000000"/>
          <w:sz w:val="20"/>
          <w:szCs w:val="20"/>
          <w:shd w:fill="FFFFFF" w:val="clear"/>
        </w:rPr>
      </w:r>
    </w:p>
    <w:p>
      <w:pPr>
        <w:pStyle w:val="Standard"/>
        <w:tabs>
          <w:tab w:val="clear" w:pos="706"/>
          <w:tab w:val="left" w:pos="3600" w:leader="none"/>
        </w:tabs>
        <w:ind w:left="3600" w:hanging="3600"/>
        <w:rPr>
          <w:color w:val="000000"/>
          <w:highlight w:val="none"/>
          <w:shd w:fill="FFFFFF" w:val="clear"/>
        </w:rPr>
      </w:pPr>
      <w:r>
        <w:rPr>
          <w:rFonts w:cs="Arial"/>
          <w:b/>
          <w:bCs/>
          <w:color w:val="000000"/>
          <w:sz w:val="24"/>
          <w:szCs w:val="24"/>
          <w:u w:val="single"/>
          <w:shd w:fill="FFFFFF" w:val="clear"/>
        </w:rPr>
        <w:t>Numéro de la consultation :</w:t>
      </w:r>
      <w:r>
        <w:rPr>
          <w:rFonts w:cs="Arial"/>
          <w:color w:val="000000"/>
          <w:sz w:val="24"/>
          <w:szCs w:val="24"/>
          <w:shd w:fill="FFFFFF" w:val="clear"/>
        </w:rPr>
        <w:t xml:space="preserve"> </w:t>
      </w:r>
      <w:bookmarkStart w:id="0" w:name="__DdeLink__57_1273219247"/>
      <w:bookmarkEnd w:id="0"/>
      <w:r>
        <w:rPr>
          <w:rFonts w:cs="Arial"/>
          <w:color w:val="000000"/>
          <w:sz w:val="24"/>
          <w:szCs w:val="24"/>
          <w:shd w:fill="FFFFFF" w:val="clear"/>
        </w:rPr>
        <w:tab/>
        <w:t>22_1142</w:t>
      </w:r>
    </w:p>
    <w:p>
      <w:pPr>
        <w:pStyle w:val="Standard"/>
        <w:rPr>
          <w:rFonts w:cs="Arial"/>
          <w:color w:val="000000"/>
          <w:sz w:val="24"/>
          <w:szCs w:val="24"/>
          <w:highlight w:val="none"/>
          <w:shd w:fill="FFFFFF" w:val="clear"/>
        </w:rPr>
      </w:pPr>
      <w:r>
        <w:rPr>
          <w:rFonts w:cs="Arial"/>
          <w:color w:val="000000"/>
          <w:sz w:val="24"/>
          <w:szCs w:val="24"/>
          <w:shd w:fill="FFFFFF" w:val="clear"/>
        </w:rPr>
      </w:r>
    </w:p>
    <w:p>
      <w:pPr>
        <w:pStyle w:val="Standard"/>
        <w:tabs>
          <w:tab w:val="clear" w:pos="706"/>
          <w:tab w:val="left" w:pos="3600" w:leader="none"/>
        </w:tabs>
        <w:ind w:left="3600" w:hanging="3600"/>
        <w:rPr>
          <w:color w:val="000000"/>
          <w:highlight w:val="none"/>
          <w:shd w:fill="FFFFFF" w:val="clear"/>
        </w:rPr>
      </w:pPr>
      <w:r>
        <w:rPr>
          <w:rFonts w:cs="Arial"/>
          <w:b/>
          <w:bCs/>
          <w:color w:val="000000"/>
          <w:sz w:val="24"/>
          <w:szCs w:val="24"/>
          <w:u w:val="single"/>
          <w:shd w:fill="FFFFFF" w:val="clear"/>
        </w:rPr>
        <w:t>Procédure de passation :</w:t>
      </w:r>
      <w:r>
        <w:rPr>
          <w:rFonts w:cs="Arial"/>
          <w:color w:val="000000"/>
          <w:sz w:val="24"/>
          <w:szCs w:val="24"/>
          <w:shd w:fill="FFFFFF" w:val="clear"/>
        </w:rPr>
        <w:t xml:space="preserve"> </w:t>
        <w:tab/>
        <w:t>MAPA ouvert avec BOAMP</w:t>
      </w:r>
    </w:p>
    <w:p>
      <w:pPr>
        <w:pStyle w:val="Standard"/>
        <w:tabs>
          <w:tab w:val="clear" w:pos="706"/>
          <w:tab w:val="left" w:pos="3600" w:leader="none"/>
        </w:tabs>
        <w:rPr>
          <w:rFonts w:cs="Arial"/>
          <w:b/>
          <w:b/>
          <w:color w:val="000000"/>
          <w:sz w:val="24"/>
          <w:szCs w:val="24"/>
          <w:highlight w:val="none"/>
          <w:u w:val="single"/>
          <w:shd w:fill="FFFFFF" w:val="clear"/>
        </w:rPr>
      </w:pPr>
      <w:r>
        <w:rPr>
          <w:rFonts w:cs="Arial"/>
          <w:b/>
          <w:color w:val="000000"/>
          <w:sz w:val="24"/>
          <w:szCs w:val="24"/>
          <w:u w:val="single"/>
          <w:shd w:fill="FFFFFF" w:val="clear"/>
        </w:rPr>
      </w:r>
    </w:p>
    <w:p>
      <w:pPr>
        <w:pStyle w:val="Standard"/>
        <w:tabs>
          <w:tab w:val="clear" w:pos="706"/>
          <w:tab w:val="left" w:pos="3600" w:leader="none"/>
        </w:tabs>
        <w:ind w:left="3600" w:hanging="3600"/>
        <w:rPr>
          <w:color w:val="000000"/>
          <w:sz w:val="20"/>
          <w:szCs w:val="20"/>
          <w:highlight w:val="none"/>
          <w:shd w:fill="FFFFFF" w:val="clear"/>
        </w:rPr>
      </w:pPr>
      <w:r>
        <w:rPr>
          <w:color w:val="000000"/>
          <w:sz w:val="20"/>
          <w:szCs w:val="20"/>
          <w:shd w:fill="FFFFFF" w:val="clear"/>
        </w:rPr>
      </w:r>
    </w:p>
    <w:p>
      <w:pPr>
        <w:pStyle w:val="Standard"/>
        <w:rPr>
          <w:color w:val="000000"/>
          <w:highlight w:val="none"/>
          <w:shd w:fill="FFFFFF" w:val="clear"/>
        </w:rPr>
      </w:pPr>
      <w:r>
        <w:rPr>
          <w:color w:val="000000"/>
          <w:shd w:fill="FFFFFF" w:val="clear"/>
        </w:rPr>
      </w:r>
    </w:p>
    <w:p>
      <w:pPr>
        <w:pStyle w:val="Normal"/>
        <w:widowControl w:val="false"/>
        <w:spacing w:before="0" w:after="0"/>
        <w:jc w:val="left"/>
        <w:rPr>
          <w:color w:val="000000"/>
          <w:highlight w:val="none"/>
          <w:shd w:fill="FFFFFF" w:val="clear"/>
        </w:rPr>
      </w:pPr>
      <w:r>
        <w:rPr>
          <w:color w:val="000000"/>
          <w:shd w:fill="FFFFFF" w:val="clear"/>
        </w:rPr>
      </w:r>
    </w:p>
    <w:p>
      <w:pPr>
        <w:pStyle w:val="ContentsHeading"/>
        <w:rPr>
          <w:color w:val="000000"/>
          <w:highlight w:val="none"/>
          <w:shd w:fill="FFFFFF" w:val="clear"/>
        </w:rPr>
      </w:pPr>
      <w:r>
        <w:rPr>
          <w:color w:val="000000"/>
          <w:shd w:fill="FFFFFF" w:val="clear"/>
        </w:rPr>
        <w:t>Sommaire</w:t>
      </w:r>
    </w:p>
    <w:p>
      <w:pPr>
        <w:pStyle w:val="Tabledesmatiresniveau1"/>
        <w:tabs>
          <w:tab w:val="right" w:pos="8290" w:leader="dot"/>
          <w:tab w:val="right" w:pos="9637" w:leader="dot"/>
        </w:tabs>
        <w:rPr/>
      </w:pPr>
      <w:hyperlink w:anchor="_Toc3964" w:tgtFrame="#_Toc3964">
        <w:r>
          <w:rPr>
            <w:color w:val="000000"/>
            <w:shd w:fill="FFFFFF" w:val="clear"/>
          </w:rPr>
          <w:t>Article 1 - INFORMATIONS ADMINISTRATIVES (RENSEIGNE PAR LA COLLECTIVITE)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_Toc3964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_Toc3964 \h </w:instrText>
        </w:r>
        <w:r>
          <w:rPr>
            <w:shd w:fill="FFFFFF" w:val="clear"/>
            <w:color w:val="000000"/>
          </w:rPr>
          <w:fldChar w:fldCharType="separate"/>
        </w:r>
        <w:r>
          <w:rPr>
            <w:shd w:fill="FFFFFF" w:val="clear"/>
            <w:color w:val="000000"/>
          </w:rPr>
          <w:t>3</w:t>
        </w:r>
        <w:r>
          <w:rPr>
            <w:shd w:fill="FFFFFF" w:val="clear"/>
            <w:color w:val="000000"/>
          </w:rPr>
          <w:fldChar w:fldCharType="end"/>
        </w:r>
      </w:hyperlink>
    </w:p>
    <w:p>
      <w:pPr>
        <w:pStyle w:val="Tabledesmatiresniveau2"/>
        <w:tabs>
          <w:tab w:val="clear" w:pos="706"/>
          <w:tab w:val="right" w:pos="8290" w:leader="dot"/>
        </w:tabs>
        <w:rPr/>
      </w:pPr>
      <w:hyperlink w:anchor="_Toc3965" w:tgtFrame="#_Toc3965">
        <w:r>
          <w:rPr>
            <w:color w:val="000000"/>
            <w:shd w:fill="FFFFFF" w:val="clear"/>
          </w:rPr>
          <w:t>1.1 Marché</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_Toc3965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_Toc3965 \h </w:instrText>
        </w:r>
        <w:r>
          <w:rPr>
            <w:shd w:fill="FFFFFF" w:val="clear"/>
            <w:color w:val="000000"/>
          </w:rPr>
          <w:fldChar w:fldCharType="separate"/>
        </w:r>
        <w:r>
          <w:rPr>
            <w:shd w:fill="FFFFFF" w:val="clear"/>
            <w:color w:val="000000"/>
          </w:rPr>
          <w:t>3</w:t>
        </w:r>
        <w:r>
          <w:rPr>
            <w:shd w:fill="FFFFFF" w:val="clear"/>
            <w:color w:val="000000"/>
          </w:rPr>
          <w:fldChar w:fldCharType="end"/>
        </w:r>
      </w:hyperlink>
    </w:p>
    <w:p>
      <w:pPr>
        <w:pStyle w:val="Tabledesmatiresniveau2"/>
        <w:tabs>
          <w:tab w:val="clear" w:pos="706"/>
          <w:tab w:val="right" w:pos="8290" w:leader="dot"/>
        </w:tabs>
        <w:rPr/>
      </w:pPr>
      <w:hyperlink w:anchor="_Toc3966" w:tgtFrame="#_Toc3966">
        <w:r>
          <w:rPr>
            <w:color w:val="000000"/>
            <w:shd w:fill="FFFFFF" w:val="clear"/>
          </w:rPr>
          <w:t>1.2 Pouvoir adjudicateur</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_Toc3966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_Toc3966 \h </w:instrText>
        </w:r>
        <w:r>
          <w:rPr>
            <w:shd w:fill="FFFFFF" w:val="clear"/>
            <w:color w:val="000000"/>
          </w:rPr>
          <w:fldChar w:fldCharType="separate"/>
        </w:r>
        <w:r>
          <w:rPr>
            <w:shd w:fill="FFFFFF" w:val="clear"/>
            <w:color w:val="000000"/>
          </w:rPr>
          <w:t>3</w:t>
        </w:r>
        <w:r>
          <w:rPr>
            <w:shd w:fill="FFFFFF" w:val="clear"/>
            <w:color w:val="000000"/>
          </w:rPr>
          <w:fldChar w:fldCharType="end"/>
        </w:r>
      </w:hyperlink>
    </w:p>
    <w:p>
      <w:pPr>
        <w:pStyle w:val="Tabledesmatiresniveau2"/>
        <w:tabs>
          <w:tab w:val="clear" w:pos="706"/>
          <w:tab w:val="right" w:pos="8290" w:leader="dot"/>
        </w:tabs>
        <w:rPr/>
      </w:pPr>
      <w:hyperlink w:anchor="_Toc3967" w:tgtFrame="#_Toc3967">
        <w:r>
          <w:rPr>
            <w:color w:val="000000"/>
            <w:shd w:fill="FFFFFF" w:val="clear"/>
          </w:rPr>
          <w:t>1.3 Informations comptables et financières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_Toc3967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_Toc3967 \h </w:instrText>
        </w:r>
        <w:r>
          <w:rPr>
            <w:shd w:fill="FFFFFF" w:val="clear"/>
            <w:color w:val="000000"/>
          </w:rPr>
          <w:fldChar w:fldCharType="separate"/>
        </w:r>
        <w:r>
          <w:rPr>
            <w:shd w:fill="FFFFFF" w:val="clear"/>
            <w:color w:val="000000"/>
          </w:rPr>
          <w:t>3</w:t>
        </w:r>
        <w:r>
          <w:rPr>
            <w:shd w:fill="FFFFFF" w:val="clear"/>
            <w:color w:val="000000"/>
          </w:rPr>
          <w:fldChar w:fldCharType="end"/>
        </w:r>
      </w:hyperlink>
    </w:p>
    <w:p>
      <w:pPr>
        <w:pStyle w:val="Tabledesmatiresniveau2"/>
        <w:tabs>
          <w:tab w:val="clear" w:pos="706"/>
          <w:tab w:val="right" w:pos="8290" w:leader="dot"/>
        </w:tabs>
        <w:rPr/>
      </w:pPr>
      <w:hyperlink w:anchor="_Toc3968" w:tgtFrame="#_Toc3968">
        <w:r>
          <w:rPr>
            <w:color w:val="000000"/>
            <w:shd w:fill="FFFFFF" w:val="clear"/>
          </w:rPr>
          <w:t>1.4 Code CPV</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_Toc3968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_Toc3968 \h </w:instrText>
        </w:r>
        <w:r>
          <w:rPr>
            <w:shd w:fill="FFFFFF" w:val="clear"/>
            <w:color w:val="000000"/>
          </w:rPr>
          <w:fldChar w:fldCharType="separate"/>
        </w:r>
        <w:r>
          <w:rPr>
            <w:shd w:fill="FFFFFF" w:val="clear"/>
            <w:color w:val="000000"/>
          </w:rPr>
          <w:t>3</w:t>
        </w:r>
        <w:r>
          <w:rPr>
            <w:shd w:fill="FFFFFF" w:val="clear"/>
            <w:color w:val="000000"/>
          </w:rPr>
          <w:fldChar w:fldCharType="end"/>
        </w:r>
      </w:hyperlink>
    </w:p>
    <w:p>
      <w:pPr>
        <w:pStyle w:val="Tabledesmatiresniveau2"/>
        <w:tabs>
          <w:tab w:val="clear" w:pos="706"/>
          <w:tab w:val="right" w:pos="8290" w:leader="dot"/>
        </w:tabs>
        <w:rPr>
          <w:color w:val="000000"/>
          <w:shd w:fill="FFFFFF" w:val="clear"/>
        </w:rPr>
      </w:pPr>
      <w:r>
        <w:rPr>
          <w:color w:val="000000"/>
          <w:shd w:fill="FFFFFF" w:val="clear"/>
        </w:rPr>
      </w:r>
    </w:p>
    <w:p>
      <w:pPr>
        <w:pStyle w:val="Tabledesmatiresniveau1"/>
        <w:tabs>
          <w:tab w:val="right" w:pos="8290" w:leader="dot"/>
          <w:tab w:val="right" w:pos="9637" w:leader="dot"/>
        </w:tabs>
        <w:rPr/>
      </w:pPr>
      <w:hyperlink w:anchor="_Toc3970" w:tgtFrame="#_Toc3970">
        <w:r>
          <w:rPr>
            <w:color w:val="000000"/>
            <w:shd w:fill="FFFFFF" w:val="clear"/>
          </w:rPr>
          <w:t>Article 2 - CONTRACTANT(S)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_Toc3970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_Toc3970 \h </w:instrText>
        </w:r>
        <w:r>
          <w:rPr>
            <w:shd w:fill="FFFFFF" w:val="clear"/>
            <w:color w:val="000000"/>
          </w:rPr>
          <w:fldChar w:fldCharType="separate"/>
        </w:r>
        <w:r>
          <w:rPr>
            <w:shd w:fill="FFFFFF" w:val="clear"/>
            <w:color w:val="000000"/>
          </w:rPr>
          <w:t>4</w:t>
        </w:r>
        <w:r>
          <w:rPr>
            <w:shd w:fill="FFFFFF" w:val="clear"/>
            <w:color w:val="000000"/>
          </w:rPr>
          <w:fldChar w:fldCharType="end"/>
        </w:r>
      </w:hyperlink>
    </w:p>
    <w:p>
      <w:pPr>
        <w:pStyle w:val="Tabledesmatiresniveau2"/>
        <w:tabs>
          <w:tab w:val="clear" w:pos="706"/>
          <w:tab w:val="right" w:pos="8290" w:leader="dot"/>
        </w:tabs>
        <w:rPr/>
      </w:pPr>
      <w:hyperlink w:anchor="_Toc3971" w:tgtFrame="#_Toc3971">
        <w:r>
          <w:rPr>
            <w:color w:val="000000"/>
            <w:shd w:fill="FFFFFF" w:val="clear"/>
          </w:rPr>
          <w:t>2.1 Identification</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_Toc3971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_Toc3971 \h </w:instrText>
        </w:r>
        <w:r>
          <w:rPr>
            <w:shd w:fill="FFFFFF" w:val="clear"/>
            <w:color w:val="000000"/>
          </w:rPr>
          <w:fldChar w:fldCharType="separate"/>
        </w:r>
        <w:r>
          <w:rPr>
            <w:shd w:fill="FFFFFF" w:val="clear"/>
            <w:color w:val="000000"/>
          </w:rPr>
          <w:t>4</w:t>
        </w:r>
        <w:r>
          <w:rPr>
            <w:shd w:fill="FFFFFF" w:val="clear"/>
            <w:color w:val="000000"/>
          </w:rPr>
          <w:fldChar w:fldCharType="end"/>
        </w:r>
      </w:hyperlink>
    </w:p>
    <w:p>
      <w:pPr>
        <w:pStyle w:val="Tabledesmatiresniveau2"/>
        <w:tabs>
          <w:tab w:val="clear" w:pos="706"/>
          <w:tab w:val="right" w:pos="8290" w:leader="dot"/>
        </w:tabs>
        <w:rPr/>
      </w:pPr>
      <w:hyperlink w:anchor="_Toc3972" w:tgtFrame="#_Toc3972">
        <w:r>
          <w:rPr>
            <w:color w:val="000000"/>
            <w:shd w:fill="FFFFFF" w:val="clear"/>
          </w:rPr>
          <w:t>2.2 Compte à créditer</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_Toc3972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_Toc3972 \h </w:instrText>
        </w:r>
        <w:r>
          <w:rPr>
            <w:shd w:fill="FFFFFF" w:val="clear"/>
            <w:color w:val="000000"/>
          </w:rPr>
          <w:fldChar w:fldCharType="separate"/>
        </w:r>
        <w:r>
          <w:rPr>
            <w:shd w:fill="FFFFFF" w:val="clear"/>
            <w:color w:val="000000"/>
          </w:rPr>
          <w:t>6</w:t>
        </w:r>
        <w:r>
          <w:rPr>
            <w:shd w:fill="FFFFFF" w:val="clear"/>
            <w:color w:val="000000"/>
          </w:rPr>
          <w:fldChar w:fldCharType="end"/>
        </w:r>
      </w:hyperlink>
    </w:p>
    <w:p>
      <w:pPr>
        <w:pStyle w:val="Tabledesmatiresniveau1"/>
        <w:tabs>
          <w:tab w:val="right" w:pos="8290" w:leader="dot"/>
          <w:tab w:val="right" w:pos="9637" w:leader="dot"/>
        </w:tabs>
        <w:rPr/>
      </w:pPr>
      <w:hyperlink w:anchor="_Toc3973" w:tgtFrame="#_Toc3973">
        <w:r>
          <w:rPr>
            <w:color w:val="000000"/>
            <w:shd w:fill="FFFFFF" w:val="clear"/>
          </w:rPr>
          <w:t>Article 3 - OBJET</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_Toc3973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_Toc3973 \h </w:instrText>
        </w:r>
        <w:r>
          <w:rPr>
            <w:shd w:fill="FFFFFF" w:val="clear"/>
            <w:color w:val="000000"/>
          </w:rPr>
          <w:fldChar w:fldCharType="separate"/>
        </w:r>
        <w:r>
          <w:rPr>
            <w:shd w:fill="FFFFFF" w:val="clear"/>
            <w:color w:val="000000"/>
          </w:rPr>
          <w:t>7</w:t>
        </w:r>
        <w:r>
          <w:rPr>
            <w:shd w:fill="FFFFFF" w:val="clear"/>
            <w:color w:val="000000"/>
          </w:rPr>
          <w:fldChar w:fldCharType="end"/>
        </w:r>
      </w:hyperlink>
    </w:p>
    <w:p>
      <w:pPr>
        <w:pStyle w:val="Tabledesmatiresniveau1"/>
        <w:tabs>
          <w:tab w:val="right" w:pos="8290" w:leader="dot"/>
          <w:tab w:val="right" w:pos="9637" w:leader="dot"/>
        </w:tabs>
        <w:rPr/>
      </w:pPr>
      <w:hyperlink w:anchor="_Toc3974" w:tgtFrame="#_Toc3974">
        <w:r>
          <w:rPr>
            <w:color w:val="000000"/>
            <w:shd w:fill="FFFFFF" w:val="clear"/>
          </w:rPr>
          <w:t>Article 4 - MONTANT ET PRIX DU MARCHE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_Toc3974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_Toc3974 \h </w:instrText>
        </w:r>
        <w:r>
          <w:rPr>
            <w:shd w:fill="FFFFFF" w:val="clear"/>
            <w:color w:val="000000"/>
          </w:rPr>
          <w:fldChar w:fldCharType="separate"/>
        </w:r>
        <w:r>
          <w:rPr>
            <w:shd w:fill="FFFFFF" w:val="clear"/>
            <w:color w:val="000000"/>
          </w:rPr>
          <w:t>8</w:t>
        </w:r>
        <w:r>
          <w:rPr>
            <w:shd w:fill="FFFFFF" w:val="clear"/>
            <w:color w:val="000000"/>
          </w:rPr>
          <w:fldChar w:fldCharType="end"/>
        </w:r>
      </w:hyperlink>
    </w:p>
    <w:p>
      <w:pPr>
        <w:pStyle w:val="Tabledesmatiresniveau2"/>
        <w:tabs>
          <w:tab w:val="clear" w:pos="706"/>
          <w:tab w:val="right" w:pos="8290" w:leader="dot"/>
        </w:tabs>
        <w:rPr/>
      </w:pPr>
      <w:hyperlink w:anchor="_Toc3975" w:tgtFrame="#_Toc3975">
        <w:r>
          <w:rPr>
            <w:color w:val="000000"/>
            <w:shd w:fill="FFFFFF" w:val="clear"/>
          </w:rPr>
          <w:t>4.1 Forme du prix</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_Toc3975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_Toc3975 \h </w:instrText>
        </w:r>
        <w:r>
          <w:rPr>
            <w:shd w:fill="FFFFFF" w:val="clear"/>
            <w:color w:val="000000"/>
          </w:rPr>
          <w:fldChar w:fldCharType="separate"/>
        </w:r>
        <w:r>
          <w:rPr>
            <w:shd w:fill="FFFFFF" w:val="clear"/>
            <w:color w:val="000000"/>
          </w:rPr>
          <w:t>8</w:t>
        </w:r>
        <w:r>
          <w:rPr>
            <w:shd w:fill="FFFFFF" w:val="clear"/>
            <w:color w:val="000000"/>
          </w:rPr>
          <w:fldChar w:fldCharType="end"/>
        </w:r>
      </w:hyperlink>
    </w:p>
    <w:p>
      <w:pPr>
        <w:pStyle w:val="Tabledesmatiresniveau2"/>
        <w:tabs>
          <w:tab w:val="clear" w:pos="706"/>
          <w:tab w:val="right" w:pos="8290" w:leader="dot"/>
        </w:tabs>
        <w:rPr/>
      </w:pPr>
      <w:hyperlink w:anchor="_Toc3976" w:tgtFrame="#_Toc3976">
        <w:r>
          <w:rPr>
            <w:color w:val="000000"/>
            <w:shd w:fill="FFFFFF" w:val="clear"/>
          </w:rPr>
          <w:t>4.2 Montant</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_Toc3976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_Toc3976 \h </w:instrText>
        </w:r>
        <w:r>
          <w:rPr>
            <w:shd w:fill="FFFFFF" w:val="clear"/>
            <w:color w:val="000000"/>
          </w:rPr>
          <w:fldChar w:fldCharType="separate"/>
        </w:r>
        <w:r>
          <w:rPr>
            <w:shd w:fill="FFFFFF" w:val="clear"/>
            <w:color w:val="000000"/>
          </w:rPr>
          <w:t>8</w:t>
        </w:r>
        <w:r>
          <w:rPr>
            <w:shd w:fill="FFFFFF" w:val="clear"/>
            <w:color w:val="000000"/>
          </w:rPr>
          <w:fldChar w:fldCharType="end"/>
        </w:r>
      </w:hyperlink>
    </w:p>
    <w:p>
      <w:pPr>
        <w:pStyle w:val="Tabledesmatiresniveau2"/>
        <w:tabs>
          <w:tab w:val="clear" w:pos="706"/>
          <w:tab w:val="right" w:pos="8290" w:leader="dot"/>
        </w:tabs>
        <w:rPr>
          <w:color w:val="000000"/>
          <w:shd w:fill="FFFFFF" w:val="clear"/>
        </w:rPr>
      </w:pPr>
      <w:r>
        <w:rPr>
          <w:color w:val="000000"/>
          <w:shd w:fill="FFFFFF" w:val="clear"/>
        </w:rPr>
      </w:r>
    </w:p>
    <w:p>
      <w:pPr>
        <w:pStyle w:val="Tabledesmatiresniveau1"/>
        <w:tabs>
          <w:tab w:val="right" w:pos="8290" w:leader="dot"/>
          <w:tab w:val="right" w:pos="9637" w:leader="dot"/>
        </w:tabs>
        <w:rPr/>
      </w:pPr>
      <w:hyperlink w:anchor="_Toc3978" w:tgtFrame="#_Toc3978">
        <w:r>
          <w:rPr>
            <w:color w:val="000000"/>
            <w:shd w:fill="FFFFFF" w:val="clear"/>
          </w:rPr>
          <w:t>Article 5 - AVANCE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_Toc3978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_Toc3978 \h </w:instrText>
        </w:r>
        <w:r>
          <w:rPr>
            <w:shd w:fill="FFFFFF" w:val="clear"/>
            <w:color w:val="000000"/>
          </w:rPr>
          <w:fldChar w:fldCharType="separate"/>
        </w:r>
        <w:r>
          <w:rPr>
            <w:shd w:fill="FFFFFF" w:val="clear"/>
            <w:color w:val="000000"/>
          </w:rPr>
          <w:t>8</w:t>
        </w:r>
        <w:r>
          <w:rPr>
            <w:shd w:fill="FFFFFF" w:val="clear"/>
            <w:color w:val="000000"/>
          </w:rPr>
          <w:fldChar w:fldCharType="end"/>
        </w:r>
      </w:hyperlink>
    </w:p>
    <w:p>
      <w:pPr>
        <w:pStyle w:val="Tabledesmatiresniveau1"/>
        <w:tabs>
          <w:tab w:val="right" w:pos="8290" w:leader="dot"/>
          <w:tab w:val="right" w:pos="9637" w:leader="dot"/>
        </w:tabs>
        <w:rPr/>
      </w:pPr>
      <w:hyperlink w:anchor="_Toc3979" w:tgtFrame="#_Toc3979">
        <w:r>
          <w:rPr>
            <w:color w:val="000000"/>
            <w:shd w:fill="FFFFFF" w:val="clear"/>
          </w:rPr>
          <w:t>Article 6 - DUREE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_Toc3979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_Toc3979 \h </w:instrText>
        </w:r>
        <w:r>
          <w:rPr>
            <w:shd w:fill="FFFFFF" w:val="clear"/>
            <w:color w:val="000000"/>
          </w:rPr>
          <w:fldChar w:fldCharType="separate"/>
        </w:r>
        <w:r>
          <w:rPr>
            <w:shd w:fill="FFFFFF" w:val="clear"/>
            <w:color w:val="000000"/>
          </w:rPr>
          <w:t>8</w:t>
        </w:r>
        <w:r>
          <w:rPr>
            <w:shd w:fill="FFFFFF" w:val="clear"/>
            <w:color w:val="000000"/>
          </w:rPr>
          <w:fldChar w:fldCharType="end"/>
        </w:r>
      </w:hyperlink>
    </w:p>
    <w:p>
      <w:pPr>
        <w:pStyle w:val="Tabledesmatiresniveau1"/>
        <w:tabs>
          <w:tab w:val="right" w:pos="8290" w:leader="dot"/>
          <w:tab w:val="right" w:pos="9637" w:leader="dot"/>
        </w:tabs>
        <w:rPr/>
      </w:pPr>
      <w:hyperlink w:anchor="_Toc3980" w:tgtFrame="#_Toc3980">
        <w:r>
          <w:rPr>
            <w:color w:val="000000"/>
            <w:shd w:fill="FFFFFF" w:val="clear"/>
          </w:rPr>
          <w:t>Article 7 - PROVENANCE DES FOURNITURES</w:t>
          <w:tab/>
        </w:r>
        <w:r>
          <w:fldChar w:fldCharType="begin"/>
        </w:r>
        <w:r>
          <w:rPr>
            <w:shd w:fill="FFFFFF" w:val="clear"/>
            <w:color w:val="000000"/>
          </w:rPr>
          <w:instrText>vnd.oasis.opendocument.field.UNHANDLED</w:instrText>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instrText>vnd.oasis.opendocument.field.UNHANDLED</w:instrText>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instrText>vnd.oasis.opendocument.field.UNHANDLED</w:instrText>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_Toc3980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_Toc3980 \h </w:instrText>
        </w:r>
        <w:r>
          <w:rPr>
            <w:shd w:fill="FFFFFF" w:val="clear"/>
            <w:color w:val="000000"/>
          </w:rPr>
          <w:fldChar w:fldCharType="separate"/>
        </w:r>
        <w:r>
          <w:rPr>
            <w:shd w:fill="FFFFFF" w:val="clear"/>
            <w:color w:val="000000"/>
          </w:rPr>
          <w:t>Erreur : source de la référence non trouvée</w:t>
        </w:r>
        <w:r>
          <w:rPr>
            <w:shd w:fill="FFFFFF" w:val="clear"/>
            <w:color w:val="000000"/>
          </w:rPr>
          <w:fldChar w:fldCharType="end"/>
        </w:r>
      </w:hyperlink>
    </w:p>
    <w:p>
      <w:pPr>
        <w:pStyle w:val="Tabledesmatiresniveau1"/>
        <w:tabs>
          <w:tab w:val="right" w:pos="8290" w:leader="dot"/>
          <w:tab w:val="right" w:pos="9637" w:leader="dot"/>
        </w:tabs>
        <w:rPr/>
      </w:pPr>
      <w:hyperlink w:anchor="_Toc3981" w:tgtFrame="#_Toc3981">
        <w:r>
          <w:rPr>
            <w:color w:val="000000"/>
            <w:shd w:fill="FFFFFF" w:val="clear"/>
          </w:rPr>
          <w:t>Article 8 - DELAI DE VALIDITE DES OFFRES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_Toc3981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_Toc3981 \h </w:instrText>
        </w:r>
        <w:r>
          <w:rPr>
            <w:shd w:fill="FFFFFF" w:val="clear"/>
            <w:color w:val="000000"/>
          </w:rPr>
          <w:fldChar w:fldCharType="separate"/>
        </w:r>
        <w:r>
          <w:rPr>
            <w:shd w:fill="FFFFFF" w:val="clear"/>
            <w:color w:val="000000"/>
          </w:rPr>
          <w:t>9</w:t>
        </w:r>
        <w:r>
          <w:rPr>
            <w:shd w:fill="FFFFFF" w:val="clear"/>
            <w:color w:val="000000"/>
          </w:rPr>
          <w:fldChar w:fldCharType="end"/>
        </w:r>
      </w:hyperlink>
    </w:p>
    <w:p>
      <w:pPr>
        <w:pStyle w:val="Tabledesmatiresniveau1"/>
        <w:tabs>
          <w:tab w:val="right" w:pos="8290" w:leader="dot"/>
          <w:tab w:val="right" w:pos="9637" w:leader="dot"/>
        </w:tabs>
        <w:rPr/>
      </w:pPr>
      <w:hyperlink w:anchor="_Toc3982" w:tgtFrame="#_Toc3982">
        <w:r>
          <w:rPr>
            <w:color w:val="000000"/>
            <w:shd w:fill="FFFFFF" w:val="clear"/>
          </w:rPr>
          <w:t>Article 9 - ENGAGEMENT ET SIGNATURE DU CANDIDAT</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_Toc3982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_Toc3982 \h </w:instrText>
        </w:r>
        <w:r>
          <w:rPr>
            <w:shd w:fill="FFFFFF" w:val="clear"/>
            <w:color w:val="000000"/>
          </w:rPr>
          <w:fldChar w:fldCharType="separate"/>
        </w:r>
        <w:r>
          <w:rPr>
            <w:shd w:fill="FFFFFF" w:val="clear"/>
            <w:color w:val="000000"/>
          </w:rPr>
          <w:t>9</w:t>
        </w:r>
        <w:r>
          <w:rPr>
            <w:shd w:fill="FFFFFF" w:val="clear"/>
            <w:color w:val="000000"/>
          </w:rPr>
          <w:fldChar w:fldCharType="end"/>
        </w:r>
      </w:hyperlink>
    </w:p>
    <w:p>
      <w:pPr>
        <w:pStyle w:val="Tabledesmatiresniveau1"/>
        <w:tabs>
          <w:tab w:val="right" w:pos="8290" w:leader="dot"/>
          <w:tab w:val="right" w:pos="9637" w:leader="dot"/>
        </w:tabs>
        <w:rPr/>
      </w:pPr>
      <w:hyperlink w:anchor="_Toc3983" w:tgtFrame="#_Toc3983">
        <w:r>
          <w:rPr>
            <w:color w:val="000000"/>
            <w:shd w:fill="FFFFFF" w:val="clear"/>
          </w:rPr>
          <w:t>Article 10 - SIGNATURE DU POUVOIR ADJUDICATEUR</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_Toc3983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_Toc3983 \h </w:instrText>
        </w:r>
        <w:r>
          <w:rPr>
            <w:shd w:fill="FFFFFF" w:val="clear"/>
            <w:color w:val="000000"/>
          </w:rPr>
          <w:fldChar w:fldCharType="separate"/>
        </w:r>
        <w:r>
          <w:rPr>
            <w:shd w:fill="FFFFFF" w:val="clear"/>
            <w:color w:val="000000"/>
          </w:rPr>
          <w:t>9</w:t>
        </w:r>
        <w:r>
          <w:rPr>
            <w:shd w:fill="FFFFFF" w:val="clear"/>
            <w:color w:val="000000"/>
          </w:rPr>
          <w:fldChar w:fldCharType="end"/>
        </w:r>
      </w:hyperlink>
    </w:p>
    <w:p>
      <w:pPr>
        <w:pStyle w:val="Tabledesmatiresniveau1"/>
        <w:tabs>
          <w:tab w:val="right" w:pos="8290" w:leader="dot"/>
          <w:tab w:val="right" w:pos="9637" w:leader="dot"/>
        </w:tabs>
        <w:rPr/>
      </w:pPr>
      <w:hyperlink w:anchor="_Toc3984" w:tgtFrame="#_Toc3984">
        <w:r>
          <w:rPr>
            <w:color w:val="000000"/>
            <w:shd w:fill="FFFFFF" w:val="clear"/>
          </w:rPr>
          <w:t>Article 11 - NOTIFICATION DU MARCHE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_Toc3984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_Toc3984 \h </w:instrText>
        </w:r>
        <w:r>
          <w:rPr>
            <w:shd w:fill="FFFFFF" w:val="clear"/>
            <w:color w:val="000000"/>
          </w:rPr>
          <w:fldChar w:fldCharType="separate"/>
        </w:r>
        <w:r>
          <w:rPr>
            <w:shd w:fill="FFFFFF" w:val="clear"/>
            <w:color w:val="000000"/>
          </w:rPr>
          <w:t>10</w:t>
        </w:r>
        <w:r>
          <w:rPr>
            <w:shd w:fill="FFFFFF" w:val="clear"/>
            <w:color w:val="000000"/>
          </w:rPr>
          <w:fldChar w:fldCharType="end"/>
        </w:r>
      </w:hyperlink>
    </w:p>
    <w:p>
      <w:pPr>
        <w:pStyle w:val="Tabledesmatiresniveau1"/>
        <w:tabs>
          <w:tab w:val="right" w:pos="8290" w:leader="dot"/>
          <w:tab w:val="right" w:pos="9637" w:leader="dot"/>
        </w:tabs>
        <w:rPr/>
      </w:pPr>
      <w:hyperlink w:anchor="_Toc3985" w:tgtFrame="#_Toc3985">
        <w:r>
          <w:rPr>
            <w:color w:val="000000"/>
            <w:shd w:fill="FFFFFF" w:val="clear"/>
          </w:rPr>
          <w:t>Article 12 - EXEMPLAIRE UNIQUE ET NANTISSEMENT OU CESSION DE CREANCE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_Toc3985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_Toc3985 \h </w:instrText>
        </w:r>
        <w:r>
          <w:rPr>
            <w:shd w:fill="FFFFFF" w:val="clear"/>
            <w:color w:val="000000"/>
          </w:rPr>
          <w:fldChar w:fldCharType="separate"/>
        </w:r>
        <w:r>
          <w:rPr>
            <w:shd w:fill="FFFFFF" w:val="clear"/>
            <w:color w:val="000000"/>
          </w:rPr>
          <w:t>10</w:t>
        </w:r>
        <w:r>
          <w:rPr>
            <w:shd w:fill="FFFFFF" w:val="clear"/>
            <w:color w:val="000000"/>
          </w:rPr>
          <w:fldChar w:fldCharType="end"/>
        </w:r>
      </w:hyperlink>
      <w:r>
        <w:br w:type="page"/>
      </w:r>
    </w:p>
    <w:p>
      <w:pPr>
        <w:pStyle w:val="Titre1"/>
        <w:numPr>
          <w:ilvl w:val="0"/>
          <w:numId w:val="2"/>
        </w:numPr>
        <w:rPr>
          <w:color w:val="000000"/>
          <w:highlight w:val="none"/>
          <w:shd w:fill="FFFFFF" w:val="clear"/>
        </w:rPr>
      </w:pPr>
      <w:bookmarkStart w:id="1" w:name="_Toc3964"/>
      <w:r>
        <w:rPr>
          <w:color w:val="000000"/>
          <w:shd w:fill="FFFFFF" w:val="clear"/>
        </w:rPr>
        <w:t>INFORMATIONS ADMINISTRATIVES (RENSEIGNE PAR LA COLLECTIVITE)</w:t>
      </w:r>
      <w:bookmarkEnd w:id="1"/>
    </w:p>
    <w:p>
      <w:pPr>
        <w:pStyle w:val="Titre2"/>
        <w:numPr>
          <w:ilvl w:val="1"/>
          <w:numId w:val="2"/>
        </w:numPr>
        <w:rPr>
          <w:color w:val="000000"/>
          <w:highlight w:val="none"/>
          <w:shd w:fill="FFFFFF" w:val="clear"/>
        </w:rPr>
      </w:pPr>
      <w:bookmarkStart w:id="2" w:name="_Toc3965"/>
      <w:r>
        <w:rPr>
          <w:color w:val="000000"/>
          <w:shd w:fill="FFFFFF" w:val="clear"/>
        </w:rPr>
        <w:t>Marché</w:t>
      </w:r>
      <w:bookmarkEnd w:id="2"/>
    </w:p>
    <w:p>
      <w:pPr>
        <w:pStyle w:val="Normal"/>
        <w:rPr>
          <w:color w:val="000000"/>
          <w:highlight w:val="none"/>
          <w:shd w:fill="FFFFFF" w:val="clear"/>
        </w:rPr>
      </w:pPr>
      <w:r>
        <w:rPr>
          <w:rFonts w:eastAsia="arial" w:cs="arial" w:ascii="arial" w:hAnsi="arial"/>
          <w:b w:val="false"/>
          <w:i w:val="false"/>
          <w:color w:val="000000"/>
          <w:sz w:val="20"/>
          <w:u w:val="none"/>
          <w:shd w:fill="FFFFFF" w:val="clear"/>
        </w:rPr>
        <w:t>Numéro du marché :</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La procédure de passation est la suivante : MAPA OUVERT AVEC BOAMP - selon les articles suivants : articles L2123-1, R2123-1-1°, R2123-4 et 5 du Code de la commande publique.</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Consultation allotie (articles R2113-1 à 3 du Code de la commande publique).</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Accord-cadre à bons de commande (articles R2162-1 à 6 et R2162-13 et 14 du Code de la commande publique).</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Nature des prestations : Services</w:t>
      </w:r>
    </w:p>
    <w:p>
      <w:pPr>
        <w:pStyle w:val="Titre2"/>
        <w:numPr>
          <w:ilvl w:val="1"/>
          <w:numId w:val="2"/>
        </w:numPr>
        <w:rPr>
          <w:color w:val="000000"/>
          <w:highlight w:val="none"/>
          <w:shd w:fill="FFFFFF" w:val="clear"/>
        </w:rPr>
      </w:pPr>
      <w:bookmarkStart w:id="3" w:name="_Toc3966"/>
      <w:r>
        <w:rPr>
          <w:color w:val="000000"/>
          <w:shd w:fill="FFFFFF" w:val="clear"/>
        </w:rPr>
        <w:t>Pouvoir adjudicateur</w:t>
      </w:r>
      <w:bookmarkEnd w:id="3"/>
    </w:p>
    <w:p>
      <w:pPr>
        <w:pStyle w:val="Standard"/>
        <w:rPr>
          <w:color w:val="000000"/>
          <w:highlight w:val="none"/>
          <w:shd w:fill="FFFFFF" w:val="clear"/>
        </w:rPr>
      </w:pPr>
      <w:r>
        <w:rPr>
          <w:b w:val="false"/>
          <w:color w:val="000000" w:themeColor="text1"/>
          <w:u w:val="none"/>
          <w:shd w:fill="FFFFFF" w:val="clear"/>
        </w:rPr>
        <w:t>Aïcha GUEDJALI</w:t>
      </w:r>
    </w:p>
    <w:p>
      <w:pPr>
        <w:pStyle w:val="Standard"/>
        <w:rPr>
          <w:color w:val="000000"/>
          <w:highlight w:val="none"/>
          <w:shd w:fill="FFFFFF" w:val="clear"/>
        </w:rPr>
      </w:pPr>
      <w:r>
        <w:rPr>
          <w:b w:val="false"/>
          <w:color w:val="000000" w:themeColor="text1"/>
          <w:u w:val="none"/>
          <w:shd w:fill="FFFFFF" w:val="clear"/>
        </w:rPr>
        <w:t>Conseillère Municipale</w:t>
      </w:r>
    </w:p>
    <w:p>
      <w:pPr>
        <w:pStyle w:val="Standard"/>
        <w:rPr>
          <w:color w:val="000000"/>
          <w:highlight w:val="none"/>
          <w:shd w:fill="FFFFFF" w:val="clear"/>
        </w:rPr>
      </w:pPr>
      <w:r>
        <w:rPr>
          <w:b w:val="false"/>
          <w:color w:val="000000" w:themeColor="text1"/>
          <w:u w:val="none"/>
          <w:shd w:fill="FFFFFF" w:val="clear"/>
        </w:rPr>
        <w:t>Déléguée à la lutte contre l’habitat insalubre et les nuisibles</w:t>
      </w:r>
    </w:p>
    <w:p>
      <w:pPr>
        <w:pStyle w:val="Normal"/>
        <w:rPr>
          <w:color w:val="000000"/>
          <w:highlight w:val="none"/>
          <w:shd w:fill="FFFFFF" w:val="clear"/>
        </w:rPr>
      </w:pPr>
      <w:r>
        <w:rPr>
          <w:color w:val="000000"/>
          <w:shd w:fill="FFFFFF" w:val="clear"/>
        </w:rPr>
      </w:r>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Personne habilitée à donner des renseignements prévus à l'article R2191-60 du Code de la commande publique </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Directeur de la Santé Publique et de l’Inclusion</w:t>
      </w:r>
    </w:p>
    <w:p>
      <w:pPr>
        <w:pStyle w:val="Normal"/>
        <w:rPr>
          <w:color w:val="000000"/>
          <w:highlight w:val="none"/>
          <w:shd w:fill="FFFFFF" w:val="clear"/>
        </w:rPr>
      </w:pPr>
      <w:r>
        <w:rPr>
          <w:color w:val="000000"/>
          <w:shd w:fill="FFFFFF" w:val="clear"/>
        </w:rPr>
      </w:r>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Service responsable de l'exécution du marché : </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Service Santé Environnementale</w:t>
      </w:r>
    </w:p>
    <w:p>
      <w:pPr>
        <w:pStyle w:val="Titre2"/>
        <w:numPr>
          <w:ilvl w:val="1"/>
          <w:numId w:val="2"/>
        </w:numPr>
        <w:rPr>
          <w:color w:val="000000"/>
          <w:highlight w:val="none"/>
          <w:shd w:fill="FFFFFF" w:val="clear"/>
        </w:rPr>
      </w:pPr>
      <w:bookmarkStart w:id="4" w:name="_Toc3967"/>
      <w:r>
        <w:rPr>
          <w:color w:val="000000"/>
          <w:shd w:fill="FFFFFF" w:val="clear"/>
        </w:rPr>
        <w:t>Informations comptables et financières</w:t>
      </w:r>
      <w:bookmarkEnd w:id="4"/>
    </w:p>
    <w:p>
      <w:pPr>
        <w:pStyle w:val="Normal"/>
        <w:rPr>
          <w:color w:val="000000"/>
          <w:highlight w:val="none"/>
          <w:shd w:fill="FFFFFF" w:val="clear"/>
        </w:rPr>
      </w:pPr>
      <w:r>
        <w:rPr>
          <w:rFonts w:eastAsia="arial" w:cs="arial" w:ascii="arial" w:hAnsi="arial"/>
          <w:b w:val="false"/>
          <w:i w:val="false"/>
          <w:color w:val="000000"/>
          <w:sz w:val="20"/>
          <w:u w:val="none"/>
          <w:shd w:fill="FFFFFF" w:val="clear"/>
        </w:rPr>
        <w:t>Comptable public assignataire des paiements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Monsieur l'Administrateur Finances Publiques de la Ville de Marseille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Trésorerie de Marseille Municipale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33 A rue Montgrand</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13251 MARSEILLE CEDEX 20</w:t>
      </w:r>
    </w:p>
    <w:p>
      <w:pPr>
        <w:pStyle w:val="Normal"/>
        <w:spacing w:before="120" w:after="0"/>
        <w:rPr>
          <w:color w:val="000000"/>
          <w:highlight w:val="none"/>
          <w:shd w:fill="FFFFFF" w:val="clear"/>
        </w:rPr>
      </w:pPr>
      <w:r>
        <w:rPr>
          <w:color w:val="000000"/>
          <w:shd w:fill="FFFFFF" w:val="clear"/>
        </w:rPr>
      </w:r>
    </w:p>
    <w:p>
      <w:pPr>
        <w:pStyle w:val="Normal"/>
        <w:rPr>
          <w:color w:val="000000"/>
          <w:highlight w:val="none"/>
          <w:shd w:fill="FFFFFF" w:val="clear"/>
        </w:rPr>
      </w:pPr>
      <w:r>
        <w:rPr>
          <w:rFonts w:eastAsia="arial" w:cs="arial" w:ascii="arial" w:hAnsi="arial"/>
          <w:b w:val="false"/>
          <w:i w:val="false"/>
          <w:color w:val="000000"/>
          <w:sz w:val="20"/>
          <w:u w:val="none"/>
          <w:shd w:fill="FFFFFF" w:val="clear"/>
        </w:rPr>
        <w:t>Imputation budgétaire :</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Fonctionnement</w:t>
      </w:r>
    </w:p>
    <w:p>
      <w:pPr>
        <w:pStyle w:val="Titre2"/>
        <w:numPr>
          <w:ilvl w:val="1"/>
          <w:numId w:val="2"/>
        </w:numPr>
        <w:rPr>
          <w:color w:val="000000"/>
          <w:highlight w:val="none"/>
          <w:shd w:fill="FFFFFF" w:val="clear"/>
        </w:rPr>
      </w:pPr>
      <w:bookmarkStart w:id="5" w:name="_Toc3968"/>
      <w:r>
        <w:rPr>
          <w:color w:val="000000"/>
          <w:shd w:fill="FFFFFF" w:val="clear"/>
        </w:rPr>
        <w:t>Code CPV</w:t>
      </w:r>
      <w:bookmarkEnd w:id="5"/>
    </w:p>
    <w:p>
      <w:pPr>
        <w:pStyle w:val="Normal"/>
        <w:rPr>
          <w:color w:val="000000"/>
          <w:highlight w:val="none"/>
          <w:shd w:fill="FFFFFF" w:val="clear"/>
        </w:rPr>
      </w:pPr>
      <w:r>
        <w:rPr>
          <w:rFonts w:eastAsia="arial" w:cs="arial" w:ascii="arial" w:hAnsi="arial"/>
          <w:b w:val="false"/>
          <w:i w:val="false"/>
          <w:color w:val="000000"/>
          <w:sz w:val="20"/>
          <w:u w:val="single"/>
          <w:shd w:fill="FFFFFF" w:val="clear"/>
        </w:rPr>
        <w:t>Code CPV principal</w:t>
      </w:r>
      <w:r>
        <w:rPr>
          <w:rFonts w:eastAsia="arial" w:cs="arial" w:ascii="arial" w:hAnsi="arial"/>
          <w:b w:val="false"/>
          <w:i w:val="false"/>
          <w:color w:val="000000"/>
          <w:sz w:val="20"/>
          <w:u w:val="none"/>
          <w:shd w:fill="FFFFFF" w:val="clear"/>
        </w:rPr>
        <w:t xml:space="preserve"> :</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90923000-3</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Il n'y a pas de CPV complémentaires.</w:t>
      </w:r>
    </w:p>
    <w:p>
      <w:pPr>
        <w:pStyle w:val="Titre1"/>
        <w:numPr>
          <w:ilvl w:val="0"/>
          <w:numId w:val="2"/>
        </w:numPr>
        <w:rPr>
          <w:color w:val="000000"/>
          <w:highlight w:val="none"/>
          <w:shd w:fill="FFFFFF" w:val="clear"/>
        </w:rPr>
      </w:pPr>
      <w:bookmarkStart w:id="6" w:name="_Toc3970"/>
      <w:r>
        <w:rPr>
          <w:color w:val="000000"/>
          <w:shd w:fill="FFFFFF" w:val="clear"/>
        </w:rPr>
        <w:t>CONTRACTANT(S)</w:t>
      </w:r>
      <w:bookmarkEnd w:id="6"/>
    </w:p>
    <w:p>
      <w:pPr>
        <w:pStyle w:val="Titre2"/>
        <w:numPr>
          <w:ilvl w:val="1"/>
          <w:numId w:val="2"/>
        </w:numPr>
        <w:rPr>
          <w:color w:val="000000"/>
          <w:highlight w:val="none"/>
          <w:shd w:fill="FFFFFF" w:val="clear"/>
        </w:rPr>
      </w:pPr>
      <w:bookmarkStart w:id="7" w:name="_Toc3971"/>
      <w:r>
        <w:rPr>
          <w:color w:val="000000"/>
          <w:shd w:fill="FFFFFF" w:val="clear"/>
        </w:rPr>
        <w:t>Identification</w:t>
      </w:r>
      <w:bookmarkEnd w:id="7"/>
    </w:p>
    <w:p>
      <w:pPr>
        <w:pStyle w:val="Normal"/>
        <w:rPr>
          <w:color w:val="000000"/>
          <w:highlight w:val="none"/>
          <w:shd w:fill="FFFFFF" w:val="clear"/>
        </w:rPr>
      </w:pPr>
      <w:r>
        <w:rPr>
          <w:rFonts w:eastAsia="arial" w:cs="arial" w:ascii="arial" w:hAnsi="arial"/>
          <w:b/>
          <w:i w:val="false"/>
          <w:color w:val="000000"/>
          <w:sz w:val="20"/>
          <w:u w:val="single"/>
          <w:shd w:fill="FFFFFF" w:val="clear"/>
        </w:rPr>
        <w:t>EN CAS DE CANDIDATURE INDIVIDUELLE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Adresse professionnelle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Code Postal : ............. Ville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Courriel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r>
        <w:rPr>
          <w:rFonts w:eastAsia="arial" w:cs="arial" w:ascii="arial" w:hAnsi="arial"/>
          <w:b w:val="false"/>
          <w:i w:val="false"/>
          <w:color w:val="000000"/>
          <w:sz w:val="20"/>
          <w:u w:val="single"/>
          <w:shd w:fill="FFFFFF" w:val="clear"/>
        </w:rPr>
        <w:t xml:space="preserve"> agissant pour le compte de la société</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(Rayez ci-dessus la mention inutile)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Dénomination sociale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Domicilié à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Dont le siège social est à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Courriel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 SIRET : ....................... Code APE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 TVA intracommunautaire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(pour les candidats européens sans établissement en France)</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N.B. Les informations (dénomination sociale, forme juridique, SIRET...) doivent correspondre à celles indiquées dans le Kbis de la société.</w:t>
      </w:r>
    </w:p>
    <w:p>
      <w:pPr>
        <w:pStyle w:val="Normal"/>
        <w:spacing w:before="120" w:after="0"/>
        <w:rPr>
          <w:color w:val="000000"/>
          <w:highlight w:val="none"/>
          <w:shd w:fill="FFFFFF" w:val="clear"/>
        </w:rPr>
      </w:pPr>
      <w:r>
        <w:rPr>
          <w:color w:val="000000"/>
          <w:shd w:fill="FFFFFF" w:val="clear"/>
        </w:rPr>
      </w:r>
    </w:p>
    <w:p>
      <w:pPr>
        <w:pStyle w:val="Normal"/>
        <w:rPr>
          <w:color w:val="000000"/>
          <w:highlight w:val="none"/>
          <w:shd w:fill="FFFFFF" w:val="clear"/>
        </w:rPr>
      </w:pPr>
      <w:r>
        <w:rPr>
          <w:rFonts w:eastAsia="arial" w:cs="arial" w:ascii="arial" w:hAnsi="arial"/>
          <w:b/>
          <w:i w:val="false"/>
          <w:color w:val="000000"/>
          <w:sz w:val="20"/>
          <w:u w:val="none"/>
          <w:shd w:fill="FFFFFF" w:val="clear"/>
        </w:rPr>
        <w:t>EN CAS DE CANDIDATURE SOUS FORME DE GROUPEMENT D'ENTREPRISES</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i w:val="false"/>
          <w:color w:val="000000"/>
          <w:sz w:val="20"/>
          <w:u w:val="single"/>
          <w:shd w:fill="FFFFFF" w:val="clear"/>
        </w:rPr>
        <w:t>1er co-contractant</w:t>
      </w:r>
      <w:r>
        <w:rPr>
          <w:rFonts w:eastAsia="arial" w:cs="arial" w:ascii="arial" w:hAnsi="arial"/>
          <w:b w:val="false"/>
          <w:i w:val="false"/>
          <w:color w:val="000000"/>
          <w:sz w:val="20"/>
          <w:u w:val="none"/>
          <w:shd w:fill="FFFFFF" w:val="clear"/>
        </w:rPr>
        <w:t xml:space="preserve"> :  </w:t>
      </w:r>
      <w:r>
        <w:rPr>
          <w:rFonts w:eastAsia="arial" w:cs="arial" w:ascii="arial" w:hAnsi="arial"/>
          <w:b/>
          <w:i w:val="false"/>
          <w:color w:val="000000"/>
          <w:sz w:val="20"/>
          <w:u w:val="none"/>
          <w:shd w:fill="FFFFFF" w:val="clear"/>
        </w:rPr>
        <w:t>MANDATAIRE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Adresse professionnelle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Code Postal : ............. Ville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Courriel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r>
        <w:rPr>
          <w:rFonts w:eastAsia="arial" w:cs="arial" w:ascii="arial" w:hAnsi="arial"/>
          <w:b w:val="false"/>
          <w:i w:val="false"/>
          <w:color w:val="000000"/>
          <w:sz w:val="20"/>
          <w:u w:val="single"/>
          <w:shd w:fill="FFFFFF" w:val="clear"/>
        </w:rPr>
        <w:t xml:space="preserve"> agissant pour le compte de la société</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(Rayez ci-dessus la mention inutile)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Dénomination sociale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Domicilié à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Dont le siège social est à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Courriel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 SIRET : ....................... Code APE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 TVA intracommunautaire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(pour les candidats européens sans établissement en France)</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single"/>
          <w:shd w:fill="FFFFFF" w:val="clear"/>
        </w:rPr>
        <w:t>agissant en tant que mandataire</w:t>
      </w:r>
      <w:r>
        <w:rPr>
          <w:rFonts w:eastAsia="arial" w:cs="arial" w:ascii="arial" w:hAnsi="arial"/>
          <w:b w:val="false"/>
          <w:i w:val="false"/>
          <w:color w:val="000000"/>
          <w:sz w:val="20"/>
          <w:u w:val="none"/>
          <w:shd w:fill="FFFFFF" w:val="clear"/>
        </w:rPr>
        <w:t xml:space="preserve">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du groupement conjoint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du groupement conjoint pour lequel il est solidaire des cotraitants du groupement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du groupement solidaire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(Rayez ci-dessus les mentions inutiles)</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i w:val="false"/>
          <w:color w:val="000000"/>
          <w:sz w:val="20"/>
          <w:u w:val="single"/>
          <w:shd w:fill="FFFFFF" w:val="clear"/>
        </w:rPr>
        <w:t>2ème co-contractant</w:t>
      </w:r>
      <w:r>
        <w:rPr>
          <w:rFonts w:eastAsia="arial" w:cs="arial" w:ascii="arial" w:hAnsi="arial"/>
          <w:b w:val="false"/>
          <w:i w:val="false"/>
          <w:color w:val="000000"/>
          <w:sz w:val="20"/>
          <w:u w:val="none"/>
          <w:shd w:fill="FFFFFF" w:val="clear"/>
        </w:rPr>
        <w: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Adresse professionnelle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Code Postal : ............. Ville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Courriel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r>
        <w:rPr>
          <w:rFonts w:eastAsia="arial" w:cs="arial" w:ascii="arial" w:hAnsi="arial"/>
          <w:b w:val="false"/>
          <w:i w:val="false"/>
          <w:color w:val="000000"/>
          <w:sz w:val="20"/>
          <w:u w:val="single"/>
          <w:shd w:fill="FFFFFF" w:val="clear"/>
        </w:rPr>
        <w:t xml:space="preserve"> agissant pour le compte de la société</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(Rayez ci-dessus la mention inutile)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Dénomination sociale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Domicilié à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Dont le siège social est à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Courriel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 SIRET : ....................... Code APE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 TVA intracommunautaire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(pour les candidats européens sans établissement en France)</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r>
        <w:rPr>
          <w:rFonts w:eastAsia="arial" w:cs="arial" w:ascii="arial" w:hAnsi="arial"/>
          <w:b/>
          <w:i w:val="false"/>
          <w:color w:val="000000"/>
          <w:sz w:val="20"/>
          <w:u w:val="single"/>
          <w:shd w:fill="FFFFFF" w:val="clear"/>
        </w:rPr>
        <w:t xml:space="preserve"> 3ème co-contractant</w:t>
      </w:r>
      <w:r>
        <w:rPr>
          <w:rFonts w:eastAsia="arial" w:cs="arial" w:ascii="arial" w:hAnsi="arial"/>
          <w:b w:val="false"/>
          <w:i w:val="false"/>
          <w:color w:val="000000"/>
          <w:sz w:val="20"/>
          <w:u w:val="none"/>
          <w:shd w:fill="FFFFFF" w:val="clear"/>
        </w:rPr>
        <w:t xml:space="preserve">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Adresse professionnelle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Code Postal : ............. Ville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Courriel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le compte de la société</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(Rayez ci-dessus la mention inutile)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Dénomination sociale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Domicilié à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Dont le siège social est à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Courriel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 SIRET : ....................... Code APE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 TVA intracommunautaire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(pour les candidats européens sans établissement en France)</w:t>
      </w:r>
    </w:p>
    <w:p>
      <w:pPr>
        <w:pStyle w:val="Titre2"/>
        <w:numPr>
          <w:ilvl w:val="1"/>
          <w:numId w:val="2"/>
        </w:numPr>
        <w:rPr>
          <w:color w:val="000000"/>
          <w:highlight w:val="none"/>
          <w:shd w:fill="FFFFFF" w:val="clear"/>
        </w:rPr>
      </w:pPr>
      <w:bookmarkStart w:id="8" w:name="_Toc3972"/>
      <w:r>
        <w:rPr>
          <w:color w:val="000000"/>
          <w:shd w:fill="FFFFFF" w:val="clear"/>
        </w:rPr>
        <w:t>Compte à créditer</w:t>
      </w:r>
      <w:bookmarkEnd w:id="8"/>
    </w:p>
    <w:p>
      <w:pPr>
        <w:pStyle w:val="Normal"/>
        <w:rPr>
          <w:color w:val="000000"/>
          <w:highlight w:val="none"/>
          <w:shd w:fill="FFFFFF" w:val="clear"/>
        </w:rPr>
      </w:pPr>
      <w:r>
        <w:rPr>
          <w:rFonts w:eastAsia="arial" w:cs="arial" w:ascii="arial" w:hAnsi="arial"/>
          <w:b w:val="false"/>
          <w:i w:val="false"/>
          <w:color w:val="000000"/>
          <w:sz w:val="20"/>
          <w:u w:val="single"/>
          <w:shd w:fill="FFFFFF" w:val="clear"/>
        </w:rPr>
        <w:t>Règlement sur un compte unique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En cas de candidat unique ou de groupement solidaire sans répartition de paiement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Compte ouvert au nom de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IBAN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BIC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Joindre un relevé BIC (bank indentification code) ou IBAN (international bank accompt number).</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Dans le cas d'un groupement solidaire, les paiements seront effectués sur un compte unique ouvert au nom de chacun des membres du groupement, ou sur le compte du mandataire, qui devra alors être dûment habilité par chacun des cotraitants.</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single"/>
          <w:shd w:fill="FFFFFF" w:val="clear"/>
        </w:rPr>
        <w:t>Règlements sur des comptes séparés</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En cas de groupement conjoint ou de groupement solidaire avec répartition de paiement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Compte ouvert au nom de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Domiciliation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IBAN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BIC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Joindre un relevé BIC (bank indentification code) ou IBAN (international bank accompt number).</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Compte ouvert au nom de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Domiciliation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IBAN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BIC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Joindre un relevé BIC (bank indentification code) ou IBAN (international bank accompt number).</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Dans ce cas, les montants dus sont portés au crédit des comptes désignés ci-dessus. Joindre les relevés bancaires de chaque co-traitant.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Une répartition des paiements entre membres du groupement sera jointe au présent acte d'engagement (sauf exception type accord-cadre à bons de commande).</w:t>
      </w:r>
    </w:p>
    <w:p>
      <w:pPr>
        <w:pStyle w:val="Normal"/>
        <w:spacing w:before="120" w:after="0"/>
        <w:rPr>
          <w:color w:val="000000"/>
          <w:highlight w:val="none"/>
          <w:shd w:fill="FFFFFF" w:val="clear"/>
        </w:rPr>
      </w:pPr>
      <w:r>
        <w:rPr>
          <w:color w:val="000000"/>
          <w:shd w:fill="FFFFFF" w:val="clear"/>
        </w:rPr>
      </w:r>
    </w:p>
    <w:p>
      <w:pPr>
        <w:pStyle w:val="Normal"/>
        <w:rPr>
          <w:color w:val="000000"/>
          <w:highlight w:val="none"/>
          <w:shd w:fill="FFFFFF" w:val="clear"/>
        </w:rPr>
      </w:pPr>
      <w:r>
        <w:rPr>
          <w:rFonts w:eastAsia="arial" w:cs="arial" w:ascii="arial" w:hAnsi="arial"/>
          <w:b/>
          <w:i w:val="false"/>
          <w:color w:val="000000"/>
          <w:sz w:val="20"/>
          <w:u w:val="single"/>
          <w:shd w:fill="FFFFFF" w:val="clear"/>
        </w:rPr>
        <w:t>Obligation du titulaire d'informer le Représentant du Pouvoir Adjudicateur de tout changement de sa situation</w:t>
      </w:r>
      <w:r>
        <w:rPr>
          <w:rFonts w:eastAsia="arial" w:cs="arial" w:ascii="arial" w:hAnsi="arial"/>
          <w:b/>
          <w:i w:val="false"/>
          <w:color w:val="000000"/>
          <w:sz w:val="20"/>
          <w:u w:val="none"/>
          <w:shd w:fill="FFFFFF" w:val="clear"/>
        </w:rPr>
        <w:t> :</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Conformément à l'article 3.4.2 du CCAG applicable, le titulaire s'engage à informer par écrit, dans les meilleurs délais, le Représentant du Pouvoir Adjudicateur de tout changement de sa situation administrative, juridique et financière et, plus généralement, de toutes modifications importantes de fonctionnement de l'entreprise pouvant influer sur le déroulement du marché.</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A ce titre, il notifie toute modification survenant au cours de l'exécution du marché et se rapportant notamment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à son statut (cession, fusion, changement de forme juridique, de raison sociale, de dénomination, de siège social,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à un changement d'adresse,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à un changement de domiciliation bancaire,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à la mise en oeuvre à son encontre d'une procédure de redressement judiciaire, de liquidation judiciaire ou de toute autre mesure d'interdiction de concourir.</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 titulaire est tenu de communiquer au Représentant du Pouvoir Adjudicateur tous les justificatifs nécessaires attestant de ce changement de situation (extrait K bis, publications légales, copie de procès-verbaux d'assemblées générales, jugements, nouveau RIB, nouveaux pouvoirs du Représentant du titulaire,...) afin de permettre au Pouvoir Adjudicateur de prendre toutes dispositions nécessaires pour assurer la continuité du marché.</w:t>
      </w:r>
    </w:p>
    <w:p>
      <w:pPr>
        <w:pStyle w:val="Titre1"/>
        <w:numPr>
          <w:ilvl w:val="0"/>
          <w:numId w:val="2"/>
        </w:numPr>
        <w:rPr>
          <w:color w:val="000000"/>
          <w:highlight w:val="none"/>
          <w:shd w:fill="FFFFFF" w:val="clear"/>
        </w:rPr>
      </w:pPr>
      <w:bookmarkStart w:id="9" w:name="_Toc3973"/>
      <w:r>
        <w:rPr>
          <w:color w:val="000000"/>
          <w:shd w:fill="FFFFFF" w:val="clear"/>
        </w:rPr>
        <w:t>OBJET</w:t>
      </w:r>
      <w:bookmarkEnd w:id="9"/>
    </w:p>
    <w:p>
      <w:pPr>
        <w:pStyle w:val="Titre1"/>
        <w:numPr>
          <w:ilvl w:val="0"/>
          <w:numId w:val="0"/>
        </w:numPr>
        <w:ind w:left="0" w:hanging="0"/>
        <w:rPr>
          <w:color w:val="000000"/>
          <w:highlight w:val="none"/>
          <w:shd w:fill="FFFFFF" w:val="clear"/>
        </w:rPr>
      </w:pPr>
      <w:r>
        <w:rPr>
          <w:color w:val="000000"/>
          <w:shd w:fill="FFFFFF" w:val="clear"/>
        </w:rPr>
      </w:r>
    </w:p>
    <w:p>
      <w:pPr>
        <w:pStyle w:val="Normal"/>
        <w:rPr>
          <w:b/>
          <w:b/>
          <w:bCs/>
          <w:color w:val="000000"/>
          <w:highlight w:val="none"/>
          <w:shd w:fill="FFFFFF" w:val="clear"/>
        </w:rPr>
      </w:pPr>
      <w:r>
        <w:rPr>
          <w:rFonts w:eastAsia="arial" w:cs="arial" w:ascii="arial" w:hAnsi="arial"/>
          <w:b/>
          <w:bCs/>
          <w:i w:val="false"/>
          <w:color w:val="000000"/>
          <w:sz w:val="20"/>
          <w:u w:val="none"/>
          <w:shd w:fill="FFFFFF" w:val="clear"/>
        </w:rPr>
        <w:t>Désinsectisation des punaises de lit au sein des établissements municipaux 2 lots</w:t>
      </w:r>
    </w:p>
    <w:p>
      <w:pPr>
        <w:pStyle w:val="Normal"/>
        <w:rPr>
          <w:b/>
          <w:b/>
          <w:bCs/>
          <w:color w:val="000000"/>
          <w:highlight w:val="none"/>
          <w:shd w:fill="FFFFFF" w:val="clear"/>
        </w:rPr>
      </w:pPr>
      <w:r>
        <w:rPr>
          <w:rFonts w:eastAsia="arial" w:cs="arial" w:ascii="arial" w:hAnsi="arial"/>
          <w:b/>
          <w:bCs/>
          <w:i w:val="false"/>
          <w:color w:val="000000"/>
          <w:sz w:val="20"/>
          <w:u w:val="none"/>
          <w:shd w:fill="FFFFFF" w:val="clear"/>
        </w:rPr>
        <w:t>Lot 2 : Désinsectisation des punaises de lit au sein des établissements municipaux</w:t>
      </w:r>
    </w:p>
    <w:p>
      <w:pPr>
        <w:pStyle w:val="Normal"/>
        <w:rPr>
          <w:b/>
          <w:b/>
          <w:bCs/>
          <w:color w:val="000000"/>
          <w:highlight w:val="none"/>
          <w:shd w:fill="FFFFFF" w:val="clear"/>
        </w:rPr>
      </w:pPr>
      <w:r>
        <w:rPr>
          <w:rFonts w:eastAsia="arial" w:cs="arial" w:ascii="arial" w:hAnsi="arial"/>
          <w:b/>
          <w:bCs/>
          <w:i w:val="false"/>
          <w:color w:val="000000"/>
          <w:sz w:val="20"/>
          <w:u w:val="none"/>
          <w:shd w:fill="FFFFFF" w:val="clear"/>
        </w:rPr>
        <w:t>Poste 1 : Désinsectisation par emploi de la vapeur et peroxyde d’hydrogène</w:t>
      </w:r>
    </w:p>
    <w:p>
      <w:pPr>
        <w:pStyle w:val="Normal"/>
        <w:rPr>
          <w:b/>
          <w:b/>
          <w:bCs/>
          <w:color w:val="000000"/>
          <w:highlight w:val="none"/>
          <w:shd w:fill="FFFFFF" w:val="clear"/>
        </w:rPr>
      </w:pPr>
      <w:r>
        <w:rPr>
          <w:rFonts w:eastAsia="arial" w:cs="arial" w:ascii="arial" w:hAnsi="arial"/>
          <w:b/>
          <w:bCs/>
          <w:i w:val="false"/>
          <w:color w:val="000000"/>
          <w:sz w:val="20"/>
          <w:u w:val="none"/>
          <w:shd w:fill="FFFFFF" w:val="clear"/>
        </w:rPr>
        <w:t>Poste 2 : Désinsectisation par emploi de biocides</w:t>
      </w:r>
    </w:p>
    <w:p>
      <w:pPr>
        <w:pStyle w:val="Titre1"/>
        <w:numPr>
          <w:ilvl w:val="0"/>
          <w:numId w:val="2"/>
        </w:numPr>
        <w:rPr>
          <w:color w:val="000000"/>
          <w:highlight w:val="none"/>
          <w:shd w:fill="FFFFFF" w:val="clear"/>
        </w:rPr>
      </w:pPr>
      <w:bookmarkStart w:id="10" w:name="_Toc3974"/>
      <w:r>
        <w:rPr>
          <w:color w:val="000000"/>
          <w:shd w:fill="FFFFFF" w:val="clear"/>
        </w:rPr>
        <w:t>MONTANT ET PRIX DU MARCHE</w:t>
      </w:r>
      <w:bookmarkEnd w:id="10"/>
    </w:p>
    <w:p>
      <w:pPr>
        <w:pStyle w:val="Titre2"/>
        <w:numPr>
          <w:ilvl w:val="1"/>
          <w:numId w:val="2"/>
        </w:numPr>
        <w:rPr>
          <w:color w:val="000000"/>
          <w:highlight w:val="none"/>
          <w:shd w:fill="FFFFFF" w:val="clear"/>
        </w:rPr>
      </w:pPr>
      <w:bookmarkStart w:id="11" w:name="_Toc3975"/>
      <w:r>
        <w:rPr>
          <w:color w:val="000000"/>
          <w:shd w:fill="FFFFFF" w:val="clear"/>
        </w:rPr>
        <w:t>Forme du prix</w:t>
      </w:r>
      <w:bookmarkEnd w:id="11"/>
    </w:p>
    <w:p>
      <w:pPr>
        <w:pStyle w:val="Normal"/>
        <w:rPr>
          <w:color w:val="000000"/>
          <w:highlight w:val="none"/>
          <w:shd w:fill="FFFFFF" w:val="clear"/>
        </w:rPr>
      </w:pPr>
      <w:r>
        <w:rPr>
          <w:rFonts w:eastAsia="arial" w:cs="arial" w:ascii="arial" w:hAnsi="arial"/>
          <w:b w:val="false"/>
          <w:i w:val="false"/>
          <w:color w:val="000000"/>
          <w:sz w:val="20"/>
          <w:u w:val="none"/>
          <w:shd w:fill="FFFFFF" w:val="clear"/>
        </w:rPr>
        <w:t>Le(s) marché(s) sera (seront) traité(s) à prix unitaires.</w:t>
      </w:r>
    </w:p>
    <w:p>
      <w:pPr>
        <w:pStyle w:val="Titre2"/>
        <w:numPr>
          <w:ilvl w:val="1"/>
          <w:numId w:val="2"/>
        </w:numPr>
        <w:rPr>
          <w:color w:val="000000"/>
          <w:highlight w:val="none"/>
          <w:shd w:fill="FFFFFF" w:val="clear"/>
        </w:rPr>
      </w:pPr>
      <w:bookmarkStart w:id="12" w:name="_Toc3976"/>
      <w:r>
        <w:rPr>
          <w:color w:val="000000"/>
          <w:shd w:fill="FFFFFF" w:val="clear"/>
        </w:rPr>
        <w:t>Montant</w:t>
      </w:r>
      <w:bookmarkEnd w:id="12"/>
    </w:p>
    <w:p>
      <w:pPr>
        <w:pStyle w:val="Normal"/>
        <w:rPr>
          <w:color w:val="000000"/>
          <w:highlight w:val="none"/>
          <w:shd w:fill="FFFFFF" w:val="clear"/>
        </w:rPr>
      </w:pPr>
      <w:r>
        <w:rPr>
          <w:rFonts w:eastAsia="arial" w:cs="arial" w:ascii="arial" w:hAnsi="arial"/>
          <w:b w:val="false"/>
          <w:i w:val="false"/>
          <w:color w:val="000000"/>
          <w:sz w:val="20"/>
          <w:u w:val="none"/>
          <w:shd w:fill="FFFFFF" w:val="clear"/>
        </w:rPr>
        <w:t>Les bons de commandes seront émis dans les conditions et limites suivantes pour toute la durée du marché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 minimum : 5 000 euros HT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maximum : 60 000 euros HT</w:t>
      </w:r>
    </w:p>
    <w:p>
      <w:pPr>
        <w:pStyle w:val="Normal"/>
        <w:spacing w:before="120" w:after="0"/>
        <w:rPr>
          <w:color w:val="000000"/>
          <w:highlight w:val="none"/>
          <w:shd w:fill="FFFFFF" w:val="clear"/>
        </w:rPr>
      </w:pPr>
      <w:r>
        <w:rPr>
          <w:color w:val="000000"/>
          <w:shd w:fill="FFFFFF" w:val="clear"/>
        </w:rPr>
      </w:r>
    </w:p>
    <w:p>
      <w:pPr>
        <w:pStyle w:val="Normal"/>
        <w:rPr>
          <w:color w:val="000000"/>
          <w:highlight w:val="none"/>
          <w:shd w:fill="FFFFFF" w:val="clear"/>
        </w:rPr>
      </w:pPr>
      <w:r>
        <w:rPr>
          <w:rFonts w:eastAsia="arial" w:cs="arial" w:ascii="arial" w:hAnsi="arial"/>
          <w:b w:val="false"/>
          <w:i w:val="false"/>
          <w:color w:val="000000"/>
          <w:sz w:val="20"/>
          <w:u w:val="none"/>
          <w:shd w:fill="FFFFFF" w:val="clear"/>
        </w:rPr>
        <w:t>Les prix unitaires du marché sont détaillés dans :</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l'annexe au présent marché intitulée "bordereau des prix unitaires" (BPU).</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 prix du marché résulte de l'application des quantités réellement exécutées aux prix unitaires du Bordereau des Prix Unitaires.</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Le marché pourra faire l'objet d'une cession ou d'un nantissement de créances, conformément aux articles R2191-45 à 63 du Code de la commande publique.</w:t>
      </w:r>
    </w:p>
    <w:p>
      <w:pPr>
        <w:pStyle w:val="Titre1"/>
        <w:numPr>
          <w:ilvl w:val="0"/>
          <w:numId w:val="2"/>
        </w:numPr>
        <w:rPr>
          <w:color w:val="000000"/>
          <w:highlight w:val="none"/>
          <w:shd w:fill="FFFFFF" w:val="clear"/>
        </w:rPr>
      </w:pPr>
      <w:bookmarkStart w:id="13" w:name="_Toc3978"/>
      <w:r>
        <w:rPr>
          <w:color w:val="000000"/>
          <w:shd w:fill="FFFFFF" w:val="clear"/>
        </w:rPr>
        <w:t>AVANCE</w:t>
      </w:r>
      <w:bookmarkEnd w:id="13"/>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Une avance est accordée au titulaire du présent marché, conformément aux articles R.2191-2 à 12 du CCP.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L'option retenue concernant les avances est l'option B telle que définie au CCAG applicable.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Pour les micro, petites et moyennes entreprises (PME), le taux de l'avance est de 10 %. Pour les autres entreprises, le taux de l'avance est de 5 %.</w:t>
      </w:r>
    </w:p>
    <w:p>
      <w:pPr>
        <w:pStyle w:val="Normal"/>
        <w:spacing w:before="120" w:after="0"/>
        <w:rPr>
          <w:color w:val="000000"/>
          <w:highlight w:val="none"/>
          <w:shd w:fill="FFFFFF" w:val="clear"/>
        </w:rPr>
      </w:pPr>
      <w:r>
        <w:rPr>
          <w:rFonts w:eastAsia="arial" w:cs="arial" w:ascii="arial" w:hAnsi="arial"/>
          <w:b/>
          <w:i w:val="false"/>
          <w:color w:val="000000"/>
          <w:sz w:val="20"/>
          <w:u w:val="none"/>
          <w:shd w:fill="FFFFFF" w:val="clear"/>
        </w:rPr>
        <w:t>Le candidat est une PME* : oui/non</w:t>
      </w:r>
    </w:p>
    <w:p>
      <w:pPr>
        <w:pStyle w:val="Normal"/>
        <w:spacing w:before="120" w:after="0"/>
        <w:rPr>
          <w:color w:val="000000"/>
          <w:highlight w:val="none"/>
          <w:shd w:fill="FFFFFF" w:val="clear"/>
        </w:rPr>
      </w:pPr>
      <w:r>
        <w:rPr>
          <w:rFonts w:eastAsia="arial" w:cs="arial" w:ascii="arial" w:hAnsi="arial"/>
          <w:b/>
          <w:i w:val="false"/>
          <w:color w:val="000000"/>
          <w:sz w:val="20"/>
          <w:u w:val="none"/>
          <w:shd w:fill="FFFFFF" w:val="clear"/>
        </w:rPr>
        <w:t>Je renonce au bénéfice de l'avance : oui/non</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(Rayez la mention inutile)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*La catégorie des micro, petites et moyennes entreprises (PME) est constituée des entreprises qui occupent moins de 250 personnes et dont le chiffre d'affaires annuel n'excède pas 50 millions d'euros ou dont le total du bilan annuel n'excède pas 43 millions d'euros.</w:t>
      </w:r>
    </w:p>
    <w:p>
      <w:pPr>
        <w:pStyle w:val="Titre1"/>
        <w:numPr>
          <w:ilvl w:val="0"/>
          <w:numId w:val="2"/>
        </w:numPr>
        <w:rPr>
          <w:color w:val="000000"/>
          <w:highlight w:val="none"/>
          <w:shd w:fill="FFFFFF" w:val="clear"/>
        </w:rPr>
      </w:pPr>
      <w:bookmarkStart w:id="14" w:name="_Toc3979"/>
      <w:r>
        <w:rPr>
          <w:color w:val="000000"/>
          <w:shd w:fill="FFFFFF" w:val="clear"/>
        </w:rPr>
        <w:t>DUREE</w:t>
      </w:r>
      <w:bookmarkEnd w:id="14"/>
    </w:p>
    <w:p>
      <w:pPr>
        <w:pStyle w:val="Normal"/>
        <w:rPr>
          <w:color w:val="000000"/>
          <w:highlight w:val="none"/>
          <w:shd w:fill="FFFFFF" w:val="clear"/>
        </w:rPr>
      </w:pPr>
      <w:r>
        <w:rPr>
          <w:rFonts w:eastAsia="arial" w:cs="arial" w:ascii="arial" w:hAnsi="arial"/>
          <w:b w:val="false"/>
          <w:i w:val="false"/>
          <w:color w:val="000000"/>
          <w:sz w:val="20"/>
          <w:u w:val="none"/>
          <w:shd w:fill="FFFFFF" w:val="clear"/>
        </w:rPr>
        <w:t>La durée du marché se définit comme suit :</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4 ans à compter de la date de notification.</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Cette durée est une durée ferme et ne pourra faire l'objet de reconductions.</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Toute information complémentaire relative à la durée et/ou aux délais figure au CCAP.</w:t>
      </w:r>
    </w:p>
    <w:p>
      <w:pPr>
        <w:pStyle w:val="Titre1"/>
        <w:numPr>
          <w:ilvl w:val="0"/>
          <w:numId w:val="0"/>
        </w:numPr>
        <w:ind w:left="0" w:hanging="0"/>
        <w:rPr>
          <w:rFonts w:ascii="arial" w:hAnsi="arial" w:eastAsia="arial" w:cs="arial"/>
          <w:b w:val="false"/>
          <w:b w:val="false"/>
          <w:i w:val="false"/>
          <w:i w:val="false"/>
          <w:sz w:val="20"/>
          <w:u w:val="none"/>
        </w:rPr>
      </w:pPr>
      <w:r>
        <w:rPr>
          <w:rFonts w:eastAsia="arial" w:cs="arial" w:ascii="arial" w:hAnsi="arial"/>
          <w:b w:val="false"/>
          <w:i w:val="false"/>
          <w:sz w:val="20"/>
          <w:u w:val="none"/>
        </w:rPr>
      </w:r>
    </w:p>
    <w:p>
      <w:pPr>
        <w:pStyle w:val="Titre1"/>
        <w:numPr>
          <w:ilvl w:val="0"/>
          <w:numId w:val="2"/>
        </w:numPr>
        <w:rPr>
          <w:color w:val="000000"/>
          <w:highlight w:val="none"/>
          <w:shd w:fill="FFFFFF" w:val="clear"/>
        </w:rPr>
      </w:pPr>
      <w:bookmarkStart w:id="15" w:name="_Toc3981"/>
      <w:r>
        <w:rPr>
          <w:color w:val="000000"/>
          <w:shd w:fill="FFFFFF" w:val="clear"/>
        </w:rPr>
        <w:t>DELAI DE VALIDITE DES OFFRES</w:t>
      </w:r>
      <w:bookmarkEnd w:id="15"/>
    </w:p>
    <w:p>
      <w:pPr>
        <w:pStyle w:val="Normal"/>
        <w:rPr>
          <w:color w:val="000000"/>
          <w:highlight w:val="none"/>
          <w:shd w:fill="FFFFFF" w:val="clear"/>
        </w:rPr>
      </w:pPr>
      <w:r>
        <w:rPr>
          <w:rFonts w:eastAsia="arial" w:cs="arial" w:ascii="arial" w:hAnsi="arial"/>
          <w:b w:val="false"/>
          <w:i w:val="false"/>
          <w:color w:val="000000"/>
          <w:sz w:val="20"/>
          <w:u w:val="none"/>
          <w:shd w:fill="FFFFFF" w:val="clear"/>
        </w:rPr>
        <w:t>Le candidat est tenu de maintenir son offre, à compter de la date limite de remise des offres, pendant un délai de : 3 mois.</w:t>
      </w:r>
    </w:p>
    <w:p>
      <w:pPr>
        <w:pStyle w:val="Titre1"/>
        <w:numPr>
          <w:ilvl w:val="0"/>
          <w:numId w:val="2"/>
        </w:numPr>
        <w:rPr>
          <w:color w:val="000000"/>
          <w:highlight w:val="none"/>
          <w:shd w:fill="FFFFFF" w:val="clear"/>
        </w:rPr>
      </w:pPr>
      <w:bookmarkStart w:id="16" w:name="_Toc3982"/>
      <w:r>
        <w:rPr>
          <w:color w:val="000000"/>
          <w:shd w:fill="FFFFFF" w:val="clear"/>
        </w:rPr>
        <w:t>ENGAGEMENT ET SIGNATURE DU CANDIDAT</w:t>
      </w:r>
      <w:bookmarkEnd w:id="16"/>
    </w:p>
    <w:p>
      <w:pPr>
        <w:pStyle w:val="Normal"/>
        <w:rPr>
          <w:color w:val="000000"/>
          <w:highlight w:val="none"/>
          <w:shd w:fill="FFFFFF" w:val="clear"/>
        </w:rPr>
      </w:pPr>
      <w:r>
        <w:rPr>
          <w:rFonts w:eastAsia="arial" w:cs="arial" w:ascii="arial" w:hAnsi="arial"/>
          <w:b/>
          <w:i w:val="false"/>
          <w:color w:val="000000"/>
          <w:sz w:val="20"/>
          <w:u w:val="single"/>
          <w:shd w:fill="FFFFFF" w:val="clear"/>
        </w:rPr>
        <w:t>Clause de protection des données (RGPD)</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 présent marché n'est pas concerné.</w:t>
      </w:r>
    </w:p>
    <w:p>
      <w:pPr>
        <w:pStyle w:val="Normal"/>
        <w:rPr>
          <w:color w:val="000000"/>
          <w:highlight w:val="none"/>
          <w:shd w:fill="FFFFFF" w:val="clear"/>
        </w:rPr>
      </w:pPr>
      <w:r>
        <w:rPr>
          <w:rFonts w:eastAsia="arial" w:cs="arial" w:ascii="arial" w:hAnsi="arial"/>
          <w:b/>
          <w:i w:val="false"/>
          <w:color w:val="000000"/>
          <w:sz w:val="20"/>
          <w:u w:val="single"/>
          <w:shd w:fill="FFFFFF" w:val="clear"/>
        </w:rPr>
        <w:t>Dispositions relatives au respect des principes de la République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 présent marché n'est pas concerné.</w:t>
      </w:r>
    </w:p>
    <w:p>
      <w:pPr>
        <w:pStyle w:val="Normal"/>
        <w:rPr>
          <w:color w:val="000000"/>
          <w:highlight w:val="none"/>
          <w:shd w:fill="FFFFFF" w:val="clear"/>
        </w:rPr>
      </w:pPr>
      <w:r>
        <w:rPr>
          <w:rFonts w:eastAsia="arial" w:cs="arial" w:ascii="arial" w:hAnsi="arial"/>
          <w:b w:val="false"/>
          <w:i w:val="false"/>
          <w:color w:val="000000"/>
          <w:sz w:val="20"/>
          <w:u w:val="single"/>
          <w:shd w:fill="FFFFFF" w:val="clear"/>
        </w:rPr>
        <w:t>Les annexes au présent document sont les suivante</w:t>
      </w:r>
      <w:r>
        <w:rPr>
          <w:rFonts w:eastAsia="arial" w:cs="arial" w:ascii="arial" w:hAnsi="arial"/>
          <w:b w:val="false"/>
          <w:i w:val="false"/>
          <w:color w:val="000000"/>
          <w:sz w:val="20"/>
          <w:u w:val="none"/>
          <w:shd w:fill="FFFFFF" w:val="clear"/>
        </w:rPr>
        <w:t>s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Bordereau des prix unitaires</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Après avoir pris connaissance des documents constitutifs du dossier de marché, tels que listés au CCAP/CCP en tant que documents contractuels,</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J'affirme (nous affirmons) sous peine de résiliation du marché à mes (nos) torts exclusifs que la (les) société(s) pour laquelle (lesquelles) j'interviens (nous intervenons) ne tombe(nt) pas sous le coup des interdictions découlant des articles L2141-1 à 14 du Code de la commande publique</w:t>
      </w:r>
    </w:p>
    <w:p>
      <w:pPr>
        <w:pStyle w:val="Normal"/>
        <w:spacing w:before="120" w:after="0"/>
        <w:rPr>
          <w:color w:val="000000"/>
          <w:highlight w:val="none"/>
          <w:shd w:fill="FFFFFF" w:val="clear"/>
        </w:rPr>
      </w:pPr>
      <w:r>
        <w:rPr>
          <w:color w:val="000000"/>
          <w:shd w:fill="FFFFFF" w:val="clear"/>
        </w:rPr>
      </w:r>
    </w:p>
    <w:p>
      <w:pPr>
        <w:pStyle w:val="Normal"/>
        <w:rPr>
          <w:color w:val="000000"/>
          <w:highlight w:val="none"/>
          <w:shd w:fill="FFFFFF" w:val="clear"/>
        </w:rPr>
      </w:pPr>
      <w:r>
        <w:rPr>
          <w:rFonts w:eastAsia="arial" w:cs="arial" w:ascii="arial" w:hAnsi="arial"/>
          <w:b w:val="false"/>
          <w:i w:val="false"/>
          <w:color w:val="000000"/>
          <w:sz w:val="20"/>
          <w:u w:val="none"/>
          <w:shd w:fill="FFFFFF" w:val="clear"/>
        </w:rPr>
        <w:t>A ......................................., le .......................................</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En un seul original</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 candidat ou le mandataire</w:t>
      </w:r>
    </w:p>
    <w:p>
      <w:pPr>
        <w:pStyle w:val="Normal"/>
        <w:spacing w:before="120" w:after="0"/>
        <w:rPr>
          <w:color w:val="000000"/>
          <w:highlight w:val="none"/>
          <w:shd w:fill="FFFFFF" w:val="clear"/>
        </w:rPr>
      </w:pPr>
      <w:r>
        <w:rPr>
          <w:rFonts w:eastAsia="arial" w:cs="arial" w:ascii="arial" w:hAnsi="arial"/>
          <w:b w:val="false"/>
          <w:i/>
          <w:color w:val="000000"/>
          <w:sz w:val="20"/>
          <w:u w:val="none"/>
          <w:shd w:fill="FFFFFF" w:val="clear"/>
        </w:rPr>
        <w:t xml:space="preserve">Signature du candidat, précédée des nom, </w:t>
      </w:r>
    </w:p>
    <w:p>
      <w:pPr>
        <w:pStyle w:val="Normal"/>
        <w:spacing w:before="120" w:after="0"/>
        <w:rPr>
          <w:color w:val="000000"/>
          <w:highlight w:val="none"/>
          <w:shd w:fill="FFFFFF" w:val="clear"/>
        </w:rPr>
      </w:pPr>
      <w:r>
        <w:rPr>
          <w:rFonts w:eastAsia="arial" w:cs="arial" w:ascii="arial" w:hAnsi="arial"/>
          <w:b w:val="false"/>
          <w:i/>
          <w:color w:val="000000"/>
          <w:sz w:val="20"/>
          <w:u w:val="none"/>
          <w:shd w:fill="FFFFFF" w:val="clear"/>
        </w:rPr>
        <w:t>prénom et qualité du signataire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 signataire doit avoir le pouvoir d'engager la personne qu'il représente).</w:t>
      </w:r>
    </w:p>
    <w:p>
      <w:pPr>
        <w:pStyle w:val="Normal"/>
        <w:spacing w:before="120" w:after="0"/>
        <w:rPr>
          <w:color w:val="000000"/>
          <w:highlight w:val="none"/>
          <w:shd w:fill="FFFFFF" w:val="clear"/>
        </w:rPr>
      </w:pPr>
      <w:r>
        <w:rPr>
          <w:color w:val="000000"/>
          <w:shd w:fill="FFFFFF" w:val="clear"/>
        </w:rPr>
      </w:r>
    </w:p>
    <w:p>
      <w:pPr>
        <w:pStyle w:val="Titre1"/>
        <w:numPr>
          <w:ilvl w:val="0"/>
          <w:numId w:val="2"/>
        </w:numPr>
        <w:rPr>
          <w:color w:val="000000"/>
          <w:highlight w:val="none"/>
          <w:shd w:fill="FFFFFF" w:val="clear"/>
        </w:rPr>
      </w:pPr>
      <w:bookmarkStart w:id="17" w:name="_Toc3983"/>
      <w:r>
        <w:rPr>
          <w:color w:val="000000"/>
          <w:shd w:fill="FFFFFF" w:val="clear"/>
        </w:rPr>
        <w:t>SIGNATURE DU POUVOIR ADJUDICATEUR</w:t>
      </w:r>
      <w:bookmarkEnd w:id="17"/>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Pour Le Maire et par délégation</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Signature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Aïcha GUEDJALI</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Conseillère Municipale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Déléguée à l’habitat insalubre et les nuisibles</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Date de transmission en Préfecture :</w:t>
      </w:r>
    </w:p>
    <w:p>
      <w:pPr>
        <w:pStyle w:val="Normal"/>
        <w:spacing w:before="120" w:after="0"/>
        <w:rPr>
          <w:color w:val="000000"/>
          <w:highlight w:val="none"/>
          <w:shd w:fill="FFFFFF" w:val="clear"/>
        </w:rPr>
      </w:pPr>
      <w:r>
        <w:rPr>
          <w:color w:val="000000"/>
          <w:shd w:fill="FFFFFF" w:val="clear"/>
        </w:rPr>
      </w:r>
    </w:p>
    <w:p>
      <w:pPr>
        <w:pStyle w:val="Titre1"/>
        <w:numPr>
          <w:ilvl w:val="0"/>
          <w:numId w:val="2"/>
        </w:numPr>
        <w:rPr>
          <w:color w:val="000000"/>
          <w:highlight w:val="none"/>
          <w:shd w:fill="FFFFFF" w:val="clear"/>
        </w:rPr>
      </w:pPr>
      <w:bookmarkStart w:id="18" w:name="_Toc3984"/>
      <w:r>
        <w:rPr>
          <w:color w:val="000000"/>
          <w:shd w:fill="FFFFFF" w:val="clear"/>
        </w:rPr>
        <w:t>NOTIFICATION DU MARCHE</w:t>
      </w:r>
      <w:bookmarkEnd w:id="18"/>
    </w:p>
    <w:p>
      <w:pPr>
        <w:pStyle w:val="Normal"/>
        <w:rPr>
          <w:color w:val="000000"/>
          <w:highlight w:val="none"/>
          <w:shd w:fill="FFFFFF" w:val="clear"/>
        </w:rPr>
      </w:pPr>
      <w:r>
        <w:rPr>
          <w:rFonts w:eastAsia="arial" w:cs="arial" w:ascii="arial" w:hAnsi="arial"/>
          <w:b w:val="false"/>
          <w:i w:val="false"/>
          <w:color w:val="000000"/>
          <w:sz w:val="20"/>
          <w:u w:val="none"/>
          <w:shd w:fill="FFFFFF" w:val="clear"/>
        </w:rPr>
        <w:t>En cas de remise contre récépissé, le titulaire signera la formule ci-dessous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"Reçu à titre de notification une copie du présent marché"</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A ........................................, le .......................................</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Signature du titulaire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En cas d'envoi en recommandé avec accusé de réception, l'avis de réception postal, daté et signé du titulaire sera annexé au présent document.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En cas de notification par voie électronique, indiquer la date et l'heure d'accusé de réception de la présente notification par le titulaire.</w:t>
      </w:r>
    </w:p>
    <w:p>
      <w:pPr>
        <w:pStyle w:val="Titre1"/>
        <w:numPr>
          <w:ilvl w:val="0"/>
          <w:numId w:val="2"/>
        </w:numPr>
        <w:rPr>
          <w:color w:val="000000"/>
          <w:highlight w:val="none"/>
          <w:shd w:fill="FFFFFF" w:val="clear"/>
        </w:rPr>
      </w:pPr>
      <w:bookmarkStart w:id="19" w:name="_Toc3985"/>
      <w:r>
        <w:rPr>
          <w:color w:val="000000"/>
          <w:shd w:fill="FFFFFF" w:val="clear"/>
        </w:rPr>
        <w:t>EXEMPLAIRE UNIQUE ET NANTISSEMENT OU CESSION DE CREANCE</w:t>
      </w:r>
      <w:bookmarkEnd w:id="19"/>
    </w:p>
    <w:p>
      <w:pPr>
        <w:pStyle w:val="Normal"/>
        <w:rPr>
          <w:color w:val="000000"/>
          <w:highlight w:val="none"/>
          <w:shd w:fill="FFFFFF" w:val="clear"/>
        </w:rPr>
      </w:pPr>
      <w:r>
        <w:rPr>
          <w:rFonts w:eastAsia="arial" w:cs="arial" w:ascii="arial" w:hAnsi="arial"/>
          <w:b w:val="false"/>
          <w:i w:val="false"/>
          <w:color w:val="000000"/>
          <w:sz w:val="20"/>
          <w:u w:val="none"/>
          <w:shd w:fill="FFFFFF" w:val="clear"/>
        </w:rPr>
        <w:t>CADRE POUR LA FORMULE DE NANTISSEMENT OU DE CESSION DE CREANCES</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Pouvoir adjudicateur : Mairie de Marseille</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(voir l'article 1.2)</w:t>
      </w:r>
    </w:p>
    <w:p>
      <w:pPr>
        <w:pStyle w:val="Normal"/>
        <w:rPr>
          <w:color w:val="000000"/>
          <w:highlight w:val="none"/>
          <w:shd w:fill="FFFFFF" w:val="clear"/>
        </w:rPr>
      </w:pPr>
      <w:r>
        <w:rPr>
          <w:color w:val="000000"/>
          <w:shd w:fill="FFFFFF" w:val="clear"/>
        </w:rPr>
      </w:r>
    </w:p>
    <w:p>
      <w:pPr>
        <w:pStyle w:val="Normal"/>
        <w:rPr>
          <w:color w:val="000000"/>
          <w:highlight w:val="none"/>
          <w:shd w:fill="FFFFFF" w:val="clear"/>
        </w:rPr>
      </w:pPr>
      <w:r>
        <w:rPr>
          <w:rFonts w:eastAsia="arial" w:cs="arial" w:ascii="arial" w:hAnsi="arial"/>
          <w:b w:val="false"/>
          <w:i w:val="false"/>
          <w:color w:val="000000"/>
          <w:sz w:val="20"/>
          <w:u w:val="none"/>
          <w:shd w:fill="FFFFFF" w:val="clear"/>
        </w:rPr>
        <w:t>Direction de la Santé Publique et de l’Inclusion</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Immeuble Communica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2, place François Mireur</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13233 Marseille Cedex 20</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A remplir par l'administration (pouvoir adjudicateur) en original sur une photocopie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Copie délivrée en unique exemplaire pour être remise à l'établissement de crédit ou au bénéficiaire de la cession ou du nantissement de droit commun en cas de cession ou de nantissement de créance de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La totalité du marché dont le montant est de (indiquer le montant en chiffres et en lettres)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La totalité du bon de commande n° .......... afférent au marché (indiquer le montant en chiffres et en lettres)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La partie des prestations que le titulaire n'envisage pas de confier à des sous traitants bénéficiant du paiement direct évaluée à (indiquer le montant en chiffres et en lettres)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et devant être exécutée par ....... en qualité de ..........</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A Marseille, le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Signature du représentant du pouvoir adjudicateur :</w:t>
      </w:r>
    </w:p>
    <w:p>
      <w:pPr>
        <w:pStyle w:val="Normal"/>
        <w:spacing w:before="120" w:after="0"/>
        <w:rPr>
          <w:color w:val="000000"/>
          <w:highlight w:val="none"/>
          <w:shd w:fill="FFFFFF" w:val="clear"/>
        </w:rPr>
      </w:pPr>
      <w:r>
        <w:rPr>
          <w:color w:val="000000"/>
          <w:shd w:fill="FFFFFF" w:val="clear"/>
        </w:rPr>
      </w:r>
    </w:p>
    <w:p>
      <w:pPr>
        <w:pStyle w:val="Normal"/>
        <w:spacing w:before="120" w:after="0"/>
        <w:rPr/>
      </w:pPr>
      <w:r>
        <w:rPr>
          <w:rFonts w:eastAsia="arial" w:cs="arial" w:ascii="arial" w:hAnsi="arial"/>
          <w:b w:val="false"/>
          <w:i w:val="false"/>
          <w:color w:val="000000"/>
          <w:sz w:val="20"/>
          <w:u w:val="none"/>
        </w:rPr>
        <w:t>..........</w:t>
      </w:r>
    </w:p>
    <w:p>
      <w:pPr>
        <w:pStyle w:val="Normal"/>
        <w:rPr/>
      </w:pPr>
      <w:r>
        <w:rPr/>
      </w:r>
    </w:p>
    <w:sectPr>
      <w:headerReference w:type="default" r:id="rId2"/>
      <w:headerReference w:type="first" r:id="rId3"/>
      <w:footerReference w:type="default" r:id="rId4"/>
      <w:footerReference w:type="first" r:id="rId5"/>
      <w:type w:val="nextPage"/>
      <w:pgSz w:w="12240" w:h="15840"/>
      <w:pgMar w:left="1803" w:right="1803" w:gutter="0" w:header="318" w:top="1440" w:footer="482" w:bottom="144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Gras">
    <w:charset w:val="00"/>
    <w:family w:val="roman"/>
    <w:pitch w:val="variable"/>
  </w:font>
  <w:font w:name="Calibri Light">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2" w:space="0" w:color="000001"/>
        <w:left w:val="single" w:sz="2" w:space="0" w:color="000001"/>
        <w:bottom w:val="single" w:sz="2" w:space="0" w:color="000001"/>
        <w:right w:val="single" w:sz="2" w:space="0" w:color="000001"/>
      </w:pBdr>
      <w:spacing w:before="120" w:after="0"/>
      <w:rPr/>
    </w:pPr>
    <w:r>
      <w:rPr>
        <w:color w:val="000000"/>
      </w:rPr>
      <w:t>AE_Désinsectisation des punaises de lit au sein des établissements municipaux.docx</w:t>
    </w:r>
    <w:r>
      <w:rPr/>
      <w:tab/>
      <w:tab/>
    </w:r>
    <w:r>
      <w:rPr/>
      <w:fldChar w:fldCharType="begin"/>
    </w:r>
    <w:r>
      <w:rPr/>
      <w:instrText> PAGE </w:instrText>
    </w:r>
    <w:r>
      <w:rPr/>
      <w:fldChar w:fldCharType="separate"/>
    </w:r>
    <w:r>
      <w:rPr/>
      <w:t>10</w:t>
    </w:r>
    <w:r>
      <w:rPr/>
      <w:fldChar w:fldCharType="end"/>
    </w:r>
    <w:r>
      <w:rPr/>
      <w:t>/</w:t>
    </w:r>
    <w:r>
      <w:rPr/>
      <w:fldChar w:fldCharType="begin"/>
    </w:r>
    <w:r>
      <w:rPr/>
      <w:instrText> NUMPAGES </w:instrText>
    </w:r>
    <w:r>
      <w:rPr/>
      <w:fldChar w:fldCharType="separate"/>
    </w:r>
    <w:r>
      <w:rPr/>
      <w:t>10</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0"/>
      <w:rPr/>
    </w:pPr>
    <w:r>
      <w:rPr>
        <w:rStyle w:val="Policepardfaut"/>
        <w:rFonts w:cs="Arial"/>
        <w:b w:val="false"/>
        <w:bCs w:val="false"/>
        <w:i/>
        <w:color w:val="000000"/>
        <w:sz w:val="18"/>
        <w:szCs w:val="18"/>
        <w:highlight w:val="white"/>
        <w:lang w:val="fr-FR"/>
      </w:rPr>
      <w:t>Acte d'engagement  consultation : 22_1142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3555" w:leader="none"/>
        <w:tab w:val="center" w:pos="4818" w:leader="none"/>
        <w:tab w:val="right" w:pos="9637" w:leader="none"/>
      </w:tabs>
      <w:spacing w:before="120" w:after="0"/>
      <w:jc w:val="center"/>
      <w:rPr/>
    </w:pPr>
    <w:r>
      <w:rPr/>
    </w:r>
  </w:p>
  <w:p>
    <w:pPr>
      <w:pStyle w:val="Entte"/>
      <w:tabs>
        <w:tab w:val="left" w:pos="3555" w:leader="none"/>
        <w:tab w:val="center" w:pos="4818" w:leader="none"/>
        <w:tab w:val="right" w:pos="9637" w:leader="none"/>
      </w:tabs>
      <w:jc w:val="center"/>
      <w:rPr/>
    </w:pPr>
    <w:r>
      <w:rPr/>
      <w:drawing>
        <wp:anchor behindDoc="1" distT="0" distB="0" distL="0" distR="0" simplePos="0" locked="0" layoutInCell="0" allowOverlap="1" relativeHeight="2">
          <wp:simplePos x="0" y="0"/>
          <wp:positionH relativeFrom="column">
            <wp:posOffset>1901190</wp:posOffset>
          </wp:positionH>
          <wp:positionV relativeFrom="paragraph">
            <wp:posOffset>85725</wp:posOffset>
          </wp:positionV>
          <wp:extent cx="1527810" cy="10045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pPr>
      <w:pStyle w:val="Entte"/>
      <w:tabs>
        <w:tab w:val="left" w:pos="3555" w:leader="none"/>
        <w:tab w:val="center" w:pos="4818" w:leader="none"/>
        <w:tab w:val="right" w:pos="9637" w:leader="none"/>
      </w:tabs>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decimal"/>
      <w:lvlText w:val="Article %1 - "/>
      <w:lvlJc w:val="left"/>
      <w:pPr>
        <w:tabs>
          <w:tab w:val="num" w:pos="0"/>
        </w:tabs>
        <w:ind w:left="0" w:firstLine="283"/>
      </w:pPr>
    </w:lvl>
    <w:lvl w:ilvl="1">
      <w:start w:val="1"/>
      <w:pStyle w:val="Titre2"/>
      <w:numFmt w:val="decimal"/>
      <w:lvlText w:val="%1.%2 "/>
      <w:lvlJc w:val="left"/>
      <w:pPr>
        <w:tabs>
          <w:tab w:val="num" w:pos="0"/>
        </w:tabs>
        <w:ind w:left="0" w:firstLine="283"/>
      </w:pPr>
    </w:lvl>
    <w:lvl w:ilvl="2">
      <w:start w:val="1"/>
      <w:pStyle w:val="Titre3"/>
      <w:numFmt w:val="decimal"/>
      <w:lvlText w:val="%1.%2.%3 "/>
      <w:lvlJc w:val="left"/>
      <w:pPr>
        <w:tabs>
          <w:tab w:val="num" w:pos="0"/>
        </w:tabs>
        <w:ind w:left="0" w:firstLine="283"/>
      </w:pPr>
    </w:lvl>
    <w:lvl w:ilvl="3">
      <w:start w:val="1"/>
      <w:pStyle w:val="Titre4"/>
      <w:numFmt w:val="decimal"/>
      <w:lvlText w:val="%1.%2.%3.%4 "/>
      <w:lvlJc w:val="left"/>
      <w:pPr>
        <w:tabs>
          <w:tab w:val="num" w:pos="0"/>
        </w:tabs>
        <w:ind w:left="0" w:firstLine="283"/>
      </w:pPr>
    </w:lvl>
    <w:lvl w:ilvl="4">
      <w:start w:val="1"/>
      <w:pStyle w:val="Titre5"/>
      <w:numFmt w:val="decimal"/>
      <w:lvlText w:val="%1.%2.%3.%4.%5 "/>
      <w:lvlJc w:val="left"/>
      <w:pPr>
        <w:tabs>
          <w:tab w:val="num" w:pos="0"/>
        </w:tabs>
        <w:ind w:left="0" w:firstLine="283"/>
      </w:pPr>
    </w:lvl>
    <w:lvl w:ilvl="5">
      <w:start w:val="1"/>
      <w:pStyle w:val="Titre6"/>
      <w:numFmt w:val="decimal"/>
      <w:lvlText w:val="%1.%2.%3.%4.%5.%6 "/>
      <w:lvlJc w:val="left"/>
      <w:pPr>
        <w:tabs>
          <w:tab w:val="num" w:pos="0"/>
        </w:tabs>
        <w:ind w:left="1152" w:hanging="1152"/>
      </w:pPr>
    </w:lvl>
    <w:lvl w:ilvl="6">
      <w:start w:val="1"/>
      <w:pStyle w:val="Titre7"/>
      <w:numFmt w:val="decimal"/>
      <w:lvlText w:val="%1.%2.%3.%4.%5.%6.%7"/>
      <w:lvlJc w:val="left"/>
      <w:pPr>
        <w:tabs>
          <w:tab w:val="num" w:pos="0"/>
        </w:tabs>
        <w:ind w:left="1296" w:hanging="1296"/>
      </w:pPr>
    </w:lvl>
    <w:lvl w:ilvl="7">
      <w:start w:val="1"/>
      <w:pStyle w:val="Titre8"/>
      <w:numFmt w:val="decimal"/>
      <w:lvlText w:val="%1.%2.%3.%4.%5.%6.%7.%8"/>
      <w:lvlJc w:val="left"/>
      <w:pPr>
        <w:tabs>
          <w:tab w:val="num" w:pos="0"/>
        </w:tabs>
        <w:ind w:left="1440" w:hanging="1440"/>
      </w:pPr>
    </w:lvl>
    <w:lvl w:ilvl="8">
      <w:start w:val="1"/>
      <w:pStyle w:val="Titre9"/>
      <w:numFmt w:val="decimal"/>
      <w:lvlText w:val="%1.%2.%3.%4.%5.%6.%7.%8.%9"/>
      <w:lvlJc w:val="left"/>
      <w:pPr>
        <w:tabs>
          <w:tab w:val="num" w:pos="0"/>
        </w:tabs>
        <w:ind w:left="1584" w:hanging="1584"/>
      </w:pPr>
    </w:lvl>
  </w:abstractNum>
  <w:abstractNum w:abstractNumId="2">
    <w:lvl w:ilvl="0">
      <w:start w:val="1"/>
      <w:numFmt w:val="decimal"/>
      <w:lvlText w:val="Article %1 - "/>
      <w:lvlJc w:val="left"/>
      <w:pPr>
        <w:tabs>
          <w:tab w:val="num" w:pos="0"/>
        </w:tabs>
        <w:ind w:left="0" w:firstLine="283"/>
      </w:pPr>
    </w:lvl>
    <w:lvl w:ilvl="1">
      <w:start w:val="1"/>
      <w:numFmt w:val="decimal"/>
      <w:lvlText w:val="%1.%2 "/>
      <w:lvlJc w:val="left"/>
      <w:pPr>
        <w:tabs>
          <w:tab w:val="num" w:pos="0"/>
        </w:tabs>
        <w:ind w:left="0" w:firstLine="283"/>
      </w:pPr>
    </w:lvl>
    <w:lvl w:ilvl="2">
      <w:start w:val="1"/>
      <w:numFmt w:val="decimal"/>
      <w:lvlText w:val="%1.%2.%3 "/>
      <w:lvlJc w:val="left"/>
      <w:pPr>
        <w:tabs>
          <w:tab w:val="num" w:pos="0"/>
        </w:tabs>
        <w:ind w:left="0" w:firstLine="283"/>
      </w:pPr>
    </w:lvl>
    <w:lvl w:ilvl="3">
      <w:start w:val="1"/>
      <w:numFmt w:val="decimal"/>
      <w:lvlText w:val="%1.%2.%3.%4 "/>
      <w:lvlJc w:val="left"/>
      <w:pPr>
        <w:tabs>
          <w:tab w:val="num" w:pos="0"/>
        </w:tabs>
        <w:ind w:left="0" w:firstLine="283"/>
      </w:pPr>
    </w:lvl>
    <w:lvl w:ilvl="4">
      <w:start w:val="1"/>
      <w:numFmt w:val="decimal"/>
      <w:lvlText w:val="%1.%2.%3.%4.%5 "/>
      <w:lvlJc w:val="left"/>
      <w:pPr>
        <w:tabs>
          <w:tab w:val="num" w:pos="0"/>
        </w:tabs>
        <w:ind w:left="0" w:firstLine="283"/>
      </w:pPr>
    </w:lvl>
    <w:lvl w:ilvl="5">
      <w:start w:val="1"/>
      <w:numFmt w:val="decimal"/>
      <w:lvlText w:val="%1.%2.%3.%4.%5.%6 "/>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fr-FR" w:eastAsia="ja-JP" w:bidi="fa-IR"/>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itre1">
    <w:name w:val="Heading 1"/>
    <w:basedOn w:val="Normal"/>
    <w:link w:val="792"/>
    <w:uiPriority w:val="9"/>
    <w:qFormat/>
    <w:pPr>
      <w:keepNext w:val="true"/>
      <w:widowControl w:val="false"/>
      <w:numPr>
        <w:ilvl w:val="0"/>
        <w:numId w:val="1"/>
      </w:numPr>
      <w:spacing w:before="360" w:after="0"/>
      <w:ind w:left="1701" w:hanging="1701"/>
      <w:jc w:val="left"/>
      <w:outlineLvl w:val="0"/>
    </w:pPr>
    <w:rPr>
      <w:rFonts w:ascii="Times New Roman" w:hAnsi="Times New Roman" w:eastAsia="Andale Sans UI" w:cs="Tahoma"/>
      <w:b/>
      <w:color w:val="666699"/>
      <w:sz w:val="28"/>
      <w:szCs w:val="36"/>
      <w:lang w:val="fr-FR" w:eastAsia="ja-JP" w:bidi="fa-IR"/>
    </w:rPr>
  </w:style>
  <w:style w:type="paragraph" w:styleId="Titre2">
    <w:name w:val="Heading 2"/>
    <w:basedOn w:val="Normal"/>
    <w:link w:val="793"/>
    <w:uiPriority w:val="9"/>
    <w:unhideWhenUsed/>
    <w:qFormat/>
    <w:pPr>
      <w:keepNext w:val="true"/>
      <w:widowControl w:val="false"/>
      <w:numPr>
        <w:ilvl w:val="1"/>
        <w:numId w:val="1"/>
      </w:numPr>
      <w:spacing w:before="240" w:after="240"/>
      <w:ind w:left="1701" w:hanging="1701"/>
      <w:jc w:val="left"/>
      <w:outlineLvl w:val="1"/>
    </w:pPr>
    <w:rPr>
      <w:rFonts w:ascii="Times New Roman" w:hAnsi="Times New Roman" w:eastAsia="Andale Sans UI" w:cs="Tahoma"/>
      <w:b/>
      <w:bCs/>
      <w:iCs/>
      <w:color w:val="666699"/>
      <w:sz w:val="22"/>
      <w:szCs w:val="28"/>
      <w:u w:val="single"/>
      <w:lang w:val="fr-FR" w:eastAsia="ja-JP" w:bidi="fa-IR"/>
    </w:rPr>
  </w:style>
  <w:style w:type="paragraph" w:styleId="Titre3">
    <w:name w:val="Heading 3"/>
    <w:basedOn w:val="Normal"/>
    <w:link w:val="794"/>
    <w:uiPriority w:val="9"/>
    <w:unhideWhenUsed/>
    <w:qFormat/>
    <w:pPr>
      <w:keepNext w:val="true"/>
      <w:widowControl w:val="false"/>
      <w:numPr>
        <w:ilvl w:val="2"/>
        <w:numId w:val="1"/>
      </w:numPr>
      <w:spacing w:before="240" w:after="0"/>
      <w:ind w:left="1701" w:hanging="1701"/>
      <w:jc w:val="left"/>
      <w:outlineLvl w:val="2"/>
    </w:pPr>
    <w:rPr>
      <w:rFonts w:ascii="Times New Roman" w:hAnsi="Times New Roman" w:eastAsia="Andale Sans UI" w:cs="Tahoma"/>
      <w:bCs/>
      <w:color w:val="666699"/>
      <w:sz w:val="26"/>
      <w:szCs w:val="26"/>
      <w:u w:val="single"/>
      <w:lang w:val="fr-FR" w:eastAsia="ja-JP" w:bidi="fa-IR"/>
    </w:rPr>
  </w:style>
  <w:style w:type="paragraph" w:styleId="Titre4">
    <w:name w:val="Heading 4"/>
    <w:basedOn w:val="Normal"/>
    <w:link w:val="795"/>
    <w:uiPriority w:val="9"/>
    <w:semiHidden/>
    <w:unhideWhenUsed/>
    <w:qFormat/>
    <w:pPr>
      <w:keepNext w:val="true"/>
      <w:keepLines/>
      <w:widowControl w:val="false"/>
      <w:numPr>
        <w:ilvl w:val="3"/>
        <w:numId w:val="1"/>
      </w:numPr>
      <w:spacing w:before="240" w:after="0"/>
      <w:ind w:left="1701" w:hanging="1701"/>
      <w:jc w:val="left"/>
      <w:outlineLvl w:val="3"/>
    </w:pPr>
    <w:rPr>
      <w:rFonts w:ascii="Times New Roman" w:hAnsi="Times New Roman" w:eastAsia="Andale Sans UI" w:cs="Tahoma"/>
      <w:bCs/>
      <w:iCs/>
      <w:color w:val="666699"/>
      <w:sz w:val="20"/>
      <w:szCs w:val="24"/>
      <w:lang w:val="fr-FR" w:eastAsia="ja-JP" w:bidi="fa-IR"/>
    </w:rPr>
  </w:style>
  <w:style w:type="paragraph" w:styleId="Titre5">
    <w:name w:val="Heading 5"/>
    <w:basedOn w:val="Normal"/>
    <w:link w:val="796"/>
    <w:uiPriority w:val="9"/>
    <w:semiHidden/>
    <w:unhideWhenUsed/>
    <w:qFormat/>
    <w:pPr>
      <w:keepNext w:val="true"/>
      <w:keepLines/>
      <w:widowControl w:val="false"/>
      <w:numPr>
        <w:ilvl w:val="4"/>
        <w:numId w:val="1"/>
      </w:numPr>
      <w:spacing w:before="283" w:after="57"/>
      <w:jc w:val="left"/>
      <w:outlineLvl w:val="4"/>
    </w:pPr>
    <w:rPr>
      <w:rFonts w:ascii="Times New Roman" w:hAnsi="Times New Roman" w:eastAsia="Andale Sans UI" w:cs="Tahoma"/>
      <w:b/>
      <w:bCs/>
      <w:color w:val="00000A"/>
      <w:sz w:val="22"/>
      <w:szCs w:val="24"/>
      <w:lang w:val="fr-FR" w:eastAsia="ja-JP" w:bidi="fa-IR"/>
    </w:rPr>
  </w:style>
  <w:style w:type="paragraph" w:styleId="Titre6">
    <w:name w:val="Heading 6"/>
    <w:basedOn w:val="Titre"/>
    <w:link w:val="797"/>
    <w:uiPriority w:val="9"/>
    <w:semiHidden/>
    <w:unhideWhenUsed/>
    <w:qFormat/>
    <w:pPr>
      <w:numPr>
        <w:ilvl w:val="5"/>
        <w:numId w:val="1"/>
      </w:numPr>
      <w:spacing w:before="283" w:after="283"/>
      <w:jc w:val="both"/>
      <w:outlineLvl w:val="5"/>
    </w:pPr>
    <w:rPr>
      <w:bCs/>
      <w:sz w:val="22"/>
    </w:rPr>
  </w:style>
  <w:style w:type="paragraph" w:styleId="Titre7">
    <w:name w:val="Heading 7"/>
    <w:basedOn w:val="Titre"/>
    <w:link w:val="798"/>
    <w:qFormat/>
    <w:pPr>
      <w:numPr>
        <w:ilvl w:val="6"/>
        <w:numId w:val="1"/>
      </w:numPr>
      <w:spacing w:before="283" w:after="57"/>
      <w:jc w:val="both"/>
      <w:outlineLvl w:val="6"/>
    </w:pPr>
    <w:rPr>
      <w:bCs/>
      <w:sz w:val="22"/>
    </w:rPr>
  </w:style>
  <w:style w:type="paragraph" w:styleId="Titre8">
    <w:name w:val="Heading 8"/>
    <w:basedOn w:val="Titre"/>
    <w:link w:val="799"/>
    <w:qFormat/>
    <w:pPr>
      <w:numPr>
        <w:ilvl w:val="7"/>
        <w:numId w:val="1"/>
      </w:numPr>
      <w:spacing w:before="283" w:after="57"/>
      <w:jc w:val="both"/>
      <w:outlineLvl w:val="7"/>
    </w:pPr>
    <w:rPr>
      <w:bCs/>
      <w:sz w:val="21"/>
    </w:rPr>
  </w:style>
  <w:style w:type="paragraph" w:styleId="Titre9">
    <w:name w:val="Heading 9"/>
    <w:basedOn w:val="Titre"/>
    <w:link w:val="800"/>
    <w:qFormat/>
    <w:pPr>
      <w:numPr>
        <w:ilvl w:val="8"/>
        <w:numId w:val="1"/>
      </w:numPr>
      <w:spacing w:before="283" w:after="57"/>
      <w:jc w:val="both"/>
      <w:outlineLvl w:val="8"/>
    </w:pPr>
    <w:rPr>
      <w:bCs/>
      <w:sz w:val="21"/>
    </w:rPr>
  </w:style>
  <w:style w:type="character" w:styleId="Heading1Char">
    <w:name w:val="Heading 1 Char"/>
    <w:basedOn w:val="DefaultParagraphFont"/>
    <w:link w:val="782"/>
    <w:uiPriority w:val="9"/>
    <w:qFormat/>
    <w:rPr>
      <w:rFonts w:ascii="Arial" w:hAnsi="Arial" w:eastAsia="Arial" w:cs="Arial"/>
      <w:sz w:val="40"/>
      <w:szCs w:val="40"/>
    </w:rPr>
  </w:style>
  <w:style w:type="character" w:styleId="Heading2Char">
    <w:name w:val="Heading 2 Char"/>
    <w:basedOn w:val="DefaultParagraphFont"/>
    <w:link w:val="783"/>
    <w:uiPriority w:val="9"/>
    <w:qFormat/>
    <w:rPr>
      <w:rFonts w:ascii="Arial" w:hAnsi="Arial" w:eastAsia="Arial" w:cs="Arial"/>
      <w:sz w:val="34"/>
    </w:rPr>
  </w:style>
  <w:style w:type="character" w:styleId="Heading3Char">
    <w:name w:val="Heading 3 Char"/>
    <w:basedOn w:val="DefaultParagraphFont"/>
    <w:link w:val="784"/>
    <w:uiPriority w:val="9"/>
    <w:qFormat/>
    <w:rPr>
      <w:rFonts w:ascii="Arial" w:hAnsi="Arial" w:eastAsia="Arial" w:cs="Arial"/>
      <w:sz w:val="30"/>
      <w:szCs w:val="30"/>
    </w:rPr>
  </w:style>
  <w:style w:type="character" w:styleId="Heading4Char">
    <w:name w:val="Heading 4 Char"/>
    <w:basedOn w:val="DefaultParagraphFont"/>
    <w:link w:val="785"/>
    <w:uiPriority w:val="9"/>
    <w:qFormat/>
    <w:rPr>
      <w:rFonts w:ascii="Arial" w:hAnsi="Arial" w:eastAsia="Arial" w:cs="Arial"/>
      <w:b/>
      <w:bCs/>
      <w:sz w:val="26"/>
      <w:szCs w:val="26"/>
    </w:rPr>
  </w:style>
  <w:style w:type="character" w:styleId="Heading5Char">
    <w:name w:val="Heading 5 Char"/>
    <w:basedOn w:val="DefaultParagraphFont"/>
    <w:link w:val="786"/>
    <w:uiPriority w:val="9"/>
    <w:qFormat/>
    <w:rPr>
      <w:rFonts w:ascii="Arial" w:hAnsi="Arial" w:eastAsia="Arial" w:cs="Arial"/>
      <w:b/>
      <w:bCs/>
      <w:sz w:val="24"/>
      <w:szCs w:val="24"/>
    </w:rPr>
  </w:style>
  <w:style w:type="character" w:styleId="Heading6Char">
    <w:name w:val="Heading 6 Char"/>
    <w:basedOn w:val="DefaultParagraphFont"/>
    <w:link w:val="787"/>
    <w:uiPriority w:val="9"/>
    <w:qFormat/>
    <w:rPr>
      <w:rFonts w:ascii="Arial" w:hAnsi="Arial" w:eastAsia="Arial" w:cs="Arial"/>
      <w:b/>
      <w:bCs/>
      <w:sz w:val="22"/>
      <w:szCs w:val="22"/>
    </w:rPr>
  </w:style>
  <w:style w:type="character" w:styleId="Heading7Char">
    <w:name w:val="Heading 7 Char"/>
    <w:basedOn w:val="DefaultParagraphFont"/>
    <w:link w:val="788"/>
    <w:uiPriority w:val="9"/>
    <w:qFormat/>
    <w:rPr>
      <w:rFonts w:ascii="Arial" w:hAnsi="Arial" w:eastAsia="Arial" w:cs="Arial"/>
      <w:b/>
      <w:bCs/>
      <w:i/>
      <w:iCs/>
      <w:sz w:val="22"/>
      <w:szCs w:val="22"/>
    </w:rPr>
  </w:style>
  <w:style w:type="character" w:styleId="Heading8Char">
    <w:name w:val="Heading 8 Char"/>
    <w:basedOn w:val="DefaultParagraphFont"/>
    <w:link w:val="789"/>
    <w:uiPriority w:val="9"/>
    <w:qFormat/>
    <w:rPr>
      <w:rFonts w:ascii="Arial" w:hAnsi="Arial" w:eastAsia="Arial" w:cs="Arial"/>
      <w:i/>
      <w:iCs/>
      <w:sz w:val="22"/>
      <w:szCs w:val="22"/>
    </w:rPr>
  </w:style>
  <w:style w:type="character" w:styleId="Heading9Char">
    <w:name w:val="Heading 9 Char"/>
    <w:basedOn w:val="DefaultParagraphFont"/>
    <w:link w:val="790"/>
    <w:uiPriority w:val="9"/>
    <w:qFormat/>
    <w:rPr>
      <w:rFonts w:ascii="Arial" w:hAnsi="Arial" w:eastAsia="Arial" w:cs="Arial"/>
      <w:i/>
      <w:iCs/>
      <w:sz w:val="21"/>
      <w:szCs w:val="21"/>
    </w:rPr>
  </w:style>
  <w:style w:type="character" w:styleId="TitleChar">
    <w:name w:val="Title Char"/>
    <w:basedOn w:val="DefaultParagraphFont"/>
    <w:link w:val="825"/>
    <w:uiPriority w:val="10"/>
    <w:qFormat/>
    <w:rPr>
      <w:sz w:val="48"/>
      <w:szCs w:val="48"/>
    </w:rPr>
  </w:style>
  <w:style w:type="character" w:styleId="SubtitleChar">
    <w:name w:val="Subtitle Char"/>
    <w:basedOn w:val="DefaultParagraphFont"/>
    <w:link w:val="826"/>
    <w:uiPriority w:val="11"/>
    <w:qFormat/>
    <w:rPr>
      <w:sz w:val="24"/>
      <w:szCs w:val="24"/>
    </w:rPr>
  </w:style>
  <w:style w:type="character" w:styleId="QuoteChar">
    <w:name w:val="Quote Char"/>
    <w:link w:val="827"/>
    <w:uiPriority w:val="29"/>
    <w:qFormat/>
    <w:rPr>
      <w:i/>
    </w:rPr>
  </w:style>
  <w:style w:type="character" w:styleId="IntenseQuoteChar">
    <w:name w:val="Intense Quote Char"/>
    <w:link w:val="828"/>
    <w:uiPriority w:val="30"/>
    <w:qFormat/>
    <w:rPr>
      <w:i/>
    </w:rPr>
  </w:style>
  <w:style w:type="character" w:styleId="HeaderChar">
    <w:name w:val="Header Char"/>
    <w:basedOn w:val="DefaultParagraphFont"/>
    <w:link w:val="843"/>
    <w:uiPriority w:val="99"/>
    <w:qFormat/>
    <w:rPr/>
  </w:style>
  <w:style w:type="character" w:styleId="CaptionChar">
    <w:name w:val="Caption Char"/>
    <w:link w:val="851"/>
    <w:uiPriority w:val="99"/>
    <w:qFormat/>
    <w:rPr/>
  </w:style>
  <w:style w:type="character" w:styleId="LienInternet">
    <w:name w:val="Lien Internet"/>
    <w:basedOn w:val="DefaultParagraphFont"/>
    <w:uiPriority w:val="99"/>
    <w:unhideWhenUsed/>
    <w:rPr>
      <w:color w:val="0563C1" w:themeColor="hyperlink"/>
      <w:u w:val="single"/>
    </w:rPr>
  </w:style>
  <w:style w:type="character" w:styleId="FootnoteTextChar">
    <w:name w:val="Footnote Text Char"/>
    <w:link w:val="829"/>
    <w:uiPriority w:val="99"/>
    <w:qFormat/>
    <w:rPr>
      <w:sz w:val="18"/>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unhideWhenUsed/>
    <w:qFormat/>
    <w:rPr>
      <w:vertAlign w:val="superscript"/>
    </w:rPr>
  </w:style>
  <w:style w:type="character" w:styleId="EndnoteTextChar">
    <w:name w:val="Endnote Text Char"/>
    <w:link w:val="830"/>
    <w:uiPriority w:val="99"/>
    <w:qFormat/>
    <w:rPr>
      <w:sz w:val="20"/>
    </w:rPr>
  </w:style>
  <w:style w:type="character" w:styleId="Ancredenotedefin">
    <w:name w:val="Ancre de note de fin"/>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782"/>
    <w:uiPriority w:val="9"/>
    <w:qFormat/>
    <w:rPr>
      <w:rFonts w:ascii="Arial" w:hAnsi="Arial" w:eastAsia="Arial" w:cs="Arial"/>
      <w:sz w:val="40"/>
      <w:szCs w:val="40"/>
    </w:rPr>
  </w:style>
  <w:style w:type="character" w:styleId="Titre2Car" w:customStyle="1">
    <w:name w:val="Titre 2 Car"/>
    <w:basedOn w:val="DefaultParagraphFont"/>
    <w:link w:val="783"/>
    <w:uiPriority w:val="9"/>
    <w:qFormat/>
    <w:rPr>
      <w:rFonts w:ascii="Arial" w:hAnsi="Arial"/>
      <w:b/>
      <w:bCs/>
      <w:iCs/>
      <w:color w:val="666699"/>
      <w:sz w:val="22"/>
      <w:szCs w:val="28"/>
      <w:u w:val="single"/>
    </w:rPr>
  </w:style>
  <w:style w:type="character" w:styleId="Titre3Car" w:customStyle="1">
    <w:name w:val="Titre 3 Car"/>
    <w:basedOn w:val="DefaultParagraphFont"/>
    <w:link w:val="784"/>
    <w:uiPriority w:val="9"/>
    <w:qFormat/>
    <w:rPr>
      <w:rFonts w:ascii="Arial" w:hAnsi="Arial" w:eastAsia="Arial" w:cs="Arial"/>
      <w:sz w:val="30"/>
      <w:szCs w:val="30"/>
    </w:rPr>
  </w:style>
  <w:style w:type="character" w:styleId="Titre4Car" w:customStyle="1">
    <w:name w:val="Titre 4 Car"/>
    <w:basedOn w:val="DefaultParagraphFont"/>
    <w:link w:val="785"/>
    <w:uiPriority w:val="9"/>
    <w:qFormat/>
    <w:rPr>
      <w:rFonts w:ascii="Arial" w:hAnsi="Arial" w:eastAsia="Arial" w:cs="Arial"/>
      <w:b/>
      <w:bCs/>
      <w:sz w:val="26"/>
      <w:szCs w:val="26"/>
    </w:rPr>
  </w:style>
  <w:style w:type="character" w:styleId="Titre5Car" w:customStyle="1">
    <w:name w:val="Titre 5 Car"/>
    <w:basedOn w:val="DefaultParagraphFont"/>
    <w:link w:val="786"/>
    <w:uiPriority w:val="9"/>
    <w:qFormat/>
    <w:rPr>
      <w:rFonts w:ascii="Arial" w:hAnsi="Arial" w:eastAsia="Arial" w:cs="Arial"/>
      <w:b/>
      <w:bCs/>
      <w:sz w:val="24"/>
      <w:szCs w:val="24"/>
    </w:rPr>
  </w:style>
  <w:style w:type="character" w:styleId="Titre6Car" w:customStyle="1">
    <w:name w:val="Titre 6 Car"/>
    <w:basedOn w:val="DefaultParagraphFont"/>
    <w:link w:val="787"/>
    <w:uiPriority w:val="9"/>
    <w:qFormat/>
    <w:rPr>
      <w:rFonts w:ascii="Arial" w:hAnsi="Arial" w:eastAsia="Arial" w:cs="Arial"/>
      <w:b/>
      <w:bCs/>
      <w:sz w:val="22"/>
      <w:szCs w:val="22"/>
    </w:rPr>
  </w:style>
  <w:style w:type="character" w:styleId="Titre7Car" w:customStyle="1">
    <w:name w:val="Titre 7 Car"/>
    <w:basedOn w:val="DefaultParagraphFont"/>
    <w:link w:val="788"/>
    <w:uiPriority w:val="9"/>
    <w:qFormat/>
    <w:rPr>
      <w:rFonts w:ascii="Arial" w:hAnsi="Arial" w:eastAsia="Arial" w:cs="Arial"/>
      <w:b/>
      <w:bCs/>
      <w:i/>
      <w:iCs/>
      <w:sz w:val="22"/>
      <w:szCs w:val="22"/>
    </w:rPr>
  </w:style>
  <w:style w:type="character" w:styleId="Titre8Car" w:customStyle="1">
    <w:name w:val="Titre 8 Car"/>
    <w:basedOn w:val="DefaultParagraphFont"/>
    <w:link w:val="789"/>
    <w:uiPriority w:val="9"/>
    <w:qFormat/>
    <w:rPr>
      <w:rFonts w:ascii="Arial" w:hAnsi="Arial" w:eastAsia="Arial" w:cs="Arial"/>
      <w:i/>
      <w:iCs/>
      <w:sz w:val="22"/>
      <w:szCs w:val="22"/>
    </w:rPr>
  </w:style>
  <w:style w:type="character" w:styleId="Titre9Car" w:customStyle="1">
    <w:name w:val="Titre 9 Car"/>
    <w:basedOn w:val="DefaultParagraphFont"/>
    <w:link w:val="790"/>
    <w:uiPriority w:val="9"/>
    <w:qFormat/>
    <w:rPr>
      <w:rFonts w:ascii="Arial" w:hAnsi="Arial" w:eastAsia="Arial" w:cs="Arial"/>
      <w:i/>
      <w:iCs/>
      <w:sz w:val="21"/>
      <w:szCs w:val="21"/>
    </w:rPr>
  </w:style>
  <w:style w:type="character" w:styleId="TitreCar" w:customStyle="1">
    <w:name w:val="Titre Car"/>
    <w:basedOn w:val="DefaultParagraphFont"/>
    <w:link w:val="818"/>
    <w:uiPriority w:val="10"/>
    <w:qFormat/>
    <w:rPr>
      <w:sz w:val="48"/>
      <w:szCs w:val="48"/>
    </w:rPr>
  </w:style>
  <w:style w:type="character" w:styleId="SoustitreCar" w:customStyle="1">
    <w:name w:val="Sous-titre Car"/>
    <w:basedOn w:val="DefaultParagraphFont"/>
    <w:uiPriority w:val="11"/>
    <w:qFormat/>
    <w:rPr>
      <w:sz w:val="24"/>
      <w:szCs w:val="24"/>
    </w:rPr>
  </w:style>
  <w:style w:type="character" w:styleId="CitationCar" w:customStyle="1">
    <w:name w:val="Citation Car"/>
    <w:uiPriority w:val="29"/>
    <w:qFormat/>
    <w:rPr>
      <w:i/>
    </w:rPr>
  </w:style>
  <w:style w:type="character" w:styleId="CitationintenseCar" w:customStyle="1">
    <w:name w:val="Citation intense Car"/>
    <w:uiPriority w:val="30"/>
    <w:qFormat/>
    <w:rPr>
      <w:i/>
    </w:rPr>
  </w:style>
  <w:style w:type="character" w:styleId="EntteCar" w:customStyle="1">
    <w:name w:val="En-tête Car"/>
    <w:basedOn w:val="DefaultParagraphFont"/>
    <w:uiPriority w:val="99"/>
    <w:qFormat/>
    <w:rPr/>
  </w:style>
  <w:style w:type="character" w:styleId="FooterChar" w:customStyle="1">
    <w:name w:val="Footer Char"/>
    <w:basedOn w:val="DefaultParagraphFont"/>
    <w:uiPriority w:val="99"/>
    <w:qFormat/>
    <w:rPr/>
  </w:style>
  <w:style w:type="character" w:styleId="PieddepageCar" w:customStyle="1">
    <w:name w:val="Pied de page Car"/>
    <w:link w:val="851"/>
    <w:uiPriority w:val="99"/>
    <w:qFormat/>
    <w:rPr/>
  </w:style>
  <w:style w:type="character" w:styleId="NotedebasdepageCar" w:customStyle="1">
    <w:name w:val="Note de bas de page Car"/>
    <w:link w:val="829"/>
    <w:uiPriority w:val="99"/>
    <w:qFormat/>
    <w:rPr>
      <w:sz w:val="18"/>
    </w:rPr>
  </w:style>
  <w:style w:type="character" w:styleId="NotedefinCar" w:customStyle="1">
    <w:name w:val="Note de fin Car"/>
    <w:link w:val="830"/>
    <w:uiPriority w:val="99"/>
    <w:qFormat/>
    <w:rPr>
      <w:sz w:val="20"/>
    </w:rPr>
  </w:style>
  <w:style w:type="character" w:styleId="Caractresdenumrotation">
    <w:name w:val="Caractères de numérotation"/>
    <w:qFormat/>
    <w:rPr/>
  </w:style>
  <w:style w:type="character" w:styleId="StandardCar" w:customStyle="1">
    <w:name w:val="Standard Car"/>
    <w:basedOn w:val="DefaultParagraphFont"/>
    <w:link w:val="837"/>
    <w:qFormat/>
    <w:rPr>
      <w:rFonts w:ascii="Arial" w:hAnsi="Arial"/>
      <w:sz w:val="20"/>
    </w:rPr>
  </w:style>
  <w:style w:type="character" w:styleId="Policepardfaut">
    <w:name w:val="Police par défaut"/>
    <w:qFormat/>
    <w:rPr/>
  </w:style>
  <w:style w:type="paragraph" w:styleId="Titre" w:customStyle="1">
    <w:name w:val="Titre"/>
    <w:basedOn w:val="Normal"/>
    <w:next w:val="Corpsdetexte"/>
    <w:qFormat/>
    <w:pPr>
      <w:keepNext w:val="true"/>
      <w:widowControl w:val="false"/>
      <w:pBdr>
        <w:top w:val="single" w:sz="18" w:space="1" w:color="666666"/>
        <w:left w:val="single" w:sz="18" w:space="1" w:color="666666"/>
        <w:bottom w:val="single" w:sz="18" w:space="1" w:color="666666"/>
        <w:right w:val="single" w:sz="18" w:space="1" w:color="666666"/>
      </w:pBdr>
      <w:spacing w:before="567" w:after="567"/>
      <w:jc w:val="center"/>
    </w:pPr>
    <w:rPr>
      <w:rFonts w:ascii="Times New Roman" w:hAnsi="Times New Roman" w:eastAsia="Andale Sans UI" w:cs="Tahoma"/>
      <w:b/>
      <w:color w:val="00000A"/>
      <w:sz w:val="32"/>
      <w:szCs w:val="28"/>
      <w:lang w:val="fr-FR" w:eastAsia="ja-JP" w:bidi="fa-IR"/>
    </w:rPr>
  </w:style>
  <w:style w:type="paragraph" w:styleId="Corpsdetexte">
    <w:name w:val="Body Text"/>
    <w:basedOn w:val="Normal"/>
    <w:pPr>
      <w:spacing w:lineRule="auto" w:line="288" w:before="0" w:after="140"/>
    </w:pPr>
    <w:rPr/>
  </w:style>
  <w:style w:type="paragraph" w:styleId="Liste">
    <w:name w:val="List"/>
    <w:basedOn w:val="Normal"/>
    <w:pPr>
      <w:widowControl w:val="false"/>
      <w:jc w:val="left"/>
    </w:pPr>
    <w:rPr>
      <w:rFonts w:ascii="Times New Roman" w:hAnsi="Times New Roman" w:eastAsia="Andale Sans UI" w:cs="Tahoma"/>
      <w:color w:val="00000A"/>
      <w:sz w:val="20"/>
      <w:szCs w:val="24"/>
      <w:lang w:val="fr-FR" w:eastAsia="ja-JP" w:bidi="fa-IR"/>
    </w:rPr>
  </w:style>
  <w:style w:type="paragraph" w:styleId="Lgende">
    <w:name w:val="Caption"/>
    <w:basedOn w:val="Standard"/>
    <w:qFormat/>
    <w:pPr>
      <w:spacing w:before="120" w:after="120"/>
    </w:pPr>
    <w:rPr>
      <w:i/>
      <w:iCs/>
    </w:rPr>
  </w:style>
  <w:style w:type="paragraph" w:styleId="Index" w:customStyle="1">
    <w:name w:val="Index"/>
    <w:basedOn w:val="Normal"/>
    <w:qFormat/>
    <w:pPr>
      <w:widowControl w:val="false"/>
      <w:jc w:val="left"/>
    </w:pPr>
    <w:rPr>
      <w:rFonts w:ascii="Times New Roman" w:hAnsi="Times New Roman" w:eastAsia="Andale Sans UI" w:cs="Tahoma"/>
      <w:color w:val="00000A"/>
      <w:sz w:val="20"/>
      <w:szCs w:val="24"/>
      <w:lang w:val="fr-FR" w:eastAsia="ja-JP" w:bidi="fa-IR"/>
    </w:rPr>
  </w:style>
  <w:style w:type="paragraph" w:styleId="Tableoffigures">
    <w:name w:val="table of figures"/>
    <w:basedOn w:val="Normal"/>
    <w:uiPriority w:val="99"/>
    <w:unhideWhenUsed/>
    <w:qFormat/>
    <w:pPr>
      <w:spacing w:before="0" w:afterAutospacing="0" w:after="0"/>
    </w:pPr>
    <w:rPr/>
  </w:style>
  <w:style w:type="paragraph" w:styleId="ListParagraph">
    <w:name w:val="List Paragraph"/>
    <w:basedOn w:val="Normal"/>
    <w:uiPriority w:val="34"/>
    <w:qFormat/>
    <w:pPr>
      <w:spacing w:before="120" w:after="0"/>
      <w:ind w:left="720" w:hanging="0"/>
      <w:contextualSpacing/>
    </w:pPr>
    <w:rPr/>
  </w:style>
  <w:style w:type="paragraph" w:styleId="NoSpacing">
    <w:name w:val="No Spacing"/>
    <w:uiPriority w:val="1"/>
    <w:qFormat/>
    <w:pPr>
      <w:widowControl/>
      <w:suppressAutoHyphens w:val="true"/>
      <w:bidi w:val="0"/>
      <w:spacing w:before="0" w:after="0"/>
      <w:jc w:val="left"/>
    </w:pPr>
    <w:rPr>
      <w:rFonts w:ascii="Times New Roman" w:hAnsi="Times New Roman" w:eastAsia="Andale Sans UI" w:cs="Tahoma"/>
      <w:color w:val="00000A"/>
      <w:kern w:val="0"/>
      <w:sz w:val="20"/>
      <w:szCs w:val="24"/>
      <w:lang w:val="fr-FR" w:eastAsia="ja-JP" w:bidi="fa-IR"/>
    </w:rPr>
  </w:style>
  <w:style w:type="paragraph" w:styleId="Titreprincipal">
    <w:name w:val="Title"/>
    <w:basedOn w:val="Normal"/>
    <w:link w:val="801"/>
    <w:uiPriority w:val="10"/>
    <w:qFormat/>
    <w:pPr>
      <w:spacing w:before="300" w:after="200"/>
      <w:contextualSpacing/>
    </w:pPr>
    <w:rPr>
      <w:sz w:val="48"/>
      <w:szCs w:val="48"/>
    </w:rPr>
  </w:style>
  <w:style w:type="paragraph" w:styleId="Soustitre">
    <w:name w:val="Subtitle"/>
    <w:basedOn w:val="Normal"/>
    <w:uiPriority w:val="11"/>
    <w:qFormat/>
    <w:pPr>
      <w:spacing w:before="200" w:after="200"/>
    </w:pPr>
    <w:rPr>
      <w:sz w:val="24"/>
    </w:rPr>
  </w:style>
  <w:style w:type="paragraph" w:styleId="Quote">
    <w:name w:val="Quote"/>
    <w:basedOn w:val="Normal"/>
    <w:link w:val="803"/>
    <w:uiPriority w:val="29"/>
    <w:qFormat/>
    <w:pPr>
      <w:ind w:left="720" w:right="720" w:hanging="0"/>
    </w:pPr>
    <w:rPr>
      <w:i/>
    </w:rPr>
  </w:style>
  <w:style w:type="paragraph" w:styleId="IntenseQuote">
    <w:name w:val="Intense Quote"/>
    <w:basedOn w:val="Normal"/>
    <w:link w:val="804"/>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hanging="0"/>
    </w:pPr>
    <w:rPr>
      <w:i/>
    </w:rPr>
  </w:style>
  <w:style w:type="paragraph" w:styleId="Notedebasdepage">
    <w:name w:val="Footnote Text"/>
    <w:basedOn w:val="Normal"/>
    <w:link w:val="808"/>
    <w:uiPriority w:val="99"/>
    <w:semiHidden/>
    <w:unhideWhenUsed/>
    <w:qFormat/>
    <w:pPr>
      <w:spacing w:before="120" w:after="40"/>
    </w:pPr>
    <w:rPr>
      <w:sz w:val="18"/>
    </w:rPr>
  </w:style>
  <w:style w:type="paragraph" w:styleId="Notedefin">
    <w:name w:val="Endnote Text"/>
    <w:basedOn w:val="Normal"/>
    <w:link w:val="811"/>
    <w:uiPriority w:val="99"/>
    <w:semiHidden/>
    <w:unhideWhenUsed/>
    <w:qFormat/>
    <w:pPr/>
    <w:rPr/>
  </w:style>
  <w:style w:type="paragraph" w:styleId="Tabledesmatiresniveau4">
    <w:name w:val="TOC 4"/>
    <w:basedOn w:val="Normal"/>
    <w:pPr>
      <w:widowControl/>
      <w:tabs>
        <w:tab w:val="clear" w:pos="706"/>
        <w:tab w:val="right" w:pos="9128" w:leader="dot"/>
      </w:tabs>
      <w:ind w:left="709" w:hanging="0"/>
      <w:jc w:val="left"/>
    </w:pPr>
    <w:rPr>
      <w:sz w:val="16"/>
    </w:rPr>
  </w:style>
  <w:style w:type="paragraph" w:styleId="Tabledesmatiresniveau5">
    <w:name w:val="TOC 5"/>
    <w:basedOn w:val="Normal"/>
    <w:pPr>
      <w:widowControl/>
      <w:tabs>
        <w:tab w:val="clear" w:pos="706"/>
        <w:tab w:val="right" w:pos="9015" w:leader="dot"/>
      </w:tabs>
      <w:ind w:left="851" w:hanging="0"/>
      <w:jc w:val="left"/>
    </w:pPr>
    <w:rPr>
      <w:sz w:val="16"/>
    </w:rPr>
  </w:style>
  <w:style w:type="paragraph" w:styleId="Tabledesmatiresniveau6">
    <w:name w:val="TOC 6"/>
    <w:basedOn w:val="Normal"/>
    <w:pPr>
      <w:widowControl/>
      <w:tabs>
        <w:tab w:val="clear" w:pos="706"/>
        <w:tab w:val="right" w:pos="9015" w:leader="dot"/>
      </w:tabs>
      <w:ind w:left="880" w:hanging="0"/>
      <w:jc w:val="left"/>
    </w:pPr>
    <w:rPr>
      <w:sz w:val="14"/>
    </w:rPr>
  </w:style>
  <w:style w:type="paragraph" w:styleId="Tabledesmatiresniveau7">
    <w:name w:val="TOC 7"/>
    <w:basedOn w:val="Normal"/>
    <w:pPr>
      <w:widowControl/>
      <w:tabs>
        <w:tab w:val="clear" w:pos="706"/>
        <w:tab w:val="right" w:pos="9015" w:leader="dot"/>
      </w:tabs>
      <w:ind w:left="900" w:hanging="0"/>
      <w:jc w:val="left"/>
    </w:pPr>
    <w:rPr>
      <w:sz w:val="14"/>
    </w:rPr>
  </w:style>
  <w:style w:type="paragraph" w:styleId="Tabledesmatiresniveau8">
    <w:name w:val="TOC 8"/>
    <w:basedOn w:val="Normal"/>
    <w:pPr>
      <w:widowControl/>
      <w:tabs>
        <w:tab w:val="clear" w:pos="706"/>
        <w:tab w:val="right" w:pos="9015" w:leader="dot"/>
      </w:tabs>
      <w:ind w:left="910" w:hanging="0"/>
      <w:jc w:val="left"/>
    </w:pPr>
    <w:rPr>
      <w:sz w:val="14"/>
    </w:rPr>
  </w:style>
  <w:style w:type="paragraph" w:styleId="Tabledesmatiresniveau9">
    <w:name w:val="TOC 9"/>
    <w:basedOn w:val="Normal"/>
    <w:pPr>
      <w:widowControl/>
      <w:tabs>
        <w:tab w:val="clear" w:pos="706"/>
        <w:tab w:val="right" w:pos="9015" w:leader="dot"/>
      </w:tabs>
      <w:ind w:left="920" w:hanging="0"/>
      <w:jc w:val="left"/>
    </w:pPr>
    <w:rPr>
      <w:sz w:val="14"/>
    </w:rPr>
  </w:style>
  <w:style w:type="paragraph" w:styleId="Standard" w:customStyle="1">
    <w:name w:val="Standard"/>
    <w:link w:val="816"/>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abledesmatiresniveau1" w:customStyle="1">
    <w:name w:val="TOC 1"/>
    <w:basedOn w:val="Index"/>
    <w:pPr>
      <w:tabs>
        <w:tab w:val="clear" w:pos="706"/>
        <w:tab w:val="right" w:pos="9637" w:leader="dot"/>
      </w:tabs>
      <w:spacing w:before="120" w:after="120"/>
    </w:pPr>
    <w:rPr>
      <w:rFonts w:ascii="Arial Gras" w:hAnsi="Arial Gras"/>
      <w:b/>
      <w:smallCaps/>
      <w:sz w:val="18"/>
    </w:rPr>
  </w:style>
  <w:style w:type="paragraph" w:styleId="Contenudetableau" w:customStyle="1">
    <w:name w:val="Contenu de tableau"/>
    <w:basedOn w:val="Standard"/>
    <w:qFormat/>
    <w:pPr/>
    <w:rPr>
      <w:sz w:val="17"/>
    </w:rPr>
  </w:style>
  <w:style w:type="paragraph" w:styleId="Titredetableau" w:customStyle="1">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Standard"/>
    <w:uiPriority w:val="99"/>
    <w:pPr>
      <w:tabs>
        <w:tab w:val="clear" w:pos="706"/>
        <w:tab w:val="center" w:pos="4818" w:leader="none"/>
        <w:tab w:val="right" w:pos="9637" w:leader="none"/>
      </w:tabs>
    </w:pPr>
    <w:rPr/>
  </w:style>
  <w:style w:type="paragraph" w:styleId="Tabledesmatiresniveau2" w:customStyle="1">
    <w:name w:val="TOC 2"/>
    <w:basedOn w:val="Index"/>
    <w:pPr>
      <w:spacing w:before="0" w:after="0"/>
      <w:ind w:left="238" w:hanging="0"/>
    </w:pPr>
    <w:rPr>
      <w:rFonts w:ascii="Arial" w:hAnsi="Arial"/>
      <w:sz w:val="18"/>
    </w:rPr>
  </w:style>
  <w:style w:type="paragraph" w:styleId="ContentsHeading" w:customStyle="1">
    <w:name w:val="Contents Heading"/>
    <w:basedOn w:val="Titre"/>
    <w:qFormat/>
    <w:pPr>
      <w:pageBreakBefore/>
      <w:spacing w:before="0" w:after="283"/>
    </w:pPr>
    <w:rPr>
      <w:bCs/>
      <w:sz w:val="32"/>
      <w:szCs w:val="32"/>
    </w:rPr>
  </w:style>
  <w:style w:type="paragraph" w:styleId="Contents1" w:customStyle="1">
    <w:name w:val="Contents 1"/>
    <w:basedOn w:val="Index"/>
    <w:qFormat/>
    <w:pPr>
      <w:tabs>
        <w:tab w:val="clear" w:pos="706"/>
        <w:tab w:val="right" w:pos="9637" w:leader="dot"/>
      </w:tabs>
      <w:spacing w:before="120" w:after="120"/>
    </w:pPr>
    <w:rPr>
      <w:rFonts w:ascii="Arial Gras" w:hAnsi="Arial Gras"/>
      <w:b/>
      <w:smallCaps/>
      <w:sz w:val="18"/>
    </w:rPr>
  </w:style>
  <w:style w:type="paragraph" w:styleId="Contents2" w:customStyle="1">
    <w:name w:val="Contents 2"/>
    <w:basedOn w:val="Index"/>
    <w:qFormat/>
    <w:pPr>
      <w:spacing w:before="0" w:after="0"/>
      <w:ind w:left="238" w:hanging="0"/>
    </w:pPr>
    <w:rPr>
      <w:sz w:val="18"/>
    </w:rPr>
  </w:style>
  <w:style w:type="paragraph" w:styleId="Contents3" w:customStyle="1">
    <w:name w:val="Contents 3"/>
    <w:basedOn w:val="Index"/>
    <w:qFormat/>
    <w:pPr>
      <w:tabs>
        <w:tab w:val="clear" w:pos="706"/>
        <w:tab w:val="right" w:pos="9241" w:leader="dot"/>
      </w:tabs>
      <w:spacing w:before="0" w:after="0"/>
      <w:ind w:left="482" w:hanging="0"/>
    </w:pPr>
    <w:rPr>
      <w:sz w:val="16"/>
    </w:rPr>
  </w:style>
  <w:style w:type="paragraph" w:styleId="Contents4" w:customStyle="1">
    <w:name w:val="Contents 4"/>
    <w:basedOn w:val="Index"/>
    <w:qFormat/>
    <w:pPr>
      <w:tabs>
        <w:tab w:val="clear" w:pos="706"/>
        <w:tab w:val="right" w:pos="9128" w:leader="dot"/>
      </w:tabs>
      <w:spacing w:before="0" w:after="0"/>
      <w:ind w:left="709" w:hanging="0"/>
    </w:pPr>
    <w:rPr>
      <w:sz w:val="16"/>
    </w:rPr>
  </w:style>
  <w:style w:type="paragraph" w:styleId="Contents5" w:customStyle="1">
    <w:name w:val="Contents 5"/>
    <w:basedOn w:val="Index"/>
    <w:qFormat/>
    <w:pPr>
      <w:tabs>
        <w:tab w:val="clear" w:pos="706"/>
        <w:tab w:val="right" w:pos="9015" w:leader="dot"/>
      </w:tabs>
      <w:spacing w:before="0" w:after="0"/>
      <w:ind w:left="851" w:hanging="0"/>
    </w:pPr>
    <w:rPr>
      <w:sz w:val="16"/>
    </w:rPr>
  </w:style>
  <w:style w:type="paragraph" w:styleId="Pieddepage">
    <w:name w:val="Footer"/>
    <w:basedOn w:val="Standard"/>
    <w:link w:val="807"/>
    <w:pPr>
      <w:pBdr>
        <w:top w:val="single" w:sz="2" w:space="0" w:color="000001"/>
        <w:left w:val="single" w:sz="2" w:space="0" w:color="000001"/>
        <w:bottom w:val="single" w:sz="2" w:space="0" w:color="000001"/>
        <w:right w:val="single" w:sz="2" w:space="0" w:color="000001"/>
      </w:pBdr>
      <w:tabs>
        <w:tab w:val="clear" w:pos="706"/>
        <w:tab w:val="center" w:pos="4818" w:leader="none"/>
        <w:tab w:val="right" w:pos="9637" w:leader="none"/>
      </w:tabs>
    </w:pPr>
    <w:rPr>
      <w:sz w:val="18"/>
    </w:rPr>
  </w:style>
  <w:style w:type="paragraph" w:styleId="Titre10" w:customStyle="1">
    <w:name w:val="Titre 10"/>
    <w:basedOn w:val="Titre"/>
    <w:qFormat/>
    <w:pPr/>
    <w:rPr>
      <w:bCs/>
    </w:rPr>
  </w:style>
  <w:style w:type="paragraph" w:styleId="Tableau" w:customStyle="1">
    <w:name w:val="Tableau"/>
    <w:basedOn w:val="Lgende"/>
    <w:qFormat/>
    <w:pPr/>
    <w:rPr>
      <w:i w:val="false"/>
      <w:sz w:val="17"/>
    </w:rPr>
  </w:style>
  <w:style w:type="paragraph" w:styleId="Indexlexicaltitre">
    <w:name w:val="Index Heading"/>
    <w:basedOn w:val="Titre"/>
    <w:pPr/>
    <w:rPr/>
  </w:style>
  <w:style w:type="paragraph" w:styleId="Titredetabledesmatires">
    <w:name w:val="TOC Heading"/>
    <w:basedOn w:val="Titre1"/>
    <w:uiPriority w:val="39"/>
    <w:unhideWhenUsed/>
    <w:qFormat/>
    <w:pPr>
      <w:keepLines/>
      <w:numPr>
        <w:ilvl w:val="0"/>
        <w:numId w:val="0"/>
      </w:numPr>
      <w:spacing w:lineRule="auto" w:line="259" w:before="240" w:after="0"/>
      <w:ind w:left="1701" w:hanging="1701"/>
      <w:jc w:val="left"/>
      <w:outlineLvl w:val="9"/>
    </w:pPr>
    <w:rPr>
      <w:rFonts w:ascii="Calibri Light" w:hAnsi="Calibri Light" w:eastAsia="Calibri Light" w:cs="Calibri Light"/>
      <w:b w:val="false"/>
      <w:color w:val="2F5496" w:themeColor="accent1" w:themeShade="bf"/>
      <w:sz w:val="32"/>
      <w:szCs w:val="32"/>
      <w:lang w:eastAsia="fr-FR" w:bidi="ar-SA"/>
    </w:rPr>
  </w:style>
  <w:style w:type="paragraph" w:styleId="Tabledesmatiresniveau3">
    <w:name w:val="TOC 3"/>
    <w:basedOn w:val="Normal"/>
    <w:pPr>
      <w:widowControl/>
      <w:tabs>
        <w:tab w:val="clear" w:pos="706"/>
        <w:tab w:val="right" w:pos="9241" w:leader="dot"/>
      </w:tabs>
      <w:ind w:left="482" w:hanging="0"/>
      <w:jc w:val="left"/>
    </w:pPr>
    <w:rPr>
      <w:sz w:val="16"/>
    </w:rPr>
  </w:style>
  <w:style w:type="paragraph" w:styleId="Titre11" w:customStyle="1">
    <w:name w:val="Titre1"/>
    <w:qFormat/>
    <w:pPr>
      <w:widowControl/>
      <w:shd w:val="clear" w:color="FFFFFF" w:fill="FFFFFF"/>
      <w:suppressAutoHyphens w:val="true"/>
      <w:bidi w:val="0"/>
      <w:spacing w:before="0" w:after="0"/>
      <w:jc w:val="center"/>
    </w:pPr>
    <w:rPr>
      <w:rFonts w:ascii="Arial" w:hAnsi="Arial" w:eastAsia="simsun, 宋体" w:cs="Times New Roman"/>
      <w:b/>
      <w:color w:val="00000A"/>
      <w:kern w:val="0"/>
      <w:sz w:val="40"/>
      <w:szCs w:val="24"/>
      <w:lang w:val="fr-FR" w:eastAsia="zh-CN" w:bidi="ar-SA"/>
    </w:rPr>
  </w:style>
  <w:style w:type="numbering" w:styleId="NoList" w:default="1">
    <w:name w:val="No List"/>
    <w:uiPriority w:val="99"/>
    <w:semiHidden/>
    <w:unhideWhenUsed/>
    <w:qFormat/>
  </w:style>
  <w:style w:type="numbering" w:styleId="Numbering11" w:customStyle="1">
    <w:name w:val="Numbering 1_1"/>
    <w:qFormat/>
  </w:style>
  <w:style w:type="numbering" w:styleId="Numrotation2" w:customStyle="1">
    <w:name w:val="Numérotation 2"/>
    <w:qFormat/>
  </w:style>
  <w:style w:type="numbering" w:styleId="Numrotation3" w:customStyle="1">
    <w:name w:val="Numérotation 3"/>
    <w:qFormat/>
  </w:style>
  <w:style w:type="numbering" w:styleId="Numrotation4" w:customStyle="1">
    <w:name w:val="Numérotation 4"/>
    <w:qFormat/>
  </w:style>
  <w:style w:type="numbering" w:styleId="Numrotation5" w:customStyle="1">
    <w:name w:val="Numérotation 5"/>
    <w:qFormat/>
  </w:style>
  <w:style w:type="numbering" w:styleId="Puce1" w:customStyle="1">
    <w:name w:val="Puce 1"/>
    <w:qFormat/>
  </w:style>
  <w:style w:type="numbering" w:styleId="Liste21" w:customStyle="1">
    <w:name w:val="Liste 21"/>
    <w:qFormat/>
  </w:style>
  <w:style w:type="numbering" w:styleId="Liste31" w:customStyle="1">
    <w:name w:val="Liste 31"/>
    <w:qFormat/>
  </w:style>
  <w:style w:type="numbering" w:styleId="Liste41" w:customStyle="1">
    <w:name w:val="Liste 41"/>
    <w:qFormat/>
  </w:style>
  <w:style w:type="numbering" w:styleId="Liste51" w:customStyle="1">
    <w:name w:val="Liste 51"/>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
  <TotalTime>24</TotalTime>
  <Application>LibreOffice/7.2.7.2$Windows_X86_64 LibreOffice_project/8d71d29d553c0f7dcbfa38fbfda25ee34cce99a2</Application>
  <AppVersion>15.0000</AppVersion>
  <Pages>16</Pages>
  <Words>2485</Words>
  <Characters>12896</Characters>
  <CharactersWithSpaces>14725</CharactersWithSpaces>
  <Paragraphs>250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2022-12-05T13:54:38Z</dcterms:created>
  <dc:creator>Apache POI</dc:creator>
  <dc:description/>
  <dc:language>fr-FR</dc:language>
  <cp:lastModifiedBy/>
  <cp:lastPrinted>2022-12-09T11:36:18Z</cp:lastPrinted>
  <dcterms:modified xsi:type="dcterms:W3CDTF">2022-12-09T11:45:21Z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