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rFonts w:cs="Arial"/>
          <w:color w:val="5B9BD5"/>
          <w:sz w:val="44"/>
          <w:szCs w:val="44"/>
          <w:highlight w:val="none"/>
        </w:rPr>
      </w:pPr>
      <w:r>
        <w:rPr>
          <w:rFonts w:cs="Arial"/>
          <w:color w:val="5B9BD5" w:themeColor="accent5"/>
          <w:sz w:val="44"/>
          <w:szCs w:val="44"/>
          <w:shd w:fill="FFFFFF" w:val="clear"/>
        </w:rPr>
        <w:t>Acte d'engagement</w:t>
      </w:r>
    </w:p>
    <w:p>
      <w:pPr>
        <w:pStyle w:val="Titre11"/>
        <w:shd w:val="clear" w:color="FFFFFF" w:fill="FFFFFF"/>
        <w:jc w:val="center"/>
        <w:rPr/>
      </w:pPr>
      <w:r>
        <w:rPr>
          <w:rFonts w:cs="Arial"/>
          <w:color w:val="5B9BD5" w:themeColor="accent5"/>
          <w:sz w:val="44"/>
          <w:szCs w:val="44"/>
          <w:shd w:fill="FFFFFF" w:val="clear"/>
        </w:rPr>
        <w:t>LOT 9 : Livres non scolaires-secteur des 13ème et 14ème arrondissements de Marseille</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8</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r>
        <w:rPr>
          <w:rFonts w:eastAsia="Liberation Sans" w:cs="Liberation Sans" w:ascii="Liberation Sans" w:hAnsi="Liberation Sans"/>
          <w:b/>
          <w:i w:val="false"/>
          <w:color w:val="000000"/>
          <w:sz w:val="20"/>
          <w:highlight w:val="white"/>
          <w:u w:val="none"/>
          <w:shd w:fill="D4EDDA" w:val="clear"/>
        </w:rPr>
        <w:t xml:space="preserve"> </w:t>
      </w:r>
      <w:r>
        <w:rPr>
          <w:rFonts w:eastAsia="Liberation Sans" w:cs="Liberation Sans" w:ascii="Liberation Sans" w:hAnsi="Liberation Sans"/>
          <w:b/>
          <w:i w:val="false"/>
          <w:color w:val="000000"/>
          <w:sz w:val="20"/>
          <w:highlight w:val="white"/>
          <w:u w:val="none"/>
          <w:shd w:fill="D4EDDA" w:val="clear"/>
        </w:rPr>
        <w:t>22_0741</w:t>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 xml:space="preserve">La procédure de passation est la suivante : </w:t>
      </w:r>
      <w:r>
        <w:rPr>
          <w:rFonts w:eastAsia="arial" w:cs="arial" w:ascii="arial" w:hAnsi="arial"/>
          <w:b/>
          <w:bCs/>
          <w:i w:val="false"/>
          <w:color w:val="000000"/>
          <w:sz w:val="20"/>
          <w:highlight w:val="white"/>
          <w:u w:val="none"/>
          <w:shd w:fill="D4EDDA" w:val="clear"/>
        </w:rPr>
        <w:t>APPEL D'OFFRES OUVERT</w:t>
      </w:r>
      <w:r>
        <w:rPr>
          <w:rFonts w:eastAsia="arial" w:cs="arial" w:ascii="arial" w:hAnsi="arial"/>
          <w:b w:val="false"/>
          <w:i w:val="false"/>
          <w:color w:val="000000"/>
          <w:sz w:val="20"/>
          <w:highlight w:val="white"/>
          <w:u w:val="none"/>
          <w:shd w:fill="D4EDDA" w:val="clear"/>
        </w:rPr>
        <w:t xml:space="preserve"> - selon les articles suivants :  articles R2124-2, R2161-2 à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3" w:name="_Toc3966"/>
      <w:r>
        <w:rPr/>
        <w:t>Pouvoir adjudicateur</w:t>
      </w:r>
      <w:bookmarkEnd w:id="3"/>
    </w:p>
    <w:p>
      <w:pPr>
        <w:pStyle w:val="Normal"/>
        <w:rPr>
          <w:highlight w:val="white"/>
        </w:rPr>
      </w:pPr>
      <w:r>
        <w:rPr>
          <w:highlight w:val="white"/>
        </w:rPr>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Représentant du pouvoir adjudicateur :</w:t>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Monsieur Pierre Huguet,</w:t>
      </w:r>
      <w:r>
        <w:rPr>
          <w:rFonts w:eastAsia="Arial" w:cs="Arial"/>
          <w:color w:val="000000"/>
          <w:sz w:val="20"/>
          <w:highlight w:val="white"/>
          <w:shd w:fill="D4EDDA" w:val="clear"/>
        </w:rPr>
        <w:t xml:space="preserve"> Adjoint au Maire en charge de l'Education, des Cantines Scolaires, du Soutien Scolaire et des Cités Educatives.</w:t>
      </w:r>
    </w:p>
    <w:p>
      <w:pPr>
        <w:pStyle w:val="Normal"/>
        <w:spacing w:before="120" w:after="0"/>
        <w:rPr/>
      </w:pPr>
      <w:r>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Personne habilitée à donner des renseignements prévus à l'article R2191-60 du Code de la commande publique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 xml:space="preserve">Madame Christelle Locart, </w:t>
      </w:r>
      <w:r>
        <w:rPr>
          <w:rFonts w:eastAsia="Arial" w:cs="Arial"/>
          <w:color w:val="000000"/>
          <w:sz w:val="20"/>
          <w:highlight w:val="white"/>
          <w:shd w:fill="D4EDDA" w:val="clear"/>
        </w:rPr>
        <w:t>Responsable Division Moyens Pédagogiques</w:t>
      </w:r>
    </w:p>
    <w:p>
      <w:pPr>
        <w:pStyle w:val="Normal"/>
        <w:rPr/>
      </w:pPr>
      <w:r>
        <w:rPr/>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Service responsable de l'exécution du marché :</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Ville de Marseille</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 xml:space="preserve">Direction Education </w:t>
      </w:r>
    </w:p>
    <w:p>
      <w:pPr>
        <w:pStyle w:val="Normal"/>
        <w:spacing w:lineRule="atLeast" w:line="56" w:before="198" w:after="0"/>
        <w:ind w:left="0" w:right="0" w:hanging="0"/>
        <w:jc w:val="both"/>
        <w:rPr/>
      </w:pPr>
      <w:r>
        <w:rPr>
          <w:rFonts w:eastAsia="Arial" w:cs="Arial"/>
          <w:color w:val="000000"/>
          <w:sz w:val="20"/>
          <w:highlight w:val="white"/>
          <w:shd w:fill="D4EDDA" w:val="clear"/>
        </w:rPr>
        <w:t>Services Moyens aux établissements</w:t>
      </w:r>
    </w:p>
    <w:p>
      <w:pPr>
        <w:pStyle w:val="Normal"/>
        <w:rPr/>
      </w:pPr>
      <w: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spacing w:before="120" w:after="0"/>
        <w:rPr/>
      </w:pPr>
      <w:r>
        <w:rPr/>
      </w:r>
    </w:p>
    <w:p>
      <w:pPr>
        <w:pStyle w:val="Normal"/>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Budget de fonctionnement : sur les articles 6067 "fournitures scolaires" et 6238 "frais divers de publicité, de publication et de relations publiques - fonction 212 "écoles primaires"</w:t>
      </w:r>
    </w:p>
    <w:p>
      <w:pPr>
        <w:pStyle w:val="Normal"/>
        <w:rPr/>
      </w:pPr>
      <w:r>
        <w:rPr/>
      </w:r>
    </w:p>
    <w:p>
      <w:pPr>
        <w:pStyle w:val="Titre2"/>
        <w:numPr>
          <w:ilvl w:val="1"/>
          <w:numId w:val="2"/>
        </w:numPr>
        <w:rPr/>
      </w:pPr>
      <w:bookmarkStart w:id="5" w:name="_Toc3968"/>
      <w:r>
        <w:rPr/>
        <w:t>Code CPV</w:t>
      </w:r>
      <w:bookmarkEnd w:id="5"/>
    </w:p>
    <w:p>
      <w:pPr>
        <w:pStyle w:val="Normal"/>
        <w:rPr>
          <w:highlight w:val="white"/>
        </w:rPr>
      </w:pPr>
      <w:r>
        <w:rPr>
          <w:rFonts w:eastAsia="arial" w:cs="arial" w:ascii="arial" w:hAnsi="arial"/>
          <w:b w:val="false"/>
          <w:i w:val="false"/>
          <w:color w:val="000000"/>
          <w:sz w:val="20"/>
          <w:highlight w:val="white"/>
          <w:u w:val="single"/>
          <w:shd w:fill="D4EDDA" w:val="clear"/>
        </w:rPr>
        <w:t>Code CPV principal</w:t>
      </w:r>
      <w:r>
        <w:rPr>
          <w:rFonts w:eastAsia="arial" w:cs="arial" w:ascii="arial" w:hAnsi="arial"/>
          <w:b w:val="false"/>
          <w:i w:val="false"/>
          <w:color w:val="000000"/>
          <w:sz w:val="20"/>
          <w:highlight w:val="white"/>
          <w:u w:val="none"/>
          <w:shd w:fill="D4EDDA" w:val="clear"/>
        </w:rPr>
        <w:t xml:space="preserve"> :</w:t>
      </w:r>
    </w:p>
    <w:p>
      <w:pPr>
        <w:pStyle w:val="Normal"/>
        <w:rPr>
          <w:b/>
          <w:b/>
          <w:bCs/>
        </w:rPr>
      </w:pPr>
      <w:r>
        <w:rPr>
          <w:rFonts w:eastAsia="arial" w:cs="arial" w:ascii="arial" w:hAnsi="arial"/>
          <w:b/>
          <w:bCs/>
          <w:i w:val="false"/>
          <w:color w:val="000000"/>
          <w:sz w:val="20"/>
          <w:highlight w:val="white"/>
          <w:u w:val="none"/>
          <w:shd w:fill="D4EDDA" w:val="clear"/>
        </w:rPr>
        <w:t>2211</w:t>
      </w:r>
      <w:r>
        <w:rPr>
          <w:rFonts w:eastAsia="arial" w:cs="arial" w:ascii="arial" w:hAnsi="arial"/>
          <w:b/>
          <w:bCs/>
          <w:i w:val="false"/>
          <w:color w:val="000000"/>
          <w:sz w:val="20"/>
          <w:highlight w:val="white"/>
          <w:u w:val="none"/>
          <w:shd w:fill="D4EDDA" w:val="clear"/>
        </w:rPr>
        <w:t>3000-5</w:t>
      </w:r>
    </w:p>
    <w:p>
      <w:pPr>
        <w:pStyle w:val="Normal"/>
        <w:rPr>
          <w:highlight w:val="white"/>
        </w:rPr>
      </w:pPr>
      <w:r>
        <w:rPr>
          <w:rFonts w:eastAsia="arial" w:cs="arial" w:ascii="arial" w:hAnsi="arial"/>
          <w:b w:val="false"/>
          <w:i w:val="false"/>
          <w:color w:val="000000"/>
          <w:sz w:val="20"/>
          <w:highlight w:val="white"/>
          <w:u w:val="single"/>
          <w:shd w:fill="D4EDDA" w:val="clear"/>
        </w:rPr>
        <w:t>CPV complémentaires</w:t>
      </w:r>
      <w:r>
        <w:rPr>
          <w:rFonts w:eastAsia="arial" w:cs="arial" w:ascii="arial" w:hAnsi="arial"/>
          <w:b w:val="false"/>
          <w:i w:val="false"/>
          <w:color w:val="000000"/>
          <w:sz w:val="20"/>
          <w:highlight w:val="white"/>
          <w:u w:val="none"/>
          <w:shd w:fill="D4EDDA" w:val="clear"/>
        </w:rPr>
        <w:t xml:space="preserve">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n'y a pas de CPV complémentaire.</w:t>
      </w:r>
    </w:p>
    <w:p>
      <w:pPr>
        <w:pStyle w:val="Titre2"/>
        <w:numPr>
          <w:ilvl w:val="1"/>
          <w:numId w:val="2"/>
        </w:numPr>
        <w:rPr/>
      </w:pPr>
      <w:bookmarkStart w:id="6" w:name="_Toc3969"/>
      <w:r>
        <w:rPr/>
        <w:t>Réemploi, réutilisation ou intégration de matières recyclées</w:t>
      </w:r>
      <w:bookmarkEnd w:id="6"/>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r>
        <w:rPr/>
        <w:t>OBJET</w:t>
      </w:r>
      <w:bookmarkEnd w:id="10"/>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Fourniture de livres scolaires, de livres non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p>
      <w:pPr>
        <w:pStyle w:val="Normal"/>
        <w:rPr>
          <w:rFonts w:ascii="arial" w:hAnsi="arial" w:eastAsia="arial" w:cs="arial"/>
          <w:b w:val="false"/>
          <w:b w:val="false"/>
          <w:i w:val="false"/>
          <w:i w:val="false"/>
          <w:color w:val="000000"/>
          <w:sz w:val="20"/>
          <w:u w:val="none"/>
        </w:rPr>
      </w:pPr>
      <w:r>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9</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13EME ET 14EME ARRONDISSEMENTS DE MARSEILLE</w:t>
            </w:r>
          </w:p>
        </w:tc>
      </w:tr>
    </w:tbl>
    <w:p>
      <w:pPr>
        <w:pStyle w:val="Normal"/>
        <w:rPr/>
      </w:pPr>
      <w:r>
        <w:rPr/>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3" w:name="_Toc3976"/>
      <w:r>
        <w:rPr/>
        <w:t>Montant</w:t>
      </w:r>
      <w:bookmarkEnd w:id="13"/>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bons de commandes seront émis dans les conditions et limites suivantes :</w:t>
      </w:r>
    </w:p>
    <w:p>
      <w:pPr>
        <w:pStyle w:val="Normal"/>
        <w:rPr>
          <w:highlight w:val="white"/>
        </w:rPr>
      </w:pPr>
      <w:r>
        <w:rPr>
          <w:rFonts w:eastAsia="arial" w:cs="arial" w:ascii="arial" w:hAnsi="arial"/>
          <w:b w:val="false"/>
          <w:i w:val="false"/>
          <w:color w:val="000000"/>
          <w:sz w:val="20"/>
          <w:highlight w:val="white"/>
          <w:u w:val="none"/>
          <w:shd w:fill="D4EDDA" w:val="clear"/>
        </w:rPr>
        <w:t>Montants annuels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minimum : </w:t>
      </w:r>
      <w:r>
        <w:rPr>
          <w:rFonts w:eastAsia="arial" w:cs="arial" w:ascii="arial" w:hAnsi="arial"/>
          <w:b/>
          <w:i w:val="false"/>
          <w:color w:val="000000"/>
          <w:sz w:val="20"/>
          <w:highlight w:val="white"/>
          <w:u w:val="none"/>
          <w:shd w:fill="D4EDDA" w:val="clear"/>
        </w:rPr>
        <w:t>5 000,00 euros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maximum : </w:t>
      </w:r>
      <w:r>
        <w:rPr>
          <w:rFonts w:eastAsia="arial" w:cs="arial" w:ascii="arial" w:hAnsi="arial"/>
          <w:b/>
          <w:i w:val="false"/>
          <w:color w:val="000000"/>
          <w:sz w:val="20"/>
          <w:highlight w:val="white"/>
          <w:u w:val="none"/>
          <w:shd w:fill="D4EDDA" w:val="clear"/>
        </w:rPr>
        <w:t>90 000,00 euros</w:t>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prix unitaires du marché sont détaillés dans :</w:t>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tarifs publics des différents éditeurs, auxquels s'appliquent les taux de rabais consentis. Le prix du marché résulte de l'application des quantités réellement exécutées aux prix unitaires des catalogues.</w:t>
      </w:r>
    </w:p>
    <w:p>
      <w:pPr>
        <w:pStyle w:val="Normal"/>
        <w:spacing w:before="120" w:after="0"/>
        <w:rPr/>
      </w:pPr>
      <w: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1"/>
        <w:numPr>
          <w:ilvl w:val="0"/>
          <w:numId w:val="2"/>
        </w:numPr>
        <w:rPr/>
      </w:pPr>
      <w:bookmarkStart w:id="14" w:name="_Toc3978"/>
      <w:r>
        <w:rPr/>
        <w:t>AVANCE</w:t>
      </w:r>
      <w:bookmarkEnd w:id="14"/>
    </w:p>
    <w:p>
      <w:pPr>
        <w:pStyle w:val="Normal"/>
        <w:rPr>
          <w:highlight w:val="white"/>
        </w:rPr>
      </w:pPr>
      <w:r>
        <w:rPr>
          <w:rFonts w:eastAsia="arial" w:cs="arial" w:ascii="arial" w:hAnsi="arial"/>
          <w:b w:val="false"/>
          <w:i w:val="false"/>
          <w:color w:val="000000"/>
          <w:sz w:val="20"/>
          <w:highlight w:val="white"/>
          <w:u w:val="none"/>
          <w:shd w:fill="D4EDDA"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L'option retenue concernant les avances est l'option B telle que définie au CCAG applicable.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Pour les micro, petites et moyennes entreprises (PME), le taux de l'avance est de 10 %. Pour les autres entreprises, le taux de l'avance est de 5 %.</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none"/>
          <w:shd w:fill="D4EDDA" w:val="clear"/>
        </w:rPr>
        <w:t>Le candidat est une PME* : oui/non</w:t>
      </w:r>
    </w:p>
    <w:p>
      <w:pPr>
        <w:pStyle w:val="Normal"/>
        <w:spacing w:before="120" w:after="0"/>
        <w:rPr>
          <w:highlight w:val="white"/>
        </w:rPr>
      </w:pPr>
      <w:r>
        <w:rPr>
          <w:rFonts w:eastAsia="arial" w:cs="arial" w:ascii="arial" w:hAnsi="arial"/>
          <w:b/>
          <w:i w:val="false"/>
          <w:color w:val="000000"/>
          <w:sz w:val="20"/>
          <w:highlight w:val="white"/>
          <w:u w:val="none"/>
          <w:shd w:fill="D4EDDA"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5" w:name="_Toc3979"/>
      <w:r>
        <w:rPr/>
        <w:t>DUREE</w:t>
      </w:r>
      <w:bookmarkEnd w:id="15"/>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lineRule="atLeast" w:line="57" w:before="198" w:after="0"/>
        <w:ind w:left="0" w:right="0" w:hanging="0"/>
        <w:jc w:val="both"/>
        <w:rPr>
          <w:highlight w:val="white"/>
        </w:rPr>
      </w:pPr>
      <w:r>
        <w:rPr>
          <w:rFonts w:eastAsia="Arial" w:cs="Arial"/>
          <w:b/>
          <w:color w:val="000000"/>
          <w:sz w:val="20"/>
          <w:highlight w:val="white"/>
          <w:shd w:fill="D4EDDA" w:val="clear"/>
        </w:rPr>
        <w:t>12 mois à compter de la notification.</w:t>
      </w:r>
    </w:p>
    <w:p>
      <w:pPr>
        <w:pStyle w:val="Normal"/>
        <w:rPr/>
      </w:pPr>
      <w:r>
        <w:rPr/>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 marché est </w:t>
      </w:r>
      <w:r>
        <w:rPr>
          <w:rFonts w:eastAsia="Arial" w:cs="Arial"/>
          <w:b/>
          <w:color w:val="000000"/>
          <w:sz w:val="20"/>
          <w:highlight w:val="white"/>
          <w:shd w:fill="D4EDDA" w:val="clear"/>
        </w:rPr>
        <w:t xml:space="preserve">reconductible </w:t>
      </w:r>
      <w:r>
        <w:rPr>
          <w:rFonts w:eastAsia="Arial" w:cs="Arial"/>
          <w:color w:val="000000"/>
          <w:sz w:val="20"/>
          <w:highlight w:val="white"/>
          <w:shd w:fill="D4EDDA" w:val="clear"/>
        </w:rPr>
        <w:t xml:space="preserve">par période d'un an, dans la limite de </w:t>
      </w:r>
      <w:r>
        <w:rPr>
          <w:rFonts w:eastAsia="Arial" w:cs="Arial"/>
          <w:b/>
          <w:color w:val="000000"/>
          <w:sz w:val="20"/>
          <w:highlight w:val="white"/>
          <w:shd w:fill="D4EDDA" w:val="clear"/>
        </w:rPr>
        <w:t>3 reconductions.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La reconduction du marché se fera de manièr</w:t>
      </w:r>
      <w:r>
        <w:rPr>
          <w:rFonts w:eastAsia="Arial" w:cs="Arial"/>
          <w:b/>
          <w:color w:val="000000"/>
          <w:sz w:val="20"/>
          <w:highlight w:val="white"/>
          <w:shd w:fill="D4EDDA" w:val="clear"/>
        </w:rPr>
        <w:t>e tacite.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Les bons de commande émis en fin de marché ne pourront voir leur exécution se prolonger de plus de 3 mois après la date d'expiration du marché.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Les bons de commandes pourront être émis jusqu'au dernier jour de la période de validité du marché. </w:t>
      </w:r>
    </w:p>
    <w:p>
      <w:pPr>
        <w:pStyle w:val="Normal"/>
        <w:spacing w:before="120" w:after="0"/>
        <w:rPr/>
      </w:pPr>
      <w:r>
        <w:rPr/>
      </w:r>
    </w:p>
    <w:p>
      <w:pPr>
        <w:pStyle w:val="Normal"/>
        <w:rPr>
          <w:shd w:fill="D4EDDA" w:val="clear"/>
        </w:rPr>
      </w:pPr>
      <w:r>
        <w:rPr/>
      </w:r>
    </w:p>
    <w:p>
      <w:pPr>
        <w:pStyle w:val="Normal"/>
        <w:rPr/>
      </w:pPr>
      <w:r>
        <w:rPr>
          <w:rFonts w:eastAsia="arial" w:cs="arial" w:ascii="arial" w:hAnsi="arial"/>
          <w:b w:val="false"/>
          <w:i w:val="false"/>
          <w:color w:val="000000"/>
          <w:sz w:val="20"/>
          <w:u w:val="none"/>
        </w:rPr>
        <w:t>Toute information complémentaire relative à la durée et/ou aux délais figure au CCP.</w:t>
      </w:r>
    </w:p>
    <w:p>
      <w:pPr>
        <w:pStyle w:val="Titre1"/>
        <w:numPr>
          <w:ilvl w:val="0"/>
          <w:numId w:val="2"/>
        </w:numPr>
        <w:rPr/>
      </w:pPr>
      <w:bookmarkStart w:id="16" w:name="_Toc3980"/>
      <w:r>
        <w:rPr/>
        <w:t>PROVENANCE DES FOURNITURES</w:t>
      </w:r>
      <w:bookmarkEnd w:id="16"/>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17" w:name="_Toc3981"/>
      <w:r>
        <w:rPr/>
        <w:t>DELAI DE VALIDITE DES OFFRES</w:t>
      </w:r>
      <w:bookmarkEnd w:id="17"/>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candidat est tenu de maintenir son offre, à compter de la date limite de remise des offres, pendant un délai de : </w:t>
      </w:r>
      <w:r>
        <w:rPr>
          <w:rFonts w:eastAsia="arial" w:cs="arial" w:ascii="arial" w:hAnsi="arial"/>
          <w:b/>
          <w:i w:val="false"/>
          <w:color w:val="000000"/>
          <w:sz w:val="20"/>
          <w:highlight w:val="white"/>
          <w:u w:val="none"/>
          <w:shd w:fill="D4EDDA" w:val="clear"/>
        </w:rPr>
        <w:t xml:space="preserve"> 6  mois.</w:t>
      </w:r>
    </w:p>
    <w:p>
      <w:pPr>
        <w:pStyle w:val="Titre1"/>
        <w:numPr>
          <w:ilvl w:val="0"/>
          <w:numId w:val="2"/>
        </w:numPr>
        <w:rPr/>
      </w:pPr>
      <w:bookmarkStart w:id="18" w:name="_Toc3982"/>
      <w:r>
        <w:rPr/>
        <w:t>ENGAGEMENT ET SIGNATURE DU CANDIDAT</w:t>
      </w:r>
      <w:bookmarkEnd w:id="18"/>
    </w:p>
    <w:p>
      <w:pPr>
        <w:pStyle w:val="Normal"/>
        <w:rPr>
          <w:highlight w:val="white"/>
        </w:rPr>
      </w:pPr>
      <w:r>
        <w:rPr>
          <w:rFonts w:eastAsia="arial" w:cs="arial" w:ascii="arial" w:hAnsi="arial"/>
          <w:b/>
          <w:i w:val="false"/>
          <w:color w:val="000000"/>
          <w:sz w:val="20"/>
          <w:highlight w:val="white"/>
          <w:u w:val="single"/>
          <w:shd w:fill="D4EDDA" w:val="clear"/>
        </w:rPr>
        <w:t>Clause de protection des données (RGPD)</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rPr>
          <w:highlight w:val="white"/>
        </w:rPr>
      </w:pPr>
      <w:r>
        <w:rPr>
          <w:rFonts w:eastAsia="arial" w:cs="arial" w:ascii="arial" w:hAnsi="arial"/>
          <w:b/>
          <w:i w:val="false"/>
          <w:color w:val="000000"/>
          <w:sz w:val="20"/>
          <w:highlight w:val="white"/>
          <w:u w:val="single"/>
          <w:shd w:fill="D4EDDA"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single"/>
          <w:shd w:fill="D4EDDA" w:val="clear"/>
        </w:rPr>
        <w:t>Les annexes au présent document sont les suivante</w:t>
      </w:r>
      <w:r>
        <w:rPr>
          <w:rFonts w:eastAsia="arial" w:cs="arial" w:ascii="arial" w:hAnsi="arial"/>
          <w:b w:val="false"/>
          <w:i w:val="false"/>
          <w:color w:val="000000"/>
          <w:sz w:val="20"/>
          <w:highlight w:val="white"/>
          <w:u w:val="none"/>
          <w:shd w:fill="D4EDDA" w:val="clear"/>
        </w:rPr>
        <w:t>s :</w:t>
      </w:r>
    </w:p>
    <w:p>
      <w:pPr>
        <w:pStyle w:val="Normal"/>
        <w:rPr>
          <w:highlight w:val="white"/>
        </w:rPr>
      </w:pPr>
      <w:r>
        <w:rPr>
          <w:rFonts w:eastAsia="arial" w:cs="arial" w:ascii="arial" w:hAnsi="arial"/>
          <w:b/>
          <w:i w:val="false"/>
          <w:color w:val="000000"/>
          <w:sz w:val="20"/>
          <w:highlight w:val="white"/>
          <w:u w:val="none"/>
          <w:shd w:fill="D4EDDA" w:val="clear"/>
        </w:rPr>
        <w:t>Annexe à l’acte d’engagement : taux de remise</w:t>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19" w:name="_Toc3983"/>
      <w:r>
        <w:rPr/>
        <w:t>SIGNATURE DU POUVOIR ADJUDICATEUR</w:t>
      </w:r>
      <w:bookmarkEnd w:id="1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présente offre est acceptée.</w:t>
      </w:r>
    </w:p>
    <w:p>
      <w:pPr>
        <w:pStyle w:val="Normal"/>
        <w:spacing w:before="120" w:after="0"/>
        <w:rPr>
          <w:highlight w:val="white"/>
        </w:rPr>
      </w:pPr>
      <w:r>
        <w:rPr>
          <w:highlight w:val="white"/>
        </w:rPr>
      </w:r>
    </w:p>
    <w:p>
      <w:pPr>
        <w:pStyle w:val="Normal"/>
        <w:spacing w:before="120" w:after="0"/>
        <w:rPr/>
      </w:pPr>
      <w:r>
        <w:rPr>
          <w:rFonts w:eastAsia="arial" w:cs="arial" w:ascii="arial" w:hAnsi="arial"/>
          <w:b/>
          <w:i w:val="false"/>
          <w:color w:val="000000"/>
          <w:sz w:val="20"/>
          <w:highlight w:val="white"/>
          <w:u w:val="none"/>
          <w:shd w:fill="D4EDDA" w:val="clear"/>
        </w:rPr>
        <w:t>* pour le lot suivant n° : .....9.....</w:t>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Signature</w:t>
      </w:r>
    </w:p>
    <w:p>
      <w:pPr>
        <w:pStyle w:val="Normal"/>
        <w:spacing w:before="120" w:after="0"/>
        <w:rPr>
          <w:highlight w:val="white"/>
        </w:rPr>
      </w:pPr>
      <w:r>
        <w:rPr>
          <w:rFonts w:eastAsia="arial" w:cs="arial" w:ascii="arial" w:hAnsi="arial"/>
          <w:b w:val="false"/>
          <w:i/>
          <w:color w:val="000000"/>
          <w:sz w:val="20"/>
          <w:highlight w:val="white"/>
          <w:u w:val="none"/>
          <w:shd w:fill="D4EDDA" w:val="clear"/>
        </w:rPr>
        <w:t>(Représentant du pouvoir adjudicateur habilité à signer)</w:t>
      </w:r>
    </w:p>
    <w:p>
      <w:pPr>
        <w:pStyle w:val="Normal"/>
        <w:spacing w:before="120" w:after="0"/>
        <w:rPr/>
      </w:pPr>
      <w:r>
        <w:rPr/>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Pour Le Maire et par délégation</w:t>
      </w:r>
    </w:p>
    <w:p>
      <w:pPr>
        <w:pStyle w:val="Normal"/>
        <w:spacing w:lineRule="atLeast" w:line="57" w:before="200" w:after="0"/>
        <w:ind w:left="0" w:right="0" w:hanging="0"/>
        <w:jc w:val="both"/>
        <w:rPr>
          <w:rFonts w:ascii="Arial" w:hAnsi="Arial" w:eastAsia="Arial" w:cs="Arial"/>
          <w:color w:val="000000"/>
          <w:highlight w:val="white"/>
        </w:rPr>
      </w:pPr>
      <w:r>
        <w:rPr>
          <w:rFonts w:eastAsia="Arial" w:cs="Arial"/>
          <w:b/>
          <w:color w:val="000000"/>
          <w:sz w:val="20"/>
          <w:highlight w:val="white"/>
          <w:shd w:fill="D4EDDA" w:val="clear"/>
        </w:rPr>
        <w:t>Monsieur Pierre Huguet, Adjoint au Maire en charge de l'Education, des Cantines Scolaires, du Soutien Scolaire et des Cités Educatives.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Date de transmission en Préfecture :</w:t>
      </w:r>
    </w:p>
    <w:p>
      <w:pPr>
        <w:pStyle w:val="Normal"/>
        <w:spacing w:before="120" w:after="0"/>
        <w:rPr/>
      </w:pPr>
      <w:r>
        <w:rPr/>
      </w:r>
    </w:p>
    <w:p>
      <w:pPr>
        <w:pStyle w:val="Titre1"/>
        <w:numPr>
          <w:ilvl w:val="0"/>
          <w:numId w:val="2"/>
        </w:numPr>
        <w:rPr/>
      </w:pPr>
      <w:bookmarkStart w:id="20" w:name="_Toc3984"/>
      <w:r>
        <w:rPr/>
        <w:t>NOTIFICATION DU MARCHE</w:t>
      </w:r>
      <w:bookmarkEnd w:id="20"/>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1" w:name="_Toc3985"/>
      <w:r>
        <w:rPr/>
        <w:t>EXEMPLAIRE UNIQUE ET NANTISSEMENT OU CESSION DE CREANCE</w:t>
      </w:r>
      <w:bookmarkEnd w:id="21"/>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SERVICE DES MOYENS AUX ETABLISSEMENTS</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7" w:before="0" w:after="0"/>
        <w:ind w:left="0" w:right="0" w:hanging="0"/>
        <w:jc w:val="both"/>
        <w:rPr>
          <w:highlight w:val="white"/>
        </w:rPr>
      </w:pPr>
      <w:r>
        <w:rPr>
          <w:rFonts w:eastAsia="Arial" w:cs="Arial"/>
          <w:color w:val="000000"/>
          <w:sz w:val="20"/>
          <w:highlight w:val="white"/>
          <w:shd w:fill="D4EDDA" w:val="clear"/>
        </w:rPr>
        <w:t>A l'attention de : Madame Christelle Locart</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Service Moyens aux Etablissements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Division Moyens Pédagogiques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40 rue Fauchier</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13233 Marseille Cedex 20</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Tél : 04 91 55 96 47</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Fax : 04 91 55 96 49</w:t>
      </w:r>
    </w:p>
    <w:p>
      <w:pPr>
        <w:pStyle w:val="Normal"/>
        <w:spacing w:lineRule="atLeast" w:line="57" w:before="198" w:after="0"/>
        <w:ind w:left="0" w:right="0" w:hanging="0"/>
        <w:jc w:val="both"/>
        <w:rPr/>
      </w:pPr>
      <w:r>
        <w:rPr>
          <w:rFonts w:eastAsia="Arial" w:cs="Arial"/>
          <w:color w:val="000000"/>
          <w:sz w:val="20"/>
          <w:highlight w:val="white"/>
          <w:shd w:fill="D4EDDA" w:val="clear"/>
        </w:rPr>
        <w:t xml:space="preserve">Courriel : clocart@marseille.f </w:t>
      </w:r>
    </w:p>
    <w:p>
      <w:pPr>
        <w:pStyle w:val="Normal"/>
        <w:rPr>
          <w:rFonts w:ascii="arial" w:hAnsi="arial" w:eastAsia="arial" w:cs="arial"/>
          <w:color w:val="000000"/>
        </w:rPr>
      </w:pPr>
      <w:r>
        <w:rPr>
          <w:rFonts w:eastAsia="arial" w:cs="arial" w:ascii="arial" w:hAnsi="arial"/>
          <w:color w:val="000000"/>
        </w:rPr>
      </w:r>
    </w:p>
    <w:p>
      <w:pPr>
        <w:pStyle w:val="Normal"/>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AE_FOURNITURES DE LIVRES SCOLAIRES, LIVRES NON SCOLAIRES ET COMPLEMENTS PEDAGOGIQUES.docx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8"/>
    <w:qFormat/>
    <w:pPr>
      <w:numPr>
        <w:ilvl w:val="6"/>
        <w:numId w:val="1"/>
      </w:numPr>
      <w:spacing w:before="283" w:after="57"/>
      <w:jc w:val="both"/>
      <w:outlineLvl w:val="6"/>
    </w:pPr>
    <w:rPr>
      <w:bCs/>
      <w:sz w:val="22"/>
    </w:rPr>
  </w:style>
  <w:style w:type="paragraph" w:styleId="Titre8">
    <w:name w:val="Heading 8"/>
    <w:basedOn w:val="Titre"/>
    <w:link w:val="799"/>
    <w:qFormat/>
    <w:pPr>
      <w:numPr>
        <w:ilvl w:val="7"/>
        <w:numId w:val="1"/>
      </w:numPr>
      <w:spacing w:before="283" w:after="57"/>
      <w:jc w:val="both"/>
      <w:outlineLvl w:val="7"/>
    </w:pPr>
    <w:rPr>
      <w:bCs/>
      <w:sz w:val="21"/>
    </w:rPr>
  </w:style>
  <w:style w:type="paragraph" w:styleId="Titre9">
    <w:name w:val="Heading 9"/>
    <w:basedOn w:val="Titre"/>
    <w:link w:val="800"/>
    <w:qFormat/>
    <w:pPr>
      <w:numPr>
        <w:ilvl w:val="8"/>
        <w:numId w:val="1"/>
      </w:numPr>
      <w:spacing w:before="283" w:after="57"/>
      <w:jc w:val="both"/>
      <w:outlineLvl w:val="8"/>
    </w:pPr>
    <w:rPr>
      <w:bCs/>
      <w:sz w:val="21"/>
    </w:rPr>
  </w:style>
  <w:style w:type="character" w:styleId="Heading1Char">
    <w:name w:val="Heading 1 Char"/>
    <w:basedOn w:val="DefaultParagraphFont"/>
    <w:link w:val="782"/>
    <w:uiPriority w:val="9"/>
    <w:qFormat/>
    <w:rPr>
      <w:rFonts w:ascii="Arial" w:hAnsi="Arial" w:eastAsia="Arial" w:cs="Arial"/>
      <w:sz w:val="40"/>
      <w:szCs w:val="40"/>
    </w:rPr>
  </w:style>
  <w:style w:type="character" w:styleId="Heading2Char">
    <w:name w:val="Heading 2 Char"/>
    <w:basedOn w:val="DefaultParagraphFont"/>
    <w:link w:val="783"/>
    <w:uiPriority w:val="9"/>
    <w:qFormat/>
    <w:rPr>
      <w:rFonts w:ascii="Arial" w:hAnsi="Arial" w:eastAsia="Arial" w:cs="Arial"/>
      <w:sz w:val="34"/>
    </w:rPr>
  </w:style>
  <w:style w:type="character" w:styleId="Heading3Char">
    <w:name w:val="Heading 3 Char"/>
    <w:basedOn w:val="DefaultParagraphFont"/>
    <w:link w:val="784"/>
    <w:uiPriority w:val="9"/>
    <w:qFormat/>
    <w:rPr>
      <w:rFonts w:ascii="Arial" w:hAnsi="Arial" w:eastAsia="Arial" w:cs="Arial"/>
      <w:sz w:val="30"/>
      <w:szCs w:val="30"/>
    </w:rPr>
  </w:style>
  <w:style w:type="character" w:styleId="Heading4Char">
    <w:name w:val="Heading 4 Char"/>
    <w:basedOn w:val="DefaultParagraphFont"/>
    <w:link w:val="785"/>
    <w:uiPriority w:val="9"/>
    <w:qFormat/>
    <w:rPr>
      <w:rFonts w:ascii="Arial" w:hAnsi="Arial" w:eastAsia="Arial" w:cs="Arial"/>
      <w:b/>
      <w:bCs/>
      <w:sz w:val="26"/>
      <w:szCs w:val="26"/>
    </w:rPr>
  </w:style>
  <w:style w:type="character" w:styleId="Heading5Char">
    <w:name w:val="Heading 5 Char"/>
    <w:basedOn w:val="DefaultParagraphFont"/>
    <w:link w:val="786"/>
    <w:uiPriority w:val="9"/>
    <w:qFormat/>
    <w:rPr>
      <w:rFonts w:ascii="Arial" w:hAnsi="Arial" w:eastAsia="Arial" w:cs="Arial"/>
      <w:b/>
      <w:bCs/>
      <w:sz w:val="24"/>
      <w:szCs w:val="24"/>
    </w:rPr>
  </w:style>
  <w:style w:type="character" w:styleId="Heading6Char">
    <w:name w:val="Heading 6 Char"/>
    <w:basedOn w:val="DefaultParagraphFont"/>
    <w:link w:val="787"/>
    <w:uiPriority w:val="9"/>
    <w:qFormat/>
    <w:rPr>
      <w:rFonts w:ascii="Arial" w:hAnsi="Arial" w:eastAsia="Arial" w:cs="Arial"/>
      <w:b/>
      <w:bCs/>
      <w:sz w:val="22"/>
      <w:szCs w:val="22"/>
    </w:rPr>
  </w:style>
  <w:style w:type="character" w:styleId="Heading7Char">
    <w:name w:val="Heading 7 Char"/>
    <w:basedOn w:val="DefaultParagraphFont"/>
    <w:link w:val="788"/>
    <w:uiPriority w:val="9"/>
    <w:qFormat/>
    <w:rPr>
      <w:rFonts w:ascii="Arial" w:hAnsi="Arial" w:eastAsia="Arial" w:cs="Arial"/>
      <w:b/>
      <w:bCs/>
      <w:i/>
      <w:iCs/>
      <w:sz w:val="22"/>
      <w:szCs w:val="22"/>
    </w:rPr>
  </w:style>
  <w:style w:type="character" w:styleId="Heading8Char">
    <w:name w:val="Heading 8 Char"/>
    <w:basedOn w:val="DefaultParagraphFont"/>
    <w:link w:val="789"/>
    <w:uiPriority w:val="9"/>
    <w:qFormat/>
    <w:rPr>
      <w:rFonts w:ascii="Arial" w:hAnsi="Arial" w:eastAsia="Arial" w:cs="Arial"/>
      <w:i/>
      <w:iCs/>
      <w:sz w:val="22"/>
      <w:szCs w:val="22"/>
    </w:rPr>
  </w:style>
  <w:style w:type="character" w:styleId="Heading9Char">
    <w:name w:val="Heading 9 Char"/>
    <w:basedOn w:val="DefaultParagraphFont"/>
    <w:link w:val="790"/>
    <w:uiPriority w:val="9"/>
    <w:qFormat/>
    <w:rPr>
      <w:rFonts w:ascii="Arial" w:hAnsi="Arial" w:eastAsia="Arial" w:cs="Arial"/>
      <w:i/>
      <w:iCs/>
      <w:sz w:val="21"/>
      <w:szCs w:val="21"/>
    </w:rPr>
  </w:style>
  <w:style w:type="character" w:styleId="TitleChar">
    <w:name w:val="Title Char"/>
    <w:basedOn w:val="DefaultParagraphFont"/>
    <w:link w:val="825"/>
    <w:uiPriority w:val="10"/>
    <w:qFormat/>
    <w:rPr>
      <w:sz w:val="48"/>
      <w:szCs w:val="48"/>
    </w:rPr>
  </w:style>
  <w:style w:type="character" w:styleId="SubtitleChar">
    <w:name w:val="Subtitle Char"/>
    <w:basedOn w:val="DefaultParagraphFont"/>
    <w:link w:val="826"/>
    <w:uiPriority w:val="11"/>
    <w:qFormat/>
    <w:rPr>
      <w:sz w:val="24"/>
      <w:szCs w:val="24"/>
    </w:rPr>
  </w:style>
  <w:style w:type="character" w:styleId="QuoteChar">
    <w:name w:val="Quote Char"/>
    <w:link w:val="827"/>
    <w:uiPriority w:val="29"/>
    <w:qFormat/>
    <w:rPr>
      <w:i/>
    </w:rPr>
  </w:style>
  <w:style w:type="character" w:styleId="IntenseQuoteChar">
    <w:name w:val="Intense Quote Char"/>
    <w:link w:val="828"/>
    <w:uiPriority w:val="30"/>
    <w:qFormat/>
    <w:rPr>
      <w:i/>
    </w:rPr>
  </w:style>
  <w:style w:type="character" w:styleId="HeaderChar">
    <w:name w:val="Header Char"/>
    <w:basedOn w:val="DefaultParagraphFont"/>
    <w:link w:val="843"/>
    <w:uiPriority w:val="99"/>
    <w:qFormat/>
    <w:rPr/>
  </w:style>
  <w:style w:type="character" w:styleId="CaptionChar">
    <w:name w:val="Caption Char"/>
    <w:link w:val="851"/>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2"/>
    <w:uiPriority w:val="9"/>
    <w:qFormat/>
    <w:rPr>
      <w:rFonts w:ascii="Arial" w:hAnsi="Arial" w:eastAsia="Arial" w:cs="Arial"/>
      <w:sz w:val="40"/>
      <w:szCs w:val="40"/>
    </w:rPr>
  </w:style>
  <w:style w:type="character" w:styleId="Titre2Car" w:customStyle="1">
    <w:name w:val="Titre 2 Car"/>
    <w:basedOn w:val="DefaultParagraphFont"/>
    <w:link w:val="783"/>
    <w:uiPriority w:val="9"/>
    <w:qFormat/>
    <w:rPr>
      <w:rFonts w:ascii="Arial" w:hAnsi="Arial"/>
      <w:b/>
      <w:bCs/>
      <w:iCs/>
      <w:color w:val="666699"/>
      <w:sz w:val="22"/>
      <w:szCs w:val="28"/>
      <w:u w:val="single"/>
    </w:rPr>
  </w:style>
  <w:style w:type="character" w:styleId="Titre3Car" w:customStyle="1">
    <w:name w:val="Titre 3 Car"/>
    <w:basedOn w:val="DefaultParagraphFont"/>
    <w:link w:val="784"/>
    <w:uiPriority w:val="9"/>
    <w:qFormat/>
    <w:rPr>
      <w:rFonts w:ascii="Arial" w:hAnsi="Arial" w:eastAsia="Arial" w:cs="Arial"/>
      <w:sz w:val="30"/>
      <w:szCs w:val="30"/>
    </w:rPr>
  </w:style>
  <w:style w:type="character" w:styleId="Titre4Car" w:customStyle="1">
    <w:name w:val="Titre 4 Car"/>
    <w:basedOn w:val="DefaultParagraphFont"/>
    <w:link w:val="785"/>
    <w:uiPriority w:val="9"/>
    <w:qFormat/>
    <w:rPr>
      <w:rFonts w:ascii="Arial" w:hAnsi="Arial" w:eastAsia="Arial" w:cs="Arial"/>
      <w:b/>
      <w:bCs/>
      <w:sz w:val="26"/>
      <w:szCs w:val="26"/>
    </w:rPr>
  </w:style>
  <w:style w:type="character" w:styleId="Titre5Car" w:customStyle="1">
    <w:name w:val="Titre 5 Car"/>
    <w:basedOn w:val="DefaultParagraphFont"/>
    <w:link w:val="786"/>
    <w:uiPriority w:val="9"/>
    <w:qFormat/>
    <w:rPr>
      <w:rFonts w:ascii="Arial" w:hAnsi="Arial" w:eastAsia="Arial" w:cs="Arial"/>
      <w:b/>
      <w:bCs/>
      <w:sz w:val="24"/>
      <w:szCs w:val="24"/>
    </w:rPr>
  </w:style>
  <w:style w:type="character" w:styleId="Titre6Car" w:customStyle="1">
    <w:name w:val="Titre 6 Car"/>
    <w:basedOn w:val="DefaultParagraphFont"/>
    <w:link w:val="787"/>
    <w:uiPriority w:val="9"/>
    <w:qFormat/>
    <w:rPr>
      <w:rFonts w:ascii="Arial" w:hAnsi="Arial" w:eastAsia="Arial" w:cs="Arial"/>
      <w:b/>
      <w:bCs/>
      <w:sz w:val="22"/>
      <w:szCs w:val="22"/>
    </w:rPr>
  </w:style>
  <w:style w:type="character" w:styleId="Titre7Car" w:customStyle="1">
    <w:name w:val="Titre 7 Car"/>
    <w:basedOn w:val="DefaultParagraphFont"/>
    <w:link w:val="788"/>
    <w:uiPriority w:val="9"/>
    <w:qFormat/>
    <w:rPr>
      <w:rFonts w:ascii="Arial" w:hAnsi="Arial" w:eastAsia="Arial" w:cs="Arial"/>
      <w:b/>
      <w:bCs/>
      <w:i/>
      <w:iCs/>
      <w:sz w:val="22"/>
      <w:szCs w:val="22"/>
    </w:rPr>
  </w:style>
  <w:style w:type="character" w:styleId="Titre8Car" w:customStyle="1">
    <w:name w:val="Titre 8 Car"/>
    <w:basedOn w:val="DefaultParagraphFont"/>
    <w:link w:val="789"/>
    <w:uiPriority w:val="9"/>
    <w:qFormat/>
    <w:rPr>
      <w:rFonts w:ascii="Arial" w:hAnsi="Arial" w:eastAsia="Arial" w:cs="Arial"/>
      <w:i/>
      <w:iCs/>
      <w:sz w:val="22"/>
      <w:szCs w:val="22"/>
    </w:rPr>
  </w:style>
  <w:style w:type="character" w:styleId="Titre9Car" w:customStyle="1">
    <w:name w:val="Titre 9 Car"/>
    <w:basedOn w:val="DefaultParagraphFont"/>
    <w:link w:val="790"/>
    <w:uiPriority w:val="9"/>
    <w:qFormat/>
    <w:rPr>
      <w:rFonts w:ascii="Arial" w:hAnsi="Arial" w:eastAsia="Arial" w:cs="Arial"/>
      <w:i/>
      <w:iCs/>
      <w:sz w:val="21"/>
      <w:szCs w:val="21"/>
    </w:rPr>
  </w:style>
  <w:style w:type="character" w:styleId="TitreCar" w:customStyle="1">
    <w:name w:val="Titre Car"/>
    <w:basedOn w:val="DefaultParagraphFont"/>
    <w:link w:val="81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1"/>
    <w:uiPriority w:val="99"/>
    <w:qFormat/>
    <w:rPr/>
  </w:style>
  <w:style w:type="character" w:styleId="NotedebasdepageCar" w:customStyle="1">
    <w:name w:val="Note de bas de page Car"/>
    <w:link w:val="829"/>
    <w:uiPriority w:val="99"/>
    <w:qFormat/>
    <w:rPr>
      <w:sz w:val="18"/>
    </w:rPr>
  </w:style>
  <w:style w:type="character" w:styleId="NotedefinCar" w:customStyle="1">
    <w:name w:val="Note de fin Car"/>
    <w:link w:val="83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3"/>
    <w:uiPriority w:val="29"/>
    <w:qFormat/>
    <w:pPr>
      <w:ind w:left="720" w:right="720" w:hanging="0"/>
    </w:pPr>
    <w:rPr>
      <w:i/>
    </w:rPr>
  </w:style>
  <w:style w:type="paragraph" w:styleId="IntenseQuote">
    <w:name w:val="Intense Quote"/>
    <w:basedOn w:val="Normal"/>
    <w:link w:val="80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8"/>
    <w:uiPriority w:val="99"/>
    <w:semiHidden/>
    <w:unhideWhenUsed/>
    <w:qFormat/>
    <w:pPr>
      <w:spacing w:before="120" w:after="40"/>
    </w:pPr>
    <w:rPr>
      <w:sz w:val="18"/>
    </w:rPr>
  </w:style>
  <w:style w:type="paragraph" w:styleId="Notedefin">
    <w:name w:val="Endnote Text"/>
    <w:basedOn w:val="Normal"/>
    <w:link w:val="811"/>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6"/>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7"/>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69</TotalTime>
  <Application>LibreOffice/7.2.7.2$Windows_x86 LibreOffice_project/8d71d29d553c0f7dcbfa38fbfda25ee34cce99a2</Application>
  <AppVersion>15.0000</AppVersion>
  <Pages>13</Pages>
  <Words>2358</Words>
  <Characters>13873</Characters>
  <CharactersWithSpaces>15921</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2022-11-29T10:33:21Z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