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1 LIVRES SCOLAIRES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arial" w:cs="arial" w:ascii="arial" w:hAnsi="arial"/>
          <w:b/>
          <w:i w:val="false"/>
          <w:color w:val="000000"/>
          <w:sz w:val="20"/>
          <w:highlight w:val="white"/>
          <w:u w:val="none"/>
          <w:shd w:fill="D4EDDA" w:val="clear"/>
        </w:rPr>
        <w:t xml:space="preserve"> 22_0741</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procédure de passation est la suivante : APPEL D'OFFRES OUVERT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before="120" w:after="0"/>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spacing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spacing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Service responsable de l'exécution du marché :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before="0" w:after="0"/>
        <w:ind w:left="0" w:right="0" w:hanging="0"/>
        <w:jc w:val="both"/>
        <w:rPr>
          <w:highlight w:val="white"/>
        </w:rPr>
      </w:pPr>
      <w:r>
        <w:rPr>
          <w:rFonts w:eastAsia="Arial" w:cs="Arial"/>
          <w:color w:val="000000"/>
          <w:sz w:val="20"/>
          <w:highlight w:val="white"/>
          <w:shd w:fill="D4EDDA" w:val="clear"/>
        </w:rPr>
        <w:t>Ville de Marseille</w:t>
      </w:r>
    </w:p>
    <w:p>
      <w:pPr>
        <w:pStyle w:val="Normal"/>
        <w:spacing w:before="200"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before="200" w:after="0"/>
        <w:ind w:left="0" w:right="0" w:hanging="0"/>
        <w:jc w:val="both"/>
        <w:rPr>
          <w:highlight w:val="white"/>
        </w:rPr>
      </w:pPr>
      <w:r>
        <w:rPr>
          <w:rFonts w:eastAsia="Arial" w:cs="Arial"/>
          <w:color w:val="000000"/>
          <w:sz w:val="20"/>
          <w:highlight w:val="white"/>
          <w:shd w:fill="D4EDDA" w:val="clear"/>
        </w:rPr>
        <w:t xml:space="preserve">Services Moyens aux établissements </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Imputation budgétaire :</w:t>
      </w:r>
    </w:p>
    <w:p>
      <w:pPr>
        <w:pStyle w:val="Normal"/>
        <w:rPr>
          <w:highlight w:val="white"/>
        </w:rPr>
      </w:pPr>
      <w:r>
        <w:rPr>
          <w:rFonts w:eastAsia="arial" w:cs="arial" w:ascii="arial" w:hAnsi="arial"/>
          <w:b w:val="false"/>
          <w:i w:val="false"/>
          <w:color w:val="000000"/>
          <w:sz w:val="20"/>
          <w:highlight w:val="white"/>
          <w:u w:val="none"/>
          <w:shd w:fill="D4EDDA" w:val="clear"/>
        </w:rPr>
        <w:t xml:space="preserve">- Budget de fonctionnement : sur les articles 6067 "fournitures scolaires" et 6238 "frais divers de publicité, de publication et de relations publiques - fonction 212 "écoles primaires" </w:t>
      </w:r>
    </w:p>
    <w:p>
      <w:pPr>
        <w:pStyle w:val="Titre2"/>
        <w:numPr>
          <w:ilvl w:val="1"/>
          <w:numId w:val="2"/>
        </w:numPr>
        <w:rPr>
          <w:highlight w:val="white"/>
        </w:rPr>
      </w:pPr>
      <w:bookmarkStart w:id="5" w:name="_Toc3968"/>
      <w:r>
        <w:rPr>
          <w:highlight w:val="white"/>
        </w:rPr>
        <w:t>Code CPV</w:t>
      </w:r>
      <w:bookmarkEnd w:id="5"/>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single"/>
          <w:shd w:fill="F5EBA4" w:val="clear"/>
        </w:rPr>
        <w:t>Code CPV principal</w:t>
      </w:r>
      <w:r>
        <w:rPr>
          <w:rFonts w:eastAsia="arial" w:cs="arial" w:ascii="arial" w:hAnsi="arial"/>
          <w:b w:val="false"/>
          <w:i w:val="false"/>
          <w:color w:val="000000"/>
          <w:sz w:val="20"/>
          <w:highlight w:val="white"/>
          <w:u w:val="none"/>
          <w:shd w:fill="F5EBA4" w:val="clear"/>
        </w:rPr>
        <w:t xml:space="preserve"> :</w:t>
      </w:r>
    </w:p>
    <w:p>
      <w:pPr>
        <w:pStyle w:val="Normal"/>
        <w:rPr>
          <w:highlight w:val="white"/>
        </w:rPr>
      </w:pPr>
      <w:r>
        <w:rPr>
          <w:rFonts w:eastAsia="arial" w:cs="arial" w:ascii="arial" w:hAnsi="arial"/>
          <w:b w:val="false"/>
          <w:i w:val="false"/>
          <w:color w:val="000000"/>
          <w:sz w:val="20"/>
          <w:highlight w:val="white"/>
          <w:u w:val="none"/>
          <w:shd w:fill="F5EBA4" w:val="clear"/>
        </w:rPr>
        <w:t>22111000-1</w:t>
        <w:tab/>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complémentaires.</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F5EBA4" w:val="clear"/>
        </w:rPr>
        <w:t xml:space="preserve"> </w:t>
      </w:r>
      <w:r>
        <w:rPr>
          <w:rFonts w:eastAsia="arial" w:cs="arial" w:ascii="arial" w:hAnsi="arial"/>
          <w:b w:val="false"/>
          <w:i w:val="false"/>
          <w:color w:val="000000"/>
          <w:sz w:val="20"/>
          <w:highlight w:val="white"/>
          <w:u w:val="none"/>
          <w:shd w:fill="F5EBA4"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SCOLAIRES</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400 000,00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1 100 000,00 EUROS</w:t>
      </w:r>
    </w:p>
    <w:p>
      <w:pPr>
        <w:pStyle w:val="Normal"/>
        <w:spacing w:before="120" w:after="0"/>
        <w:rPr>
          <w:highlight w:val="white"/>
        </w:rPr>
      </w:pPr>
      <w:r>
        <w:rPr>
          <w:highlight w:val="white"/>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catalogues et / ou tarifs publics annexés, auxquels s'appliquent les taux de remise consentis. Le prix du marché résulte de l'application des quantités réellement exécutées aux prix unitaires des catalogues.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2"/>
        <w:numPr>
          <w:ilvl w:val="1"/>
          <w:numId w:val="2"/>
        </w:numPr>
        <w:rPr/>
      </w:pPr>
      <w:bookmarkStart w:id="14" w:name="_Toc3977"/>
      <w:r>
        <w:rPr/>
        <w:t>Sous traitance</w:t>
      </w:r>
      <w:bookmarkEnd w:id="14"/>
    </w:p>
    <w:p>
      <w:pPr>
        <w:pStyle w:val="Normal"/>
        <w:rPr/>
      </w:pPr>
      <w:r>
        <w:rPr>
          <w:rFonts w:eastAsia="arial" w:cs="arial" w:ascii="arial" w:hAnsi="arial"/>
          <w:b w:val="false"/>
          <w:i w:val="false"/>
          <w:color w:val="000000"/>
          <w:sz w:val="20"/>
          <w:u w:val="none"/>
        </w:rPr>
        <w:t>Sans objet.</w:t>
      </w:r>
    </w:p>
    <w:p>
      <w:pPr>
        <w:pStyle w:val="Titre1"/>
        <w:numPr>
          <w:ilvl w:val="0"/>
          <w:numId w:val="2"/>
        </w:numPr>
        <w:rPr/>
      </w:pPr>
      <w:bookmarkStart w:id="15" w:name="_Toc3978"/>
      <w:r>
        <w:rPr/>
        <w:t>AVANCE</w:t>
      </w:r>
      <w:bookmarkEnd w:id="15"/>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highlight w:val="white"/>
        </w:rPr>
      </w:pPr>
      <w:bookmarkStart w:id="16" w:name="_Toc3979"/>
      <w:r>
        <w:rPr>
          <w:highlight w:val="white"/>
        </w:rPr>
        <w:t>DUREE</w:t>
      </w:r>
      <w:bookmarkEnd w:id="16"/>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before="200"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before="200" w:after="0"/>
        <w:ind w:left="0" w:right="0" w:hanging="0"/>
        <w:jc w:val="both"/>
        <w:rPr>
          <w:rFonts w:ascii="Arial" w:hAnsi="Arial" w:eastAsia="Arial" w:cs="Arial"/>
          <w:highlight w:val="white"/>
        </w:rPr>
      </w:pPr>
      <w:r>
        <w:rPr>
          <w:rFonts w:eastAsia="Arial" w:cs="Arial"/>
          <w:color w:val="000000"/>
          <w:sz w:val="20"/>
          <w:highlight w:val="white"/>
          <w:shd w:fill="D4EDDA" w:val="clear"/>
        </w:rPr>
        <w:t>Le marché est</w:t>
      </w:r>
      <w:r>
        <w:rPr>
          <w:rFonts w:eastAsia="Arial" w:cs="Arial"/>
          <w:b/>
          <w:color w:val="000000"/>
          <w:sz w:val="20"/>
          <w:highlight w:val="white"/>
          <w:shd w:fill="D4EDDA" w:val="clear"/>
        </w:rPr>
        <w:t xml:space="preserve"> reconductible </w:t>
      </w:r>
      <w:r>
        <w:rPr>
          <w:rFonts w:eastAsia="Arial" w:cs="Arial"/>
          <w:color w:val="000000"/>
          <w:sz w:val="20"/>
          <w:highlight w:val="white"/>
          <w:shd w:fill="D4EDDA" w:val="clear"/>
        </w:rPr>
        <w:t>par période d'un an, dans la limite de</w:t>
      </w:r>
      <w:r>
        <w:rPr>
          <w:rFonts w:eastAsia="Arial" w:cs="Arial"/>
          <w:b/>
          <w:color w:val="000000"/>
          <w:sz w:val="20"/>
          <w:highlight w:val="white"/>
          <w:shd w:fill="D4EDDA" w:val="clear"/>
        </w:rPr>
        <w:t>3 reconductions.</w:t>
      </w:r>
    </w:p>
    <w:p>
      <w:pPr>
        <w:pStyle w:val="Normal"/>
        <w:spacing w:before="200" w:after="0"/>
        <w:ind w:left="0" w:right="0" w:hanging="0"/>
        <w:jc w:val="both"/>
        <w:rPr>
          <w:rFonts w:ascii="Arial" w:hAnsi="Arial" w:eastAsia="Arial" w:cs="Arial"/>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before="200" w:after="0"/>
        <w:ind w:left="0" w:right="0" w:hanging="0"/>
        <w:jc w:val="both"/>
        <w:rPr>
          <w:rFonts w:ascii="Arial" w:hAnsi="Arial" w:eastAsia="Arial" w:cs="Arial"/>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before="200" w:after="0"/>
        <w:ind w:left="0" w:right="0" w:hanging="0"/>
        <w:jc w:val="both"/>
        <w:rPr>
          <w:rFonts w:ascii="Arial" w:hAnsi="Arial" w:eastAsia="Arial" w:cs="Arial"/>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7" w:name="_Toc3980"/>
      <w:r>
        <w:rPr/>
        <w:t>PROVENANCE DES FOURNITURES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18" w:name="_Toc3981"/>
      <w:r>
        <w:rPr/>
        <w:t>DELAI DE VALIDITE DES OFFRES</w:t>
      </w:r>
      <w:bookmarkEnd w:id="18"/>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 xml:space="preserve">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6  </w:t>
      </w:r>
      <w:r>
        <w:rPr>
          <w:rFonts w:eastAsia="arial" w:cs="arial" w:ascii="arial" w:hAnsi="arial"/>
          <w:b w:val="false"/>
          <w:i w:val="false"/>
          <w:color w:val="000000"/>
          <w:sz w:val="20"/>
          <w:highlight w:val="white"/>
          <w:u w:val="none"/>
          <w:shd w:fill="D4EDDA" w:val="clear"/>
        </w:rPr>
        <w:t xml:space="preserve"> mois.</w:t>
      </w:r>
    </w:p>
    <w:p>
      <w:pPr>
        <w:pStyle w:val="Titre1"/>
        <w:numPr>
          <w:ilvl w:val="0"/>
          <w:numId w:val="2"/>
        </w:numPr>
        <w:rPr>
          <w:highlight w:val="white"/>
        </w:rPr>
      </w:pPr>
      <w:bookmarkStart w:id="19" w:name="_Toc3982"/>
      <w:r>
        <w:rPr>
          <w:highlight w:val="white"/>
        </w:rPr>
        <w:t>ENGAGEMENT ET SIGNATURE DU CANDIDAT</w:t>
      </w:r>
      <w:bookmarkEnd w:id="19"/>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color w:val="auto"/>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color w:val="auto"/>
          <w:highlight w:val="none"/>
          <w:shd w:fill="auto" w:val="clear"/>
        </w:rPr>
      </w:pPr>
      <w:r>
        <w:rPr>
          <w:b/>
          <w:color w:val="000000"/>
          <w:shd w:fill="auto" w:val="clear"/>
        </w:rPr>
        <w:t>Annexe « TAUX DE REMISE »</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20" w:name="_Toc3983"/>
      <w:r>
        <w:rPr/>
        <w:t>SIGNATURE DU POUVOIR ADJUDICATEUR</w:t>
      </w:r>
      <w:bookmarkEnd w:id="20"/>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tabs>
          <w:tab w:val="clear" w:pos="706"/>
          <w:tab w:val="left" w:pos="2414" w:leader="none"/>
        </w:tabs>
        <w:spacing w:before="120" w:after="0"/>
        <w:rPr>
          <w:b/>
          <w:b/>
          <w:bCs/>
        </w:rPr>
      </w:pPr>
      <w:r>
        <w:rPr>
          <w:rFonts w:eastAsia="arial" w:cs="arial" w:ascii="arial" w:hAnsi="arial"/>
          <w:b/>
          <w:bCs/>
          <w:i w:val="false"/>
          <w:color w:val="000000"/>
          <w:sz w:val="20"/>
          <w:highlight w:val="white"/>
          <w:u w:val="none"/>
          <w:shd w:fill="D4EDDA" w:val="clear"/>
        </w:rPr>
        <w:t>* pour le lot n° : 1</w:t>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shd w:fill="F5EBA4"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F5EBA4" w:val="clear"/>
        </w:rPr>
        <w:t>Signature</w:t>
      </w:r>
    </w:p>
    <w:p>
      <w:pPr>
        <w:pStyle w:val="Normal"/>
        <w:spacing w:before="120" w:after="0"/>
        <w:rPr>
          <w:highlight w:val="white"/>
        </w:rPr>
      </w:pPr>
      <w:r>
        <w:rPr>
          <w:rFonts w:eastAsia="arial" w:cs="arial" w:ascii="arial" w:hAnsi="arial"/>
          <w:b w:val="false"/>
          <w:i/>
          <w:color w:val="000000"/>
          <w:sz w:val="20"/>
          <w:highlight w:val="white"/>
          <w:u w:val="none"/>
          <w:shd w:fill="F5EBA4" w:val="clear"/>
        </w:rPr>
        <w:t>(Représentant du pouvoir adjudicateur habilité à signer)</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F5EBA4" w:val="clear"/>
        </w:rPr>
        <w:t xml:space="preserve"> </w:t>
      </w:r>
      <w:r>
        <w:rPr>
          <w:rFonts w:eastAsia="arial" w:cs="arial" w:ascii="arial" w:hAnsi="arial"/>
          <w:b w:val="false"/>
          <w:i w:val="false"/>
          <w:color w:val="000000"/>
          <w:sz w:val="20"/>
          <w:highlight w:val="white"/>
          <w:u w:val="none"/>
          <w:shd w:fill="F5EBA4" w:val="clear"/>
        </w:rPr>
        <w:t>Pour Le Maire et par délégation</w:t>
      </w:r>
    </w:p>
    <w:p>
      <w:pPr>
        <w:pStyle w:val="Normal"/>
        <w:spacing w:before="120" w:after="0"/>
        <w:rPr>
          <w:highlight w:val="white"/>
        </w:rPr>
      </w:pPr>
      <w:r>
        <w:rPr>
          <w:highlight w:val="white"/>
        </w:rPr>
      </w:r>
    </w:p>
    <w:p>
      <w:pPr>
        <w:pStyle w:val="Normal"/>
        <w:spacing w:before="0" w:after="0"/>
        <w:ind w:left="0" w:right="0" w:hanging="0"/>
        <w:jc w:val="both"/>
        <w:rPr>
          <w:highlight w:val="white"/>
        </w:rPr>
      </w:pPr>
      <w:r>
        <w:rPr>
          <w:rFonts w:eastAsia="Arial" w:cs="Arial"/>
          <w:b/>
          <w:color w:val="000000"/>
          <w:sz w:val="20"/>
          <w:highlight w:val="white"/>
        </w:rPr>
        <w:t>Monsieur Pierre Huguet, Adjoint au Maire en charge de l'Education, des Cantines Scolaires, du Soutien Scolaire et des Cités Educatives.</w:t>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F5EBA4" w:val="clear"/>
        </w:rPr>
        <w:t>Date de transmission en Préfecture :</w:t>
      </w:r>
    </w:p>
    <w:p>
      <w:pPr>
        <w:pStyle w:val="Normal"/>
        <w:spacing w:before="120" w:after="0"/>
        <w:rPr/>
      </w:pPr>
      <w:r>
        <w:rPr/>
      </w:r>
    </w:p>
    <w:p>
      <w:pPr>
        <w:pStyle w:val="Titre1"/>
        <w:numPr>
          <w:ilvl w:val="0"/>
          <w:numId w:val="2"/>
        </w:numPr>
        <w:rPr/>
      </w:pPr>
      <w:bookmarkStart w:id="21" w:name="_Toc3984"/>
      <w:r>
        <w:rPr/>
        <w:t>NOTIFICATION DU MARCHE</w:t>
      </w:r>
      <w:bookmarkEnd w:id="21"/>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2" w:name="_Toc3985"/>
      <w:r>
        <w:rPr/>
        <w:t>EXEMPLAIRE UNIQUE ET NANTISSEMENT OU CESSION DE CREANCE</w:t>
      </w:r>
      <w:bookmarkEnd w:id="22"/>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 xml:space="preserve">Direction / Service : SERVICE DES MOYENS PEDAGOGIQUES </w:t>
      </w:r>
      <w:r>
        <w:rPr>
          <w:rFonts w:eastAsia="arial" w:cs="arial" w:ascii="arial" w:hAnsi="arial"/>
          <w:b w:val="false"/>
          <w:i w:val="false"/>
          <w:color w:val="000000"/>
          <w:sz w:val="20"/>
          <w:u w:val="none"/>
        </w:rPr>
        <w:t>AUX ETABLISSEMENTS</w:t>
      </w:r>
    </w:p>
    <w:p>
      <w:pPr>
        <w:pStyle w:val="Normal"/>
        <w:spacing w:before="0" w:after="0"/>
        <w:ind w:left="0" w:right="0" w:hanging="0"/>
        <w:jc w:val="both"/>
        <w:rPr>
          <w:rFonts w:eastAsia="Arial" w:cs="Arial"/>
          <w:color w:val="000000"/>
          <w:sz w:val="20"/>
        </w:rPr>
      </w:pPr>
      <w:r>
        <w:rPr/>
      </w:r>
    </w:p>
    <w:p>
      <w:pPr>
        <w:pStyle w:val="Normal"/>
        <w:spacing w:before="0" w:after="0"/>
        <w:ind w:left="0" w:right="0" w:hanging="0"/>
        <w:jc w:val="both"/>
        <w:rPr/>
      </w:pPr>
      <w:r>
        <w:rPr>
          <w:rFonts w:eastAsia="Arial" w:cs="Arial"/>
          <w:color w:val="000000"/>
          <w:sz w:val="20"/>
        </w:rPr>
        <w:t>A l'attention de : Madame Christelle Locart</w:t>
      </w:r>
    </w:p>
    <w:p>
      <w:pPr>
        <w:pStyle w:val="Normal"/>
        <w:spacing w:before="200" w:after="0"/>
        <w:ind w:left="0" w:right="0" w:hanging="0"/>
        <w:jc w:val="both"/>
        <w:rPr/>
      </w:pPr>
      <w:r>
        <w:rPr>
          <w:rFonts w:eastAsia="Arial" w:cs="Arial"/>
          <w:color w:val="000000"/>
          <w:sz w:val="20"/>
        </w:rPr>
        <w:t>Division Moyens Pédagogiques</w:t>
      </w:r>
    </w:p>
    <w:p>
      <w:pPr>
        <w:pStyle w:val="Normal"/>
        <w:spacing w:before="200" w:after="0"/>
        <w:ind w:left="0" w:right="0" w:hanging="0"/>
        <w:jc w:val="both"/>
        <w:rPr/>
      </w:pPr>
      <w:r>
        <w:rPr>
          <w:rFonts w:eastAsia="Arial" w:cs="Arial"/>
          <w:color w:val="000000"/>
          <w:sz w:val="20"/>
        </w:rPr>
        <w:t>40 rue Fauchier</w:t>
      </w:r>
    </w:p>
    <w:p>
      <w:pPr>
        <w:pStyle w:val="Normal"/>
        <w:spacing w:before="200" w:after="0"/>
        <w:ind w:left="0" w:right="0" w:hanging="0"/>
        <w:jc w:val="both"/>
        <w:rPr/>
      </w:pPr>
      <w:r>
        <w:rPr>
          <w:rFonts w:eastAsia="Arial" w:cs="Arial"/>
          <w:color w:val="000000"/>
          <w:sz w:val="20"/>
        </w:rPr>
        <w:t>13233 Marseille Cedex 20</w:t>
      </w:r>
    </w:p>
    <w:p>
      <w:pPr>
        <w:pStyle w:val="Normal"/>
        <w:spacing w:before="200" w:after="0"/>
        <w:ind w:left="0" w:right="0" w:hanging="0"/>
        <w:jc w:val="both"/>
        <w:rPr/>
      </w:pPr>
      <w:r>
        <w:rPr>
          <w:rFonts w:eastAsia="Arial" w:cs="Arial"/>
          <w:color w:val="000000"/>
          <w:sz w:val="20"/>
        </w:rPr>
        <w:t>Tél : 04 91 55 96 47</w:t>
      </w:r>
    </w:p>
    <w:p>
      <w:pPr>
        <w:pStyle w:val="Normal"/>
        <w:spacing w:before="200" w:after="0"/>
        <w:ind w:left="0" w:right="0" w:hanging="0"/>
        <w:jc w:val="both"/>
        <w:rPr/>
      </w:pPr>
      <w:r>
        <w:rPr>
          <w:rFonts w:eastAsia="Arial" w:cs="Arial"/>
          <w:color w:val="000000"/>
          <w:sz w:val="20"/>
        </w:rPr>
        <w:t>Fax : 04 91 55 96 49</w:t>
      </w:r>
    </w:p>
    <w:p>
      <w:pPr>
        <w:pStyle w:val="Normal"/>
        <w:spacing w:before="200" w:after="0"/>
        <w:ind w:left="0" w:right="0" w:hanging="0"/>
        <w:jc w:val="both"/>
        <w:rPr/>
      </w:pPr>
      <w:r>
        <w:rPr>
          <w:rFonts w:eastAsia="Arial" w:cs="Arial"/>
          <w:color w:val="000000"/>
          <w:sz w:val="20"/>
        </w:rPr>
        <w:t xml:space="preserve">Courriel : clocart@marseille.f </w:t>
      </w:r>
    </w:p>
    <w:p>
      <w:pPr>
        <w:pStyle w:val="Normal"/>
        <w:rPr/>
      </w:pPr>
      <w:r>
        <w:rPr/>
      </w:r>
    </w:p>
    <w:p>
      <w:pPr>
        <w:pStyle w:val="Normal"/>
        <w:rPr/>
      </w:pPr>
      <w:r>
        <w:rPr/>
      </w:r>
    </w:p>
    <w:p>
      <w:pPr>
        <w:pStyle w:val="Normal"/>
        <w:rPr/>
      </w:pPr>
      <w:r>
        <w:rPr/>
        <w:t>    </w:t>
      </w:r>
    </w:p>
    <w:p>
      <w:pPr>
        <w:pStyle w:val="Normal"/>
        <w:rPr/>
      </w:pPr>
      <w: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NotedefinCar" w:customStyle="1">
    <w:name w:val="Note de fin Car"/>
    <w:link w:val="83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0"/>
    <w:uiPriority w:val="99"/>
    <w:semiHidden/>
    <w:unhideWhenUsed/>
    <w:qFormat/>
    <w:pPr>
      <w:spacing w:before="120" w:after="40"/>
    </w:pPr>
    <w:rPr>
      <w:sz w:val="18"/>
    </w:rPr>
  </w:style>
  <w:style w:type="paragraph" w:styleId="Notedefin">
    <w:name w:val="Endnote Text"/>
    <w:basedOn w:val="Normal"/>
    <w:link w:val="81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LibreOffice/7.2.7.2$Windows_x86 LibreOffice_project/8d71d29d553c0f7dcbfa38fbfda25ee34cce99a2</Application>
  <AppVersion>15.0000</AppVersion>
  <Pages>13</Pages>
  <Words>2404</Words>
  <Characters>13802</Characters>
  <CharactersWithSpaces>15845</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2022-11-29T10:10:02Z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