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DIRECTION DE L’ARCHITECTURE, VALORISATION DES EQUIPEMENTS ET DE LEURS USAGES</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Acte d'</w:t>
      </w:r>
      <w:r>
        <w:rPr>
          <w:rFonts w:cs="Arial"/>
          <w:color w:val="5B9BD5" w:themeColor="accent5"/>
          <w:sz w:val="44"/>
          <w:szCs w:val="44"/>
          <w:shd w:fill="FFFFFF" w:val="clear"/>
        </w:rPr>
        <w:t>E</w:t>
      </w:r>
      <w:r>
        <w:rPr>
          <w:rFonts w:cs="Arial"/>
          <w:color w:val="5B9BD5" w:themeColor="accent5"/>
          <w:sz w:val="44"/>
          <w:szCs w:val="44"/>
          <w:shd w:fill="FFFFFF" w:val="clear"/>
        </w:rPr>
        <w:t>ngagement</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sz w:val="36"/>
          <w:szCs w:val="36"/>
        </w:rPr>
      </w:pPr>
      <w:r>
        <w:rPr>
          <w:rFonts w:cs="Arial"/>
          <w:color w:val="5B9BD5" w:themeColor="accent5"/>
          <w:sz w:val="36"/>
          <w:szCs w:val="36"/>
          <w:highlight w:val="white"/>
          <w:shd w:fill="FFFFFF" w:val="clear"/>
        </w:rPr>
        <w:t>Mission d’études portant sur la restauration du clos, couvert, structure de la chapelle  des Bernardines et des constructions annexes, sur la conservation des décors de la coupole et sur la mise en accessibilité du théâtre aux PMR - 17 bd Garibaldi - 13001 Marseille</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sz w:val="24"/>
          <w:szCs w:val="24"/>
        </w:rPr>
      </w:pPr>
      <w:r>
        <w:rPr>
          <w:rFonts w:cs="Arial"/>
          <w:b/>
          <w:bCs/>
          <w:color w:val="000000"/>
          <w:sz w:val="24"/>
          <w:szCs w:val="24"/>
          <w:u w:val="single"/>
        </w:rPr>
        <w:t>Numéro de la consultation :</w:t>
      </w:r>
      <w:r>
        <w:rPr>
          <w:rFonts w:cs="Arial"/>
          <w:color w:val="4472C4" w:themeColor="accent1"/>
          <w:sz w:val="24"/>
          <w:szCs w:val="24"/>
        </w:rPr>
        <w:t xml:space="preserve"> </w:t>
      </w:r>
      <w:bookmarkStart w:id="0" w:name="__DdeLink__57_1273219247"/>
      <w:bookmarkEnd w:id="0"/>
      <w:r>
        <w:rPr>
          <w:rFonts w:cs="Arial"/>
          <w:color w:val="4472C4" w:themeColor="accent1"/>
          <w:sz w:val="24"/>
          <w:szCs w:val="24"/>
        </w:rPr>
        <w:t>22_0012</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fldChar w:fldCharType="begin"/>
      </w:r>
      <w:r>
        <w:rPr>
          <w:vanish/>
        </w:rPr>
      </w:r>
      <w:r>
        <w:rPr>
          <w:vanish/>
        </w:rPr>
      </w:r>
      <w:hyperlink w:anchor="_Toc4045">
        <w:r>
          <w:rPr>
            <w:vanish/>
          </w:rPr>
          <w:fldChar w:fldCharType="begin"/>
        </w:r>
        <w:r>
          <w:rPr>
            <w:webHidden/>
          </w:rPr>
          <w:fldChar w:fldCharType="begin"/>
        </w:r>
        <w:r>
          <w:rPr>
            <w:webHidden/>
          </w:rPr>
          <w:instrText>PAGEREF _Toc4045 \h</w:instrText>
        </w:r>
        <w:r>
          <w:rPr>
            <w:webHidden/>
          </w:rPr>
          <w:fldChar w:fldCharType="separate"/>
        </w:r>
        <w:r>
          <w:rPr>
            <w:vanish/>
          </w:rPr>
          <w:fldChar w:fldCharType="begin"/>
        </w:r>
        <w:r>
          <w:rPr>
            <w:webHidden/>
          </w:rPr>
          <w:fldChar w:fldCharType="end"/>
        </w:r>
        <w:r>
          <w:rPr>
            <w:vanish/>
          </w:rPr>
          <w:instrText> PAGEREF _Toc4045 \h </w:instrText>
        </w:r>
        <w:r>
          <w:rPr>
            <w:vanish/>
          </w:rPr>
          <w:fldChar w:fldCharType="separate"/>
        </w:r>
        <w:r>
          <w:rPr>
            <w:vanish/>
          </w:rPr>
          <w:t>3</w:t>
        </w:r>
        <w:r>
          <w:rPr>
            <w:vanish/>
          </w:rPr>
          <w:fldChar w:fldCharType="end"/>
        </w:r>
        <w:r>
          <w:rPr>
            <w:vanish/>
          </w:rPr>
          <w:instrText> PAGEREF _Toc4045 \h </w:instrText>
        </w:r>
        <w:r>
          <w:rPr>
            <w:vanish/>
          </w:rPr>
          <w:fldChar w:fldCharType="separate"/>
        </w:r>
        <w:r>
          <w:rPr>
            <w:vanish/>
          </w:rPr>
          <w:t>3</w:t>
        </w:r>
        <w:r>
          <w:rPr>
            <w:vanish/>
          </w:rPr>
          <w:fldChar w:fldCharType="end"/>
        </w:r>
      </w:hyperlink>
      <w:r>
        <w:rPr>
          <w:vanish/>
        </w:rPr>
        <w:fldChar w:fldCharType="separate"/>
      </w:r>
      <w:r>
        <w:rPr>
          <w:vanish/>
        </w:rPr>
      </w:r>
      <w:r>
        <w:rPr>
          <w:vanish/>
        </w:rPr>
      </w:r>
      <w:r>
        <w:rPr>
          <w:vanish/>
        </w:rPr>
        <w:fldChar w:fldCharType="end"/>
      </w:r>
      <w:r>
        <w:rPr>
          <w:vanish/>
        </w:rPr>
        <w:fldChar w:fldCharType="begin"/>
      </w:r>
      <w:r>
        <w:rPr>
          <w:vanish/>
        </w:rPr>
        <w:instrText> PAGEREF _Toc4045 \h </w:instrText>
      </w:r>
      <w:r>
        <w:rPr>
          <w:vanish/>
        </w:rPr>
        <w:fldChar w:fldCharType="separate"/>
      </w:r>
      <w:r>
        <w:rPr>
          <w:vanish/>
        </w:rPr>
        <w:t>3</w:t>
      </w:r>
      <w:r>
        <w:rPr>
          <w:vanish/>
        </w:rPr>
        <w:fldChar w:fldCharType="end"/>
      </w:r>
    </w:p>
    <w:p>
      <w:pPr>
        <w:pStyle w:val="Tabledesmatiresniveau1"/>
        <w:tabs>
          <w:tab w:val="right" w:pos="8290" w:leader="dot"/>
          <w:tab w:val="right" w:pos="9637" w:leader="dot"/>
        </w:tabs>
        <w:rPr/>
      </w:pPr>
      <w:hyperlink w:anchor="_Toc4045">
        <w:r>
          <w:rPr>
            <w:rStyle w:val="LienInternet"/>
          </w:rPr>
          <w:t>(RENSEIGNE PAR LA COLLECTIVITE)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_Toc4045 \h</w:instrText>
        </w:r>
        <w:r>
          <w:rPr>
            <w:webHidden/>
          </w:rPr>
          <w:fldChar w:fldCharType="separate"/>
        </w:r>
        <w:r>
          <w:rPr>
            <w:rStyle w:val="LienInternet"/>
          </w:rPr>
          <w:fldChar w:fldCharType="begin"/>
        </w:r>
        <w:r>
          <w:rPr>
            <w:webHidden/>
          </w:rPr>
          <w:fldChar w:fldCharType="end"/>
        </w:r>
        <w:r>
          <w:rPr>
            <w:rStyle w:val="LienInternet"/>
          </w:rPr>
          <w:instrText> PAGEREF _Toc4045 \h </w:instrText>
        </w:r>
        <w:r>
          <w:rPr>
            <w:rStyle w:val="LienInternet"/>
          </w:rPr>
          <w:fldChar w:fldCharType="separate"/>
        </w:r>
        <w:r>
          <w:rPr>
            <w:rStyle w:val="LienInternet"/>
          </w:rPr>
          <w:t>3</w:t>
        </w:r>
        <w:r>
          <w:rPr>
            <w:rStyle w:val="LienInternet"/>
          </w:rPr>
          <w:fldChar w:fldCharType="end"/>
        </w:r>
      </w:hyperlink>
    </w:p>
    <w:p>
      <w:pPr>
        <w:pStyle w:val="Tabledesmatiresniveau2"/>
        <w:tabs>
          <w:tab w:val="clear" w:pos="706"/>
          <w:tab w:val="right" w:pos="8290" w:leader="dot"/>
        </w:tabs>
        <w:rPr/>
      </w:pPr>
      <w:hyperlink w:anchor="_Toc4046">
        <w:r>
          <w:rPr>
            <w:rStyle w:val="LienInternet"/>
          </w:rPr>
          <w:t>1.1 Marché</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_Toc4046 \h</w:instrText>
        </w:r>
        <w:r>
          <w:rPr>
            <w:webHidden/>
          </w:rPr>
          <w:fldChar w:fldCharType="separate"/>
        </w:r>
        <w:r>
          <w:rPr>
            <w:rStyle w:val="LienInternet"/>
          </w:rPr>
          <w:fldChar w:fldCharType="begin"/>
        </w:r>
        <w:r>
          <w:rPr>
            <w:webHidden/>
          </w:rPr>
          <w:fldChar w:fldCharType="end"/>
        </w:r>
        <w:r>
          <w:rPr>
            <w:rStyle w:val="LienInternet"/>
          </w:rPr>
          <w:instrText> PAGEREF _Toc4046 \h </w:instrText>
        </w:r>
        <w:r>
          <w:rPr>
            <w:rStyle w:val="LienInternet"/>
          </w:rPr>
          <w:fldChar w:fldCharType="separate"/>
        </w:r>
        <w:r>
          <w:rPr>
            <w:rStyle w:val="LienInternet"/>
          </w:rPr>
          <w:t>3</w:t>
        </w:r>
        <w:r>
          <w:rPr>
            <w:rStyle w:val="LienInternet"/>
          </w:rPr>
          <w:fldChar w:fldCharType="end"/>
        </w:r>
      </w:hyperlink>
    </w:p>
    <w:p>
      <w:pPr>
        <w:pStyle w:val="Tabledesmatiresniveau2"/>
        <w:tabs>
          <w:tab w:val="clear" w:pos="706"/>
          <w:tab w:val="right" w:pos="8290" w:leader="dot"/>
        </w:tabs>
        <w:rPr/>
      </w:pPr>
      <w:hyperlink w:anchor="_Toc4047">
        <w:r>
          <w:rPr>
            <w:rStyle w:val="LienInternet"/>
          </w:rPr>
          <w:t>1.2 Pouvoir adjudicateur</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_Toc4047 \h</w:instrText>
        </w:r>
        <w:r>
          <w:rPr>
            <w:webHidden/>
          </w:rPr>
          <w:fldChar w:fldCharType="separate"/>
        </w:r>
        <w:r>
          <w:rPr>
            <w:rStyle w:val="LienInternet"/>
          </w:rPr>
          <w:fldChar w:fldCharType="begin"/>
        </w:r>
        <w:r>
          <w:rPr>
            <w:webHidden/>
          </w:rPr>
          <w:fldChar w:fldCharType="end"/>
        </w:r>
        <w:r>
          <w:rPr>
            <w:rStyle w:val="LienInternet"/>
          </w:rPr>
          <w:instrText> PAGEREF _Toc4047 \h </w:instrText>
        </w:r>
        <w:r>
          <w:rPr>
            <w:rStyle w:val="LienInternet"/>
          </w:rPr>
          <w:fldChar w:fldCharType="separate"/>
        </w:r>
        <w:r>
          <w:rPr>
            <w:rStyle w:val="LienInternet"/>
          </w:rPr>
          <w:t>3</w:t>
        </w:r>
        <w:r>
          <w:rPr>
            <w:rStyle w:val="LienInternet"/>
          </w:rPr>
          <w:fldChar w:fldCharType="end"/>
        </w:r>
      </w:hyperlink>
    </w:p>
    <w:p>
      <w:pPr>
        <w:pStyle w:val="Tabledesmatiresniveau2"/>
        <w:tabs>
          <w:tab w:val="clear" w:pos="706"/>
          <w:tab w:val="right" w:pos="8290" w:leader="dot"/>
        </w:tabs>
        <w:rPr/>
      </w:pPr>
      <w:hyperlink w:anchor="_Toc4048">
        <w:r>
          <w:rPr>
            <w:rStyle w:val="LienInternet"/>
          </w:rPr>
          <w:t>1.3 Informations comptables et financières</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_Toc4048 \h</w:instrText>
        </w:r>
        <w:r>
          <w:rPr>
            <w:webHidden/>
          </w:rPr>
          <w:fldChar w:fldCharType="separate"/>
        </w:r>
        <w:r>
          <w:rPr>
            <w:rStyle w:val="LienInternet"/>
          </w:rPr>
          <w:fldChar w:fldCharType="begin"/>
        </w:r>
        <w:r>
          <w:rPr>
            <w:webHidden/>
          </w:rPr>
          <w:fldChar w:fldCharType="end"/>
        </w:r>
        <w:r>
          <w:rPr>
            <w:rStyle w:val="LienInternet"/>
          </w:rPr>
          <w:instrText> PAGEREF _Toc4048 \h </w:instrText>
        </w:r>
        <w:r>
          <w:rPr>
            <w:rStyle w:val="LienInternet"/>
          </w:rPr>
          <w:fldChar w:fldCharType="separate"/>
        </w:r>
        <w:r>
          <w:rPr>
            <w:rStyle w:val="LienInternet"/>
          </w:rPr>
          <w:t>3</w:t>
        </w:r>
        <w:r>
          <w:rPr>
            <w:rStyle w:val="LienInternet"/>
          </w:rPr>
          <w:fldChar w:fldCharType="end"/>
        </w:r>
      </w:hyperlink>
    </w:p>
    <w:p>
      <w:pPr>
        <w:pStyle w:val="Tabledesmatiresniveau2"/>
        <w:tabs>
          <w:tab w:val="clear" w:pos="706"/>
          <w:tab w:val="right" w:pos="8290" w:leader="dot"/>
        </w:tabs>
        <w:rPr/>
      </w:pPr>
      <w:hyperlink w:anchor="_Toc4049">
        <w:r>
          <w:rPr>
            <w:rStyle w:val="LienInternet"/>
          </w:rPr>
          <w:t>1.4 Code CPV</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_Toc4049 \h</w:instrText>
        </w:r>
        <w:r>
          <w:rPr>
            <w:webHidden/>
          </w:rPr>
          <w:fldChar w:fldCharType="separate"/>
        </w:r>
        <w:r>
          <w:rPr>
            <w:rStyle w:val="LienInternet"/>
          </w:rPr>
          <w:fldChar w:fldCharType="begin"/>
        </w:r>
        <w:r>
          <w:rPr>
            <w:webHidden/>
          </w:rPr>
          <w:fldChar w:fldCharType="end"/>
        </w:r>
        <w:r>
          <w:rPr>
            <w:rStyle w:val="LienInternet"/>
          </w:rPr>
          <w:instrText> PAGEREF _Toc4049 \h </w:instrText>
        </w:r>
        <w:r>
          <w:rPr>
            <w:rStyle w:val="LienInternet"/>
          </w:rPr>
          <w:fldChar w:fldCharType="separate"/>
        </w:r>
        <w:r>
          <w:rPr>
            <w:rStyle w:val="LienInternet"/>
          </w:rPr>
          <w:t>4</w:t>
        </w:r>
        <w:r>
          <w:rPr>
            <w:rStyle w:val="LienInternet"/>
          </w:rPr>
          <w:fldChar w:fldCharType="end"/>
        </w:r>
      </w:hyperlink>
    </w:p>
    <w:p>
      <w:pPr>
        <w:pStyle w:val="Tabledesmatiresniveau1"/>
        <w:tabs>
          <w:tab w:val="right" w:pos="8290" w:leader="dot"/>
          <w:tab w:val="right" w:pos="9637" w:leader="dot"/>
        </w:tabs>
        <w:rPr/>
      </w:pPr>
      <w:hyperlink w:anchor="_Toc4050">
        <w:r>
          <w:rPr>
            <w:rStyle w:val="LienInternet"/>
          </w:rPr>
          <w:t>Article 2 - CONTRACTANT(S)</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_Toc4050 \h</w:instrText>
        </w:r>
        <w:r>
          <w:rPr>
            <w:webHidden/>
          </w:rPr>
          <w:fldChar w:fldCharType="separate"/>
        </w:r>
        <w:r>
          <w:rPr>
            <w:rStyle w:val="LienInternet"/>
          </w:rPr>
          <w:fldChar w:fldCharType="begin"/>
        </w:r>
        <w:r>
          <w:rPr>
            <w:webHidden/>
          </w:rPr>
          <w:fldChar w:fldCharType="end"/>
        </w:r>
        <w:r>
          <w:rPr>
            <w:rStyle w:val="LienInternet"/>
          </w:rPr>
          <w:instrText> PAGEREF _Toc4050 \h </w:instrText>
        </w:r>
        <w:r>
          <w:rPr>
            <w:rStyle w:val="LienInternet"/>
          </w:rPr>
          <w:fldChar w:fldCharType="separate"/>
        </w:r>
        <w:r>
          <w:rPr>
            <w:rStyle w:val="LienInternet"/>
          </w:rPr>
          <w:t>4</w:t>
        </w:r>
        <w:r>
          <w:rPr>
            <w:rStyle w:val="LienInternet"/>
          </w:rPr>
          <w:fldChar w:fldCharType="end"/>
        </w:r>
      </w:hyperlink>
    </w:p>
    <w:p>
      <w:pPr>
        <w:pStyle w:val="Tabledesmatiresniveau2"/>
        <w:tabs>
          <w:tab w:val="clear" w:pos="706"/>
          <w:tab w:val="right" w:pos="8290" w:leader="dot"/>
        </w:tabs>
        <w:rPr/>
      </w:pPr>
      <w:hyperlink w:anchor="_Toc4051">
        <w:r>
          <w:rPr>
            <w:rStyle w:val="LienInternet"/>
          </w:rPr>
          <w:t>2.1 Identification</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_Toc4051 \h</w:instrText>
        </w:r>
        <w:r>
          <w:rPr>
            <w:webHidden/>
          </w:rPr>
          <w:fldChar w:fldCharType="separate"/>
        </w:r>
        <w:r>
          <w:rPr>
            <w:rStyle w:val="LienInternet"/>
          </w:rPr>
          <w:fldChar w:fldCharType="begin"/>
        </w:r>
        <w:r>
          <w:rPr>
            <w:webHidden/>
          </w:rPr>
          <w:fldChar w:fldCharType="end"/>
        </w:r>
        <w:r>
          <w:rPr>
            <w:rStyle w:val="LienInternet"/>
          </w:rPr>
          <w:instrText> PAGEREF _Toc4051 \h </w:instrText>
        </w:r>
        <w:r>
          <w:rPr>
            <w:rStyle w:val="LienInternet"/>
          </w:rPr>
          <w:fldChar w:fldCharType="separate"/>
        </w:r>
        <w:r>
          <w:rPr>
            <w:rStyle w:val="LienInternet"/>
          </w:rPr>
          <w:t>4</w:t>
        </w:r>
        <w:r>
          <w:rPr>
            <w:rStyle w:val="LienInternet"/>
          </w:rPr>
          <w:fldChar w:fldCharType="end"/>
        </w:r>
      </w:hyperlink>
    </w:p>
    <w:p>
      <w:pPr>
        <w:pStyle w:val="Tabledesmatiresniveau2"/>
        <w:tabs>
          <w:tab w:val="clear" w:pos="706"/>
          <w:tab w:val="right" w:pos="8290" w:leader="dot"/>
        </w:tabs>
        <w:rPr/>
      </w:pPr>
      <w:hyperlink w:anchor="_Toc4052">
        <w:r>
          <w:rPr>
            <w:rStyle w:val="LienInternet"/>
          </w:rPr>
          <w:t>2.2 Compte à créditer</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_Toc4052 \h</w:instrText>
        </w:r>
        <w:r>
          <w:rPr>
            <w:webHidden/>
          </w:rPr>
          <w:fldChar w:fldCharType="separate"/>
        </w:r>
        <w:r>
          <w:rPr>
            <w:rStyle w:val="LienInternet"/>
          </w:rPr>
          <w:fldChar w:fldCharType="begin"/>
        </w:r>
        <w:r>
          <w:rPr>
            <w:webHidden/>
          </w:rPr>
          <w:fldChar w:fldCharType="end"/>
        </w:r>
        <w:r>
          <w:rPr>
            <w:rStyle w:val="LienInternet"/>
          </w:rPr>
          <w:instrText> PAGEREF _Toc4052 \h </w:instrText>
        </w:r>
        <w:r>
          <w:rPr>
            <w:rStyle w:val="LienInternet"/>
          </w:rPr>
          <w:fldChar w:fldCharType="separate"/>
        </w:r>
        <w:r>
          <w:rPr>
            <w:rStyle w:val="LienInternet"/>
          </w:rPr>
          <w:t>6</w:t>
        </w:r>
        <w:r>
          <w:rPr>
            <w:rStyle w:val="LienInternet"/>
          </w:rPr>
          <w:fldChar w:fldCharType="end"/>
        </w:r>
      </w:hyperlink>
    </w:p>
    <w:p>
      <w:pPr>
        <w:pStyle w:val="Tabledesmatiresniveau1"/>
        <w:tabs>
          <w:tab w:val="right" w:pos="8290" w:leader="dot"/>
          <w:tab w:val="right" w:pos="9637" w:leader="dot"/>
        </w:tabs>
        <w:rPr/>
      </w:pPr>
      <w:hyperlink w:anchor="_Toc4053">
        <w:r>
          <w:rPr>
            <w:rStyle w:val="LienInternet"/>
          </w:rPr>
          <w:t>Article 3 - OBJET</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_Toc4053 \h</w:instrText>
        </w:r>
        <w:r>
          <w:rPr>
            <w:webHidden/>
          </w:rPr>
          <w:fldChar w:fldCharType="separate"/>
        </w:r>
        <w:r>
          <w:rPr>
            <w:rStyle w:val="LienInternet"/>
          </w:rPr>
          <w:fldChar w:fldCharType="begin"/>
        </w:r>
        <w:r>
          <w:rPr>
            <w:webHidden/>
          </w:rPr>
          <w:fldChar w:fldCharType="end"/>
        </w:r>
        <w:r>
          <w:rPr>
            <w:rStyle w:val="LienInternet"/>
          </w:rPr>
          <w:instrText> PAGEREF _Toc4053 \h </w:instrText>
        </w:r>
        <w:r>
          <w:rPr>
            <w:rStyle w:val="LienInternet"/>
          </w:rPr>
          <w:fldChar w:fldCharType="separate"/>
        </w:r>
        <w:r>
          <w:rPr>
            <w:rStyle w:val="LienInternet"/>
          </w:rPr>
          <w:t>8</w:t>
        </w:r>
        <w:r>
          <w:rPr>
            <w:rStyle w:val="LienInternet"/>
          </w:rPr>
          <w:fldChar w:fldCharType="end"/>
        </w:r>
      </w:hyperlink>
    </w:p>
    <w:p>
      <w:pPr>
        <w:pStyle w:val="Tabledesmatiresniveau1"/>
        <w:tabs>
          <w:tab w:val="right" w:pos="8290" w:leader="dot"/>
          <w:tab w:val="right" w:pos="9637" w:leader="dot"/>
        </w:tabs>
        <w:rPr/>
      </w:pPr>
      <w:hyperlink w:anchor="_Toc4054">
        <w:r>
          <w:rPr>
            <w:rStyle w:val="LienInternet"/>
          </w:rPr>
          <w:t>Article 4 - MONTANT ET PRIX DU MARCHE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_Toc4054 \h</w:instrText>
        </w:r>
        <w:r>
          <w:rPr>
            <w:webHidden/>
          </w:rPr>
          <w:fldChar w:fldCharType="separate"/>
        </w:r>
        <w:r>
          <w:rPr>
            <w:rStyle w:val="LienInternet"/>
          </w:rPr>
          <w:fldChar w:fldCharType="begin"/>
        </w:r>
        <w:r>
          <w:rPr>
            <w:webHidden/>
          </w:rPr>
          <w:fldChar w:fldCharType="end"/>
        </w:r>
        <w:r>
          <w:rPr>
            <w:rStyle w:val="LienInternet"/>
          </w:rPr>
          <w:instrText> PAGEREF _Toc4054 \h </w:instrText>
        </w:r>
        <w:r>
          <w:rPr>
            <w:rStyle w:val="LienInternet"/>
          </w:rPr>
          <w:fldChar w:fldCharType="separate"/>
        </w:r>
        <w:r>
          <w:rPr>
            <w:rStyle w:val="LienInternet"/>
          </w:rPr>
          <w:t>8</w:t>
        </w:r>
        <w:r>
          <w:rPr>
            <w:rStyle w:val="LienInternet"/>
          </w:rPr>
          <w:fldChar w:fldCharType="end"/>
        </w:r>
      </w:hyperlink>
    </w:p>
    <w:p>
      <w:pPr>
        <w:pStyle w:val="Tabledesmatiresniveau2"/>
        <w:tabs>
          <w:tab w:val="clear" w:pos="706"/>
          <w:tab w:val="right" w:pos="8290" w:leader="dot"/>
        </w:tabs>
        <w:rPr/>
      </w:pPr>
      <w:hyperlink w:anchor="_Toc4055">
        <w:r>
          <w:rPr>
            <w:rStyle w:val="LienInternet"/>
          </w:rPr>
          <w:t>4.1 Forme du prix</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_Toc4055 \h</w:instrText>
        </w:r>
        <w:r>
          <w:rPr>
            <w:webHidden/>
          </w:rPr>
          <w:fldChar w:fldCharType="separate"/>
        </w:r>
        <w:r>
          <w:rPr>
            <w:rStyle w:val="LienInternet"/>
          </w:rPr>
          <w:fldChar w:fldCharType="begin"/>
        </w:r>
        <w:r>
          <w:rPr>
            <w:webHidden/>
          </w:rPr>
          <w:fldChar w:fldCharType="end"/>
        </w:r>
        <w:r>
          <w:rPr>
            <w:rStyle w:val="LienInternet"/>
          </w:rPr>
          <w:instrText> PAGEREF _Toc4055 \h </w:instrText>
        </w:r>
        <w:r>
          <w:rPr>
            <w:rStyle w:val="LienInternet"/>
          </w:rPr>
          <w:fldChar w:fldCharType="separate"/>
        </w:r>
        <w:r>
          <w:rPr>
            <w:rStyle w:val="LienInternet"/>
          </w:rPr>
          <w:t>8</w:t>
        </w:r>
        <w:r>
          <w:rPr>
            <w:rStyle w:val="LienInternet"/>
          </w:rPr>
          <w:fldChar w:fldCharType="end"/>
        </w:r>
      </w:hyperlink>
    </w:p>
    <w:p>
      <w:pPr>
        <w:pStyle w:val="Tabledesmatiresniveau2"/>
        <w:tabs>
          <w:tab w:val="clear" w:pos="706"/>
          <w:tab w:val="right" w:pos="8290" w:leader="dot"/>
        </w:tabs>
        <w:rPr/>
      </w:pPr>
      <w:hyperlink w:anchor="_Toc4056">
        <w:r>
          <w:rPr>
            <w:rStyle w:val="LienInternet"/>
          </w:rPr>
          <w:t>4.2 Conditions générales de l'offre de prix</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_Toc4056 \h</w:instrText>
        </w:r>
        <w:r>
          <w:rPr>
            <w:webHidden/>
          </w:rPr>
          <w:fldChar w:fldCharType="separate"/>
        </w:r>
        <w:r>
          <w:rPr>
            <w:rStyle w:val="LienInternet"/>
          </w:rPr>
          <w:fldChar w:fldCharType="begin"/>
        </w:r>
        <w:r>
          <w:rPr>
            <w:webHidden/>
          </w:rPr>
          <w:fldChar w:fldCharType="end"/>
        </w:r>
        <w:r>
          <w:rPr>
            <w:rStyle w:val="LienInternet"/>
          </w:rPr>
          <w:instrText> PAGEREF _Toc4056 \h </w:instrText>
        </w:r>
        <w:r>
          <w:rPr>
            <w:rStyle w:val="LienInternet"/>
          </w:rPr>
          <w:fldChar w:fldCharType="separate"/>
        </w:r>
        <w:r>
          <w:rPr>
            <w:rStyle w:val="LienInternet"/>
          </w:rPr>
          <w:t>8</w:t>
        </w:r>
        <w:r>
          <w:rPr>
            <w:rStyle w:val="LienInternet"/>
          </w:rPr>
          <w:fldChar w:fldCharType="end"/>
        </w:r>
      </w:hyperlink>
    </w:p>
    <w:p>
      <w:pPr>
        <w:pStyle w:val="Tabledesmatiresniveau2"/>
        <w:tabs>
          <w:tab w:val="clear" w:pos="706"/>
          <w:tab w:val="right" w:pos="8290" w:leader="dot"/>
        </w:tabs>
        <w:rPr/>
      </w:pPr>
      <w:hyperlink w:anchor="_Toc4057">
        <w:r>
          <w:rPr>
            <w:rStyle w:val="LienInternet"/>
          </w:rPr>
          <w:t>4.3 Montant - Calcul de la rémunération</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_Toc4057 \h</w:instrText>
        </w:r>
        <w:r>
          <w:rPr>
            <w:webHidden/>
          </w:rPr>
          <w:fldChar w:fldCharType="separate"/>
        </w:r>
        <w:r>
          <w:rPr>
            <w:rStyle w:val="LienInternet"/>
          </w:rPr>
          <w:fldChar w:fldCharType="begin"/>
        </w:r>
        <w:r>
          <w:rPr>
            <w:webHidden/>
          </w:rPr>
          <w:fldChar w:fldCharType="end"/>
        </w:r>
        <w:r>
          <w:rPr>
            <w:rStyle w:val="LienInternet"/>
          </w:rPr>
          <w:instrText> PAGEREF _Toc4057 \h </w:instrText>
        </w:r>
        <w:r>
          <w:rPr>
            <w:rStyle w:val="LienInternet"/>
          </w:rPr>
          <w:fldChar w:fldCharType="separate"/>
        </w:r>
        <w:r>
          <w:rPr>
            <w:rStyle w:val="LienInternet"/>
          </w:rPr>
          <w:t>9</w:t>
        </w:r>
        <w:r>
          <w:rPr>
            <w:rStyle w:val="LienInternet"/>
          </w:rPr>
          <w:fldChar w:fldCharType="end"/>
        </w:r>
      </w:hyperlink>
    </w:p>
    <w:p>
      <w:pPr>
        <w:pStyle w:val="Tabledesmatiresniveau3"/>
        <w:tabs>
          <w:tab w:val="right" w:pos="8290" w:leader="dot"/>
          <w:tab w:val="right" w:pos="9241" w:leader="dot"/>
        </w:tabs>
        <w:rPr/>
      </w:pPr>
      <w:hyperlink w:anchor="_Toc4058">
        <w:r>
          <w:rPr>
            <w:rStyle w:val="LienInternet"/>
          </w:rPr>
          <w:t>4.3.1 Pour les éléments de missions de base décrits au CCAP</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_Toc4058 \h</w:instrText>
        </w:r>
        <w:r>
          <w:rPr>
            <w:webHidden/>
          </w:rPr>
          <w:fldChar w:fldCharType="separate"/>
        </w:r>
        <w:r>
          <w:rPr>
            <w:rStyle w:val="LienInternet"/>
          </w:rPr>
          <w:fldChar w:fldCharType="begin"/>
        </w:r>
        <w:r>
          <w:rPr>
            <w:webHidden/>
          </w:rPr>
          <w:fldChar w:fldCharType="end"/>
        </w:r>
        <w:r>
          <w:rPr>
            <w:rStyle w:val="LienInternet"/>
          </w:rPr>
          <w:instrText> PAGEREF _Toc4058 \h </w:instrText>
        </w:r>
        <w:r>
          <w:rPr>
            <w:rStyle w:val="LienInternet"/>
          </w:rPr>
          <w:fldChar w:fldCharType="separate"/>
        </w:r>
        <w:r>
          <w:rPr>
            <w:rStyle w:val="LienInternet"/>
          </w:rPr>
          <w:t>9</w:t>
        </w:r>
        <w:r>
          <w:rPr>
            <w:rStyle w:val="LienInternet"/>
          </w:rPr>
          <w:fldChar w:fldCharType="end"/>
        </w:r>
      </w:hyperlink>
    </w:p>
    <w:p>
      <w:pPr>
        <w:pStyle w:val="Tabledesmatiresniveau3"/>
        <w:tabs>
          <w:tab w:val="right" w:pos="8290" w:leader="dot"/>
          <w:tab w:val="right" w:pos="9241" w:leader="dot"/>
        </w:tabs>
        <w:rPr/>
      </w:pPr>
      <w:hyperlink w:anchor="_Toc4059">
        <w:r>
          <w:rPr>
            <w:rStyle w:val="LienInternet"/>
          </w:rPr>
          <w:t>4.3.2 Pour les éléments de missions complémentaires décrits au CCAP</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_Toc4059 \h</w:instrText>
        </w:r>
        <w:r>
          <w:rPr>
            <w:webHidden/>
          </w:rPr>
          <w:fldChar w:fldCharType="separate"/>
        </w:r>
        <w:r>
          <w:rPr>
            <w:rStyle w:val="LienInternet"/>
          </w:rPr>
          <w:fldChar w:fldCharType="begin"/>
        </w:r>
        <w:r>
          <w:rPr>
            <w:webHidden/>
          </w:rPr>
          <w:fldChar w:fldCharType="end"/>
        </w:r>
        <w:r>
          <w:rPr>
            <w:rStyle w:val="LienInternet"/>
          </w:rPr>
          <w:instrText> PAGEREF _Toc4059 \h </w:instrText>
        </w:r>
        <w:r>
          <w:rPr>
            <w:rStyle w:val="LienInternet"/>
          </w:rPr>
          <w:fldChar w:fldCharType="separate"/>
        </w:r>
        <w:r>
          <w:rPr>
            <w:rStyle w:val="LienInternet"/>
          </w:rPr>
          <w:t>9</w:t>
        </w:r>
        <w:r>
          <w:rPr>
            <w:rStyle w:val="LienInternet"/>
          </w:rPr>
          <w:fldChar w:fldCharType="end"/>
        </w:r>
      </w:hyperlink>
    </w:p>
    <w:p>
      <w:pPr>
        <w:pStyle w:val="Tabledesmatiresniveau3"/>
        <w:tabs>
          <w:tab w:val="right" w:pos="8290" w:leader="dot"/>
          <w:tab w:val="right" w:pos="9241" w:leader="dot"/>
        </w:tabs>
        <w:rPr/>
      </w:pPr>
      <w:hyperlink w:anchor="_Toc4060">
        <w:r>
          <w:rPr>
            <w:rStyle w:val="LienInternet"/>
          </w:rPr>
          <w:t>4.3.3 Pour les éléments de missions complémentaires conditionnelles décrits au CCAP</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_Toc4060 \h</w:instrText>
        </w:r>
        <w:r>
          <w:rPr>
            <w:webHidden/>
          </w:rPr>
          <w:fldChar w:fldCharType="separate"/>
        </w:r>
        <w:r>
          <w:rPr>
            <w:rStyle w:val="LienInternet"/>
          </w:rPr>
          <w:fldChar w:fldCharType="begin"/>
        </w:r>
        <w:r>
          <w:rPr>
            <w:webHidden/>
          </w:rPr>
          <w:fldChar w:fldCharType="end"/>
        </w:r>
        <w:r>
          <w:rPr>
            <w:rStyle w:val="LienInternet"/>
          </w:rPr>
          <w:instrText> PAGEREF _Toc4060 \h </w:instrText>
        </w:r>
        <w:r>
          <w:rPr>
            <w:rStyle w:val="LienInternet"/>
          </w:rPr>
          <w:fldChar w:fldCharType="separate"/>
        </w:r>
        <w:r>
          <w:rPr>
            <w:rStyle w:val="LienInternet"/>
          </w:rPr>
          <w:t>9</w:t>
        </w:r>
        <w:r>
          <w:rPr>
            <w:rStyle w:val="LienInternet"/>
          </w:rPr>
          <w:fldChar w:fldCharType="end"/>
        </w:r>
      </w:hyperlink>
    </w:p>
    <w:p>
      <w:pPr>
        <w:pStyle w:val="Tabledesmatiresniveau2"/>
        <w:tabs>
          <w:tab w:val="clear" w:pos="706"/>
          <w:tab w:val="right" w:pos="8290" w:leader="dot"/>
        </w:tabs>
        <w:rPr/>
      </w:pPr>
      <w:hyperlink w:anchor="_Toc4061">
        <w:r>
          <w:rPr>
            <w:rStyle w:val="LienInternet"/>
          </w:rPr>
          <w:t>4.4 Sous traitance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_Toc4061 \h</w:instrText>
        </w:r>
        <w:r>
          <w:rPr>
            <w:webHidden/>
          </w:rPr>
          <w:fldChar w:fldCharType="separate"/>
        </w:r>
        <w:r>
          <w:rPr>
            <w:rStyle w:val="LienInternet"/>
          </w:rPr>
          <w:fldChar w:fldCharType="begin"/>
        </w:r>
        <w:r>
          <w:rPr>
            <w:webHidden/>
          </w:rPr>
          <w:fldChar w:fldCharType="end"/>
        </w:r>
        <w:r>
          <w:rPr>
            <w:rStyle w:val="LienInternet"/>
          </w:rPr>
          <w:instrText> PAGEREF _Toc4061 \h </w:instrText>
        </w:r>
        <w:r>
          <w:rPr>
            <w:rStyle w:val="LienInternet"/>
          </w:rPr>
          <w:fldChar w:fldCharType="separate"/>
        </w:r>
        <w:r>
          <w:rPr>
            <w:rStyle w:val="LienInternet"/>
          </w:rPr>
          <w:t>9</w:t>
        </w:r>
        <w:r>
          <w:rPr>
            <w:rStyle w:val="LienInternet"/>
          </w:rPr>
          <w:fldChar w:fldCharType="end"/>
        </w:r>
      </w:hyperlink>
    </w:p>
    <w:p>
      <w:pPr>
        <w:pStyle w:val="Tabledesmatiresniveau1"/>
        <w:tabs>
          <w:tab w:val="right" w:pos="8290" w:leader="dot"/>
          <w:tab w:val="right" w:pos="9637" w:leader="dot"/>
        </w:tabs>
        <w:rPr/>
      </w:pPr>
      <w:hyperlink w:anchor="_Toc4062">
        <w:r>
          <w:rPr>
            <w:rStyle w:val="LienInternet"/>
          </w:rPr>
          <w:t>Article 5 - AVANCE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_Toc4062 \h</w:instrText>
        </w:r>
        <w:r>
          <w:rPr>
            <w:webHidden/>
          </w:rPr>
          <w:fldChar w:fldCharType="separate"/>
        </w:r>
        <w:r>
          <w:rPr>
            <w:rStyle w:val="LienInternet"/>
          </w:rPr>
          <w:fldChar w:fldCharType="begin"/>
        </w:r>
        <w:r>
          <w:rPr>
            <w:webHidden/>
          </w:rPr>
          <w:fldChar w:fldCharType="end"/>
        </w:r>
        <w:r>
          <w:rPr>
            <w:rStyle w:val="LienInternet"/>
          </w:rPr>
          <w:instrText> PAGEREF _Toc4062 \h </w:instrText>
        </w:r>
        <w:r>
          <w:rPr>
            <w:rStyle w:val="LienInternet"/>
          </w:rPr>
          <w:fldChar w:fldCharType="separate"/>
        </w:r>
        <w:r>
          <w:rPr>
            <w:rStyle w:val="LienInternet"/>
          </w:rPr>
          <w:t>10</w:t>
        </w:r>
        <w:r>
          <w:rPr>
            <w:rStyle w:val="LienInternet"/>
          </w:rPr>
          <w:fldChar w:fldCharType="end"/>
        </w:r>
      </w:hyperlink>
    </w:p>
    <w:p>
      <w:pPr>
        <w:pStyle w:val="Tabledesmatiresniveau1"/>
        <w:tabs>
          <w:tab w:val="right" w:pos="8290" w:leader="dot"/>
          <w:tab w:val="right" w:pos="9637" w:leader="dot"/>
        </w:tabs>
        <w:rPr/>
      </w:pPr>
      <w:hyperlink w:anchor="_Toc4063">
        <w:r>
          <w:rPr>
            <w:rStyle w:val="LienInternet"/>
          </w:rPr>
          <w:t>Article 6 - DUREE ET DELAIS D'EXECUTION</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_Toc4063 \h</w:instrText>
        </w:r>
        <w:r>
          <w:rPr>
            <w:webHidden/>
          </w:rPr>
          <w:fldChar w:fldCharType="separate"/>
        </w:r>
        <w:r>
          <w:rPr>
            <w:rStyle w:val="LienInternet"/>
          </w:rPr>
          <w:fldChar w:fldCharType="begin"/>
        </w:r>
        <w:r>
          <w:rPr>
            <w:webHidden/>
          </w:rPr>
          <w:fldChar w:fldCharType="end"/>
        </w:r>
        <w:r>
          <w:rPr>
            <w:rStyle w:val="LienInternet"/>
          </w:rPr>
          <w:instrText> PAGEREF _Toc4063 \h </w:instrText>
        </w:r>
        <w:r>
          <w:rPr>
            <w:rStyle w:val="LienInternet"/>
          </w:rPr>
          <w:fldChar w:fldCharType="separate"/>
        </w:r>
        <w:r>
          <w:rPr>
            <w:rStyle w:val="LienInternet"/>
          </w:rPr>
          <w:t>11</w:t>
        </w:r>
        <w:r>
          <w:rPr>
            <w:rStyle w:val="LienInternet"/>
          </w:rPr>
          <w:fldChar w:fldCharType="end"/>
        </w:r>
      </w:hyperlink>
    </w:p>
    <w:p>
      <w:pPr>
        <w:pStyle w:val="Tabledesmatiresniveau1"/>
        <w:tabs>
          <w:tab w:val="right" w:pos="8290" w:leader="dot"/>
          <w:tab w:val="right" w:pos="9637" w:leader="dot"/>
        </w:tabs>
        <w:rPr/>
      </w:pPr>
      <w:hyperlink w:anchor="_Toc4064">
        <w:r>
          <w:rPr>
            <w:rStyle w:val="LienInternet"/>
          </w:rPr>
          <w:t>Article 7 - DELAI DE VALIDITE DES OFFRES</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_Toc4064 \h</w:instrText>
        </w:r>
        <w:r>
          <w:rPr>
            <w:webHidden/>
          </w:rPr>
          <w:fldChar w:fldCharType="separate"/>
        </w:r>
        <w:r>
          <w:rPr>
            <w:rStyle w:val="LienInternet"/>
          </w:rPr>
          <w:fldChar w:fldCharType="begin"/>
        </w:r>
        <w:r>
          <w:rPr>
            <w:webHidden/>
          </w:rPr>
          <w:fldChar w:fldCharType="end"/>
        </w:r>
        <w:r>
          <w:rPr>
            <w:rStyle w:val="LienInternet"/>
          </w:rPr>
          <w:instrText> PAGEREF _Toc4064 \h </w:instrText>
        </w:r>
        <w:r>
          <w:rPr>
            <w:rStyle w:val="LienInternet"/>
          </w:rPr>
          <w:fldChar w:fldCharType="separate"/>
        </w:r>
        <w:r>
          <w:rPr>
            <w:rStyle w:val="LienInternet"/>
          </w:rPr>
          <w:t>12</w:t>
        </w:r>
        <w:r>
          <w:rPr>
            <w:rStyle w:val="LienInternet"/>
          </w:rPr>
          <w:fldChar w:fldCharType="end"/>
        </w:r>
      </w:hyperlink>
    </w:p>
    <w:p>
      <w:pPr>
        <w:pStyle w:val="Tabledesmatiresniveau1"/>
        <w:tabs>
          <w:tab w:val="right" w:pos="8290" w:leader="dot"/>
          <w:tab w:val="right" w:pos="9637" w:leader="dot"/>
        </w:tabs>
        <w:rPr/>
      </w:pPr>
      <w:hyperlink w:anchor="_Toc4065">
        <w:r>
          <w:rPr>
            <w:rStyle w:val="LienInternet"/>
          </w:rPr>
          <w:t>Article 8 - ENGAGEMENT ET SIGNATURE DU CANDIDAT</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_Toc4065 \h</w:instrText>
        </w:r>
        <w:r>
          <w:rPr>
            <w:webHidden/>
          </w:rPr>
          <w:fldChar w:fldCharType="separate"/>
        </w:r>
        <w:r>
          <w:rPr>
            <w:rStyle w:val="LienInternet"/>
          </w:rPr>
          <w:fldChar w:fldCharType="begin"/>
        </w:r>
        <w:r>
          <w:rPr>
            <w:webHidden/>
          </w:rPr>
          <w:fldChar w:fldCharType="end"/>
        </w:r>
        <w:r>
          <w:rPr>
            <w:rStyle w:val="LienInternet"/>
          </w:rPr>
          <w:instrText> PAGEREF _Toc4065 \h </w:instrText>
        </w:r>
        <w:r>
          <w:rPr>
            <w:rStyle w:val="LienInternet"/>
          </w:rPr>
          <w:fldChar w:fldCharType="separate"/>
        </w:r>
        <w:r>
          <w:rPr>
            <w:rStyle w:val="LienInternet"/>
          </w:rPr>
          <w:t>12</w:t>
        </w:r>
        <w:r>
          <w:rPr>
            <w:rStyle w:val="LienInternet"/>
          </w:rPr>
          <w:fldChar w:fldCharType="end"/>
        </w:r>
      </w:hyperlink>
    </w:p>
    <w:p>
      <w:pPr>
        <w:pStyle w:val="Tabledesmatiresniveau1"/>
        <w:tabs>
          <w:tab w:val="right" w:pos="8290" w:leader="dot"/>
          <w:tab w:val="right" w:pos="9637" w:leader="dot"/>
        </w:tabs>
        <w:rPr/>
      </w:pPr>
      <w:hyperlink w:anchor="_Toc4066">
        <w:r>
          <w:rPr>
            <w:rStyle w:val="LienInternet"/>
          </w:rPr>
          <w:t>Article 9 - SIGNATURE DU POUVOIR ADJUDICATEUR</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_Toc4066 \h</w:instrText>
        </w:r>
        <w:r>
          <w:rPr>
            <w:webHidden/>
          </w:rPr>
          <w:fldChar w:fldCharType="separate"/>
        </w:r>
        <w:r>
          <w:rPr>
            <w:rStyle w:val="LienInternet"/>
          </w:rPr>
          <w:fldChar w:fldCharType="begin"/>
        </w:r>
        <w:r>
          <w:rPr>
            <w:webHidden/>
          </w:rPr>
          <w:fldChar w:fldCharType="end"/>
        </w:r>
        <w:r>
          <w:rPr>
            <w:rStyle w:val="LienInternet"/>
          </w:rPr>
          <w:instrText> PAGEREF _Toc4066 \h </w:instrText>
        </w:r>
        <w:r>
          <w:rPr>
            <w:rStyle w:val="LienInternet"/>
          </w:rPr>
          <w:fldChar w:fldCharType="separate"/>
        </w:r>
        <w:r>
          <w:rPr>
            <w:rStyle w:val="LienInternet"/>
          </w:rPr>
          <w:t>12</w:t>
        </w:r>
        <w:r>
          <w:rPr>
            <w:rStyle w:val="LienInternet"/>
          </w:rPr>
          <w:fldChar w:fldCharType="end"/>
        </w:r>
      </w:hyperlink>
    </w:p>
    <w:p>
      <w:pPr>
        <w:pStyle w:val="Tabledesmatiresniveau1"/>
        <w:tabs>
          <w:tab w:val="right" w:pos="8290" w:leader="dot"/>
          <w:tab w:val="right" w:pos="9637" w:leader="dot"/>
        </w:tabs>
        <w:rPr/>
      </w:pPr>
      <w:hyperlink w:anchor="_Toc4067">
        <w:r>
          <w:rPr>
            <w:rStyle w:val="LienInternet"/>
          </w:rPr>
          <w:t>Article 10 - NOTIFICATION DU MARCHE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_Toc4067 \h</w:instrText>
        </w:r>
        <w:r>
          <w:rPr>
            <w:webHidden/>
          </w:rPr>
          <w:fldChar w:fldCharType="separate"/>
        </w:r>
        <w:r>
          <w:rPr>
            <w:rStyle w:val="LienInternet"/>
          </w:rPr>
          <w:fldChar w:fldCharType="begin"/>
        </w:r>
        <w:r>
          <w:rPr>
            <w:webHidden/>
          </w:rPr>
          <w:fldChar w:fldCharType="end"/>
        </w:r>
        <w:r>
          <w:rPr>
            <w:rStyle w:val="LienInternet"/>
          </w:rPr>
          <w:instrText> PAGEREF _Toc4067 \h </w:instrText>
        </w:r>
        <w:r>
          <w:rPr>
            <w:rStyle w:val="LienInternet"/>
          </w:rPr>
          <w:fldChar w:fldCharType="separate"/>
        </w:r>
        <w:r>
          <w:rPr>
            <w:rStyle w:val="LienInternet"/>
          </w:rPr>
          <w:t>13</w:t>
        </w:r>
        <w:r>
          <w:rPr>
            <w:rStyle w:val="LienInternet"/>
          </w:rPr>
          <w:fldChar w:fldCharType="end"/>
        </w:r>
      </w:hyperlink>
    </w:p>
    <w:p>
      <w:pPr>
        <w:pStyle w:val="Tabledesmatiresniveau1"/>
        <w:tabs>
          <w:tab w:val="right" w:pos="8290" w:leader="dot"/>
          <w:tab w:val="right" w:pos="9637" w:leader="dot"/>
        </w:tabs>
        <w:rPr/>
      </w:pPr>
      <w:hyperlink w:anchor="_Toc4068">
        <w:r>
          <w:rPr>
            <w:rStyle w:val="LienInternet"/>
          </w:rPr>
          <w:t>Article 11 - EXEMPLAIRE UNIQUE ET NANTISSEMENT OU CESSION DE CREANCE</w:t>
          <w:tab/>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r>
          <w:rPr>
            <w:rStyle w:val="LienInternet"/>
          </w:rPr>
        </w:r>
        <w:r>
          <w:rPr>
            <w:rStyle w:val="LienInternet"/>
          </w:rPr>
          <w:fldChar w:fldCharType="end"/>
        </w:r>
        <w:r>
          <w:rPr>
            <w:webHidden/>
          </w:rPr>
          <w:fldChar w:fldCharType="begin"/>
        </w:r>
        <w:r>
          <w:rPr>
            <w:webHidden/>
          </w:rPr>
          <w:instrText>PAGEREF _Toc4068 \h</w:instrText>
        </w:r>
        <w:r>
          <w:rPr>
            <w:webHidden/>
          </w:rPr>
          <w:fldChar w:fldCharType="separate"/>
        </w:r>
        <w:r>
          <w:rPr>
            <w:rStyle w:val="LienInternet"/>
          </w:rPr>
          <w:fldChar w:fldCharType="begin"/>
        </w:r>
        <w:r>
          <w:rPr>
            <w:webHidden/>
          </w:rPr>
          <w:fldChar w:fldCharType="end"/>
        </w:r>
        <w:r>
          <w:rPr>
            <w:rStyle w:val="LienInternet"/>
          </w:rPr>
          <w:instrText> PAGEREF _Toc4068 \h </w:instrText>
        </w:r>
        <w:r>
          <w:rPr>
            <w:rStyle w:val="LienInternet"/>
          </w:rPr>
          <w:fldChar w:fldCharType="separate"/>
        </w:r>
        <w:r>
          <w:rPr>
            <w:rStyle w:val="LienInternet"/>
          </w:rPr>
          <w:t>13</w:t>
        </w:r>
        <w:r>
          <w:rPr>
            <w:rStyle w:val="LienInternet"/>
          </w:rPr>
          <w:fldChar w:fldCharType="end"/>
        </w:r>
      </w:hyperlink>
      <w:r>
        <w:br w:type="page"/>
      </w:r>
    </w:p>
    <w:p>
      <w:pPr>
        <w:pStyle w:val="Titre1"/>
        <w:numPr>
          <w:ilvl w:val="0"/>
          <w:numId w:val="2"/>
        </w:numPr>
        <w:rPr/>
      </w:pPr>
      <w:bookmarkStart w:id="1" w:name="_Toc4045"/>
      <w:bookmarkEnd w:id="1"/>
      <w:r>
        <w:rPr/>
        <w:t>INFORMATIONS ADMINISTRATIVES (RENSEIGNE PAR LA COLLECTIVITE)</w:t>
      </w:r>
    </w:p>
    <w:p>
      <w:pPr>
        <w:pStyle w:val="Titre2"/>
        <w:numPr>
          <w:ilvl w:val="1"/>
          <w:numId w:val="2"/>
        </w:numPr>
        <w:rPr/>
      </w:pPr>
      <w:bookmarkStart w:id="2" w:name="_Toc4046"/>
      <w:bookmarkEnd w:id="2"/>
      <w:r>
        <w:rPr/>
        <w:t>Marché</w:t>
      </w:r>
    </w:p>
    <w:p>
      <w:pPr>
        <w:pStyle w:val="Normal"/>
        <w:rPr/>
      </w:pPr>
      <w:r>
        <w:rPr>
          <w:rFonts w:eastAsia="arial" w:cs="arial" w:ascii="arial" w:hAnsi="arial"/>
          <w:b w:val="false"/>
          <w:i w:val="false"/>
          <w:color w:val="000000"/>
          <w:sz w:val="20"/>
          <w:u w:val="none"/>
        </w:rPr>
        <w:t>Numéro du marché :</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 xml:space="preserve">Délibération 14/0814/UAGP du 15 décembre </w:t>
      </w:r>
    </w:p>
    <w:p>
      <w:pPr>
        <w:pStyle w:val="Normal"/>
        <w:spacing w:before="200" w:after="0"/>
        <w:ind w:left="0" w:right="0" w:hanging="0"/>
        <w:jc w:val="both"/>
        <w:rPr/>
      </w:pPr>
      <w:r>
        <w:rPr>
          <w:rFonts w:eastAsia="Arial" w:cs="Arial"/>
          <w:color w:val="000000"/>
          <w:sz w:val="20"/>
        </w:rPr>
        <w:t>La procédure de passation est la suivante : MAPA OUVERT AVEC BOAMP - selon les articles suivants : articles L2123-1, R2123-1-1°, R2123-4 et 5 du Code de la commande publique.</w:t>
      </w:r>
    </w:p>
    <w:p>
      <w:pPr>
        <w:pStyle w:val="Normal"/>
        <w:spacing w:before="200" w:after="0"/>
        <w:ind w:left="0" w:right="0" w:hanging="0"/>
        <w:jc w:val="both"/>
        <w:rPr/>
      </w:pPr>
      <w:r>
        <w:rPr>
          <w:rFonts w:eastAsia="Arial" w:cs="Arial"/>
          <w:color w:val="000000"/>
          <w:sz w:val="20"/>
        </w:rPr>
        <w:t xml:space="preserve">Marché(s) à tranches optionnelles (articles R2113-4 à 6 du Code de la commande publique). </w:t>
      </w:r>
    </w:p>
    <w:p>
      <w:pPr>
        <w:pStyle w:val="Normal"/>
        <w:rPr/>
      </w:pPr>
      <w:r>
        <w:rPr>
          <w:rFonts w:eastAsia="arial" w:cs="arial" w:ascii="arial" w:hAnsi="arial"/>
          <w:b w:val="false"/>
          <w:i w:val="false"/>
          <w:color w:val="000000"/>
          <w:sz w:val="20"/>
          <w:u w:val="none"/>
        </w:rPr>
        <w:t>Nature des prestations : Services</w:t>
      </w:r>
    </w:p>
    <w:p>
      <w:pPr>
        <w:pStyle w:val="Titre2"/>
        <w:numPr>
          <w:ilvl w:val="1"/>
          <w:numId w:val="2"/>
        </w:numPr>
        <w:rPr/>
      </w:pPr>
      <w:bookmarkStart w:id="3" w:name="_Toc4047"/>
      <w:bookmarkEnd w:id="3"/>
      <w:r>
        <w:rPr/>
        <w:t>Pouvoir adjudicateur</w:t>
      </w:r>
    </w:p>
    <w:p>
      <w:pPr>
        <w:pStyle w:val="Normal"/>
        <w:spacing w:before="120" w:after="0"/>
        <w:rPr/>
      </w:pPr>
      <w:r>
        <w:rPr>
          <w:rFonts w:eastAsia="arial" w:cs="arial" w:ascii="arial" w:hAnsi="arial"/>
          <w:b w:val="false"/>
          <w:i w:val="false"/>
          <w:color w:val="000000"/>
          <w:sz w:val="20"/>
          <w:u w:val="none"/>
        </w:rPr>
        <w:t>Ville de Marseille</w:t>
      </w:r>
    </w:p>
    <w:p>
      <w:pPr>
        <w:pStyle w:val="Normal"/>
        <w:spacing w:before="120" w:after="0"/>
        <w:rPr/>
      </w:pPr>
      <w:r>
        <w:rPr>
          <w:rFonts w:eastAsia="arial" w:cs="arial" w:ascii="arial" w:hAnsi="arial"/>
          <w:b w:val="false"/>
          <w:i w:val="false"/>
          <w:color w:val="000000"/>
          <w:sz w:val="20"/>
          <w:u w:val="none"/>
        </w:rPr>
        <w:t>Hôtel de ville</w:t>
      </w:r>
    </w:p>
    <w:p>
      <w:pPr>
        <w:pStyle w:val="Normal"/>
        <w:spacing w:before="120" w:after="0"/>
        <w:rPr/>
      </w:pPr>
      <w:r>
        <w:rPr>
          <w:rFonts w:eastAsia="arial" w:cs="arial" w:ascii="arial" w:hAnsi="arial"/>
          <w:b w:val="false"/>
          <w:i w:val="false"/>
          <w:color w:val="000000"/>
          <w:sz w:val="20"/>
          <w:u w:val="none"/>
        </w:rPr>
        <w:t>Quai du Port</w:t>
      </w:r>
    </w:p>
    <w:p>
      <w:pPr>
        <w:pStyle w:val="Normal"/>
        <w:spacing w:before="120" w:after="0"/>
        <w:rPr/>
      </w:pPr>
      <w:r>
        <w:rPr>
          <w:rFonts w:eastAsia="arial" w:cs="arial" w:ascii="arial" w:hAnsi="arial"/>
          <w:b w:val="false"/>
          <w:i w:val="false"/>
          <w:color w:val="000000"/>
          <w:sz w:val="20"/>
          <w:u w:val="none"/>
        </w:rPr>
        <w:t>13233 Marseille Cedex 20</w:t>
      </w:r>
    </w:p>
    <w:p>
      <w:pPr>
        <w:pStyle w:val="Normal"/>
        <w:spacing w:before="120" w:after="0"/>
        <w:rPr/>
      </w:pPr>
      <w:r>
        <w:rPr>
          <w:rFonts w:eastAsia="arial" w:cs="arial" w:ascii="arial" w:hAnsi="arial"/>
          <w:b w:val="false"/>
          <w:i w:val="false"/>
          <w:color w:val="000000"/>
          <w:sz w:val="20"/>
          <w:u w:val="none"/>
        </w:rPr>
        <w:t>M. LE MAIRE OU SON REPRÉSENTANT</w:t>
      </w:r>
    </w:p>
    <w:p>
      <w:pPr>
        <w:pStyle w:val="Normal"/>
        <w:spacing w:before="120" w:after="0"/>
        <w:rPr/>
      </w:pPr>
      <w:r>
        <w:rPr>
          <w:rFonts w:eastAsia="arial" w:cs="arial" w:ascii="arial" w:hAnsi="arial"/>
          <w:b w:val="false"/>
          <w:i w:val="false"/>
          <w:color w:val="000000"/>
          <w:sz w:val="20"/>
          <w:u w:val="none"/>
        </w:rPr>
        <w:t xml:space="preserve">Habilité à signer en vertu de l'arrêté de délégation de signature du Maire de Marseille, </w:t>
      </w:r>
    </w:p>
    <w:p>
      <w:pPr>
        <w:pStyle w:val="Normal"/>
        <w:spacing w:before="120" w:after="0"/>
        <w:rPr/>
      </w:pPr>
      <w:r>
        <w:rPr>
          <w:rFonts w:eastAsia="arial" w:cs="arial" w:ascii="arial" w:hAnsi="arial"/>
          <w:b w:val="false"/>
          <w:i w:val="false"/>
          <w:color w:val="000000"/>
          <w:sz w:val="20"/>
          <w:u w:val="none"/>
        </w:rPr>
        <w:t>L’Adjoint en charge de la culture pour toutes et tous,  de la création, du patrimoine culturel et du cinéma</w:t>
      </w:r>
    </w:p>
    <w:p>
      <w:pPr>
        <w:pStyle w:val="Normal"/>
        <w:spacing w:before="120" w:after="0"/>
        <w:rPr>
          <w:b/>
          <w:b/>
          <w:bCs/>
        </w:rPr>
      </w:pPr>
      <w:r>
        <w:rPr>
          <w:rFonts w:eastAsia="arial" w:cs="arial" w:ascii="arial" w:hAnsi="arial"/>
          <w:b/>
          <w:bCs/>
          <w:i w:val="false"/>
          <w:color w:val="000000"/>
          <w:sz w:val="20"/>
          <w:u w:val="none"/>
        </w:rPr>
        <w:t>Jean-Marc COPPOLA</w:t>
      </w:r>
    </w:p>
    <w:p>
      <w:pPr>
        <w:pStyle w:val="Normal"/>
        <w:spacing w:before="120" w:after="0"/>
        <w:rPr>
          <w:b/>
          <w:b/>
          <w:bCs/>
        </w:rPr>
      </w:pPr>
      <w:r>
        <w:rPr>
          <w:b/>
          <w:bCs/>
        </w:rPr>
      </w:r>
    </w:p>
    <w:p>
      <w:pPr>
        <w:pStyle w:val="Normal"/>
        <w:spacing w:before="120" w:after="0"/>
        <w:rPr/>
      </w:pPr>
      <w:r>
        <w:rPr>
          <w:rFonts w:eastAsia="arial" w:cs="arial" w:ascii="arial" w:hAnsi="arial"/>
          <w:b w:val="false"/>
          <w:i w:val="false"/>
          <w:color w:val="000000"/>
          <w:sz w:val="20"/>
          <w:u w:val="none"/>
        </w:rPr>
        <w:t>Personne habilitée à donner des renseignements prévus à l'article R2191-60 du Code de la commande publique : Monsieur Eric MARTIN</w:t>
      </w:r>
    </w:p>
    <w:p>
      <w:pPr>
        <w:pStyle w:val="Normal"/>
        <w:spacing w:before="120" w:after="0"/>
        <w:rPr/>
      </w:pPr>
      <w:r>
        <w:rPr>
          <w:rFonts w:eastAsia="arial" w:cs="arial" w:ascii="arial" w:hAnsi="arial"/>
          <w:b w:val="false"/>
          <w:i w:val="false"/>
          <w:color w:val="000000"/>
          <w:sz w:val="20"/>
          <w:u w:val="none"/>
        </w:rPr>
        <w:t>Direction Générale Adjointe "la ville plus verte et plus durable"</w:t>
      </w:r>
    </w:p>
    <w:p>
      <w:pPr>
        <w:pStyle w:val="Normal"/>
        <w:spacing w:before="120" w:after="0"/>
        <w:rPr/>
      </w:pPr>
      <w:r>
        <w:rPr>
          <w:rFonts w:eastAsia="arial" w:cs="arial" w:ascii="arial" w:hAnsi="arial"/>
          <w:b w:val="false"/>
          <w:i w:val="false"/>
          <w:color w:val="000000"/>
          <w:sz w:val="20"/>
          <w:u w:val="none"/>
        </w:rPr>
        <w:t>Direction de l'Architecture, de la Valorisation des Équipements et de leurs usages</w:t>
      </w:r>
    </w:p>
    <w:p>
      <w:pPr>
        <w:pStyle w:val="Normal"/>
        <w:spacing w:before="120" w:after="0"/>
        <w:rPr/>
      </w:pPr>
      <w:r>
        <w:rPr>
          <w:rFonts w:eastAsia="arial" w:cs="arial" w:ascii="arial" w:hAnsi="arial"/>
          <w:b w:val="false"/>
          <w:i w:val="false"/>
          <w:color w:val="000000"/>
          <w:sz w:val="20"/>
          <w:u w:val="none"/>
        </w:rPr>
        <w:t>Directeur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xml:space="preserve">Service responsable de l'exécution du marché : </w:t>
      </w:r>
    </w:p>
    <w:p>
      <w:pPr>
        <w:pStyle w:val="Normal"/>
        <w:spacing w:before="120" w:after="0"/>
        <w:rPr/>
      </w:pPr>
      <w:r>
        <w:rPr>
          <w:rFonts w:eastAsia="arial" w:cs="arial" w:ascii="arial" w:hAnsi="arial"/>
          <w:b w:val="false"/>
          <w:i w:val="false"/>
          <w:color w:val="000000"/>
          <w:sz w:val="20"/>
          <w:u w:val="none"/>
        </w:rPr>
        <w:t>Direction Générale Adjointe "la ville plus verte et plus durable"</w:t>
      </w:r>
    </w:p>
    <w:p>
      <w:pPr>
        <w:pStyle w:val="Normal"/>
        <w:spacing w:before="120" w:after="0"/>
        <w:rPr/>
      </w:pPr>
      <w:r>
        <w:rPr>
          <w:rFonts w:eastAsia="arial" w:cs="arial" w:ascii="arial" w:hAnsi="arial"/>
          <w:b w:val="false"/>
          <w:i w:val="false"/>
          <w:color w:val="000000"/>
          <w:sz w:val="20"/>
          <w:u w:val="none"/>
        </w:rPr>
        <w:t>Direction de l'Architecture, de la Valorisation des Équipements et de leurs usages</w:t>
      </w:r>
    </w:p>
    <w:p>
      <w:pPr>
        <w:pStyle w:val="Normal"/>
        <w:spacing w:before="120" w:after="0"/>
        <w:rPr/>
      </w:pPr>
      <w:r>
        <w:rPr>
          <w:rFonts w:eastAsia="arial" w:cs="arial" w:ascii="arial" w:hAnsi="arial"/>
          <w:b w:val="false"/>
          <w:i w:val="false"/>
          <w:color w:val="000000"/>
          <w:sz w:val="20"/>
          <w:u w:val="none"/>
        </w:rPr>
        <w:t>Pôle Études et Grands Projets de Construction</w:t>
      </w:r>
    </w:p>
    <w:p>
      <w:pPr>
        <w:pStyle w:val="Normal"/>
        <w:spacing w:before="120" w:after="0"/>
        <w:rPr/>
      </w:pPr>
      <w:r>
        <w:rPr>
          <w:rFonts w:eastAsia="arial" w:cs="arial" w:ascii="arial" w:hAnsi="arial"/>
          <w:b w:val="false"/>
          <w:i w:val="false"/>
          <w:color w:val="000000"/>
          <w:sz w:val="20"/>
          <w:u w:val="none"/>
        </w:rPr>
        <w:t>Service Monuments et Patrimoine Historiques</w:t>
      </w:r>
    </w:p>
    <w:p>
      <w:pPr>
        <w:pStyle w:val="Titre2"/>
        <w:numPr>
          <w:ilvl w:val="1"/>
          <w:numId w:val="2"/>
        </w:numPr>
        <w:rPr/>
      </w:pPr>
      <w:bookmarkStart w:id="4" w:name="_Toc4048"/>
      <w:bookmarkEnd w:id="4"/>
      <w:r>
        <w:rPr/>
        <w:t>Informations comptables et financières</w:t>
      </w:r>
    </w:p>
    <w:p>
      <w:pPr>
        <w:pStyle w:val="Normal"/>
        <w:rPr/>
      </w:pPr>
      <w:r>
        <w:rPr>
          <w:rFonts w:eastAsia="arial" w:cs="arial" w:ascii="arial" w:hAnsi="arial"/>
          <w:b w:val="false"/>
          <w:i w:val="false"/>
          <w:color w:val="000000"/>
          <w:sz w:val="20"/>
          <w:u w:val="none"/>
        </w:rPr>
        <w:t>Comptable public assignataire des paiements :</w:t>
      </w:r>
    </w:p>
    <w:p>
      <w:pPr>
        <w:pStyle w:val="Normal"/>
        <w:spacing w:before="120" w:after="0"/>
        <w:rPr/>
      </w:pPr>
      <w:r>
        <w:rPr>
          <w:rFonts w:eastAsia="arial" w:cs="arial" w:ascii="arial" w:hAnsi="arial"/>
          <w:b w:val="false"/>
          <w:i w:val="false"/>
          <w:color w:val="000000"/>
          <w:sz w:val="20"/>
          <w:u w:val="none"/>
        </w:rPr>
        <w:t>Monsieur l'Administrateur Finances Publiques de la Ville de Marseille</w:t>
      </w:r>
    </w:p>
    <w:p>
      <w:pPr>
        <w:pStyle w:val="Normal"/>
        <w:spacing w:before="120" w:after="0"/>
        <w:rPr/>
      </w:pPr>
      <w:r>
        <w:rPr>
          <w:rFonts w:eastAsia="arial" w:cs="arial" w:ascii="arial" w:hAnsi="arial"/>
          <w:b w:val="false"/>
          <w:i w:val="false"/>
          <w:color w:val="000000"/>
          <w:sz w:val="20"/>
          <w:u w:val="none"/>
        </w:rPr>
        <w:t>Trésorerie de Marseille Municipale</w:t>
      </w:r>
    </w:p>
    <w:p>
      <w:pPr>
        <w:pStyle w:val="Normal"/>
        <w:spacing w:before="120" w:after="0"/>
        <w:rPr/>
      </w:pPr>
      <w:r>
        <w:rPr>
          <w:rFonts w:eastAsia="arial" w:cs="arial" w:ascii="arial" w:hAnsi="arial"/>
          <w:b w:val="false"/>
          <w:i w:val="false"/>
          <w:color w:val="000000"/>
          <w:sz w:val="20"/>
          <w:u w:val="none"/>
        </w:rPr>
        <w:t>33 A rue Montgrand</w:t>
      </w:r>
    </w:p>
    <w:p>
      <w:pPr>
        <w:pStyle w:val="Normal"/>
        <w:spacing w:before="120" w:after="0"/>
        <w:rPr/>
      </w:pPr>
      <w:r>
        <w:rPr>
          <w:rFonts w:eastAsia="arial" w:cs="arial" w:ascii="arial" w:hAnsi="arial"/>
          <w:b w:val="false"/>
          <w:i w:val="false"/>
          <w:color w:val="000000"/>
          <w:sz w:val="20"/>
          <w:u w:val="none"/>
        </w:rPr>
        <w:t>13251 MARSEILLE CEDEX 20</w:t>
      </w:r>
    </w:p>
    <w:p>
      <w:pPr>
        <w:pStyle w:val="Normal"/>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rPr/>
      </w:pPr>
      <w:r>
        <w:rPr>
          <w:rFonts w:eastAsia="arial" w:cs="arial" w:ascii="arial" w:hAnsi="arial"/>
          <w:b w:val="false"/>
          <w:i w:val="false"/>
          <w:color w:val="000000"/>
          <w:sz w:val="20"/>
          <w:u w:val="none"/>
        </w:rPr>
        <w:t>Imputation budgétaire : investissement</w:t>
      </w:r>
    </w:p>
    <w:p>
      <w:pPr>
        <w:pStyle w:val="Normal"/>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Titre2"/>
        <w:numPr>
          <w:ilvl w:val="1"/>
          <w:numId w:val="2"/>
        </w:numPr>
        <w:rPr/>
      </w:pPr>
      <w:bookmarkStart w:id="5" w:name="_Toc4049"/>
      <w:bookmarkEnd w:id="5"/>
      <w:r>
        <w:rPr/>
        <w:t>Code CPV</w:t>
      </w:r>
    </w:p>
    <w:p>
      <w:pPr>
        <w:pStyle w:val="Normal"/>
        <w:rPr/>
      </w:pPr>
      <w:r>
        <w:rPr>
          <w:rFonts w:eastAsia="arial" w:cs="arial" w:ascii="arial" w:hAnsi="arial"/>
          <w:b/>
          <w:bCs/>
          <w:i w:val="false"/>
          <w:color w:val="000000"/>
          <w:sz w:val="20"/>
          <w:u w:val="none"/>
        </w:rPr>
        <w:t xml:space="preserve">Code CPV principal :  71200000 -  Services d'architecture </w:t>
      </w:r>
    </w:p>
    <w:p>
      <w:pPr>
        <w:pStyle w:val="Titre1"/>
        <w:numPr>
          <w:ilvl w:val="0"/>
          <w:numId w:val="2"/>
        </w:numPr>
        <w:rPr/>
      </w:pPr>
      <w:bookmarkStart w:id="6" w:name="_Toc4050"/>
      <w:bookmarkEnd w:id="6"/>
      <w:r>
        <w:rPr/>
        <w:t>CONTRACTANT(S)</w:t>
      </w:r>
    </w:p>
    <w:p>
      <w:pPr>
        <w:pStyle w:val="Titre2"/>
        <w:numPr>
          <w:ilvl w:val="1"/>
          <w:numId w:val="2"/>
        </w:numPr>
        <w:rPr/>
      </w:pPr>
      <w:bookmarkStart w:id="7" w:name="_Toc4051"/>
      <w:bookmarkEnd w:id="7"/>
      <w:r>
        <w:rPr/>
        <w:t>Identification</w:t>
      </w:r>
    </w:p>
    <w:p>
      <w:pPr>
        <w:pStyle w:val="Normal"/>
        <w:rPr/>
      </w:pPr>
      <w:r>
        <w:rPr>
          <w:rFonts w:eastAsia="arial" w:cs="arial" w:ascii="arial" w:hAnsi="arial"/>
          <w:b/>
          <w:i w:val="false"/>
          <w:color w:val="000000"/>
          <w:sz w:val="20"/>
          <w:u w:val="single"/>
        </w:rPr>
        <w:t>EN CAS DE CANDIDATURE INDIVIDUELLE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N.B. Les informations (dénomination sociale, forme juridique, SIRET...) doivent correspondre à celles indiquées dans le Kbis de la société.</w:t>
      </w:r>
    </w:p>
    <w:p>
      <w:pPr>
        <w:pStyle w:val="Normal"/>
        <w:spacing w:before="120" w:after="0"/>
        <w:rPr/>
      </w:pPr>
      <w:r>
        <w:rPr/>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none"/>
        </w:rPr>
        <w:t>EN CAS DE CANDIDATURE SOUS FORME DE GROUPEMENT D'ENTREPRISES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1er co-contractant</w:t>
      </w:r>
      <w:r>
        <w:rPr>
          <w:rFonts w:eastAsia="arial" w:cs="arial" w:ascii="arial" w:hAnsi="arial"/>
          <w:b w:val="false"/>
          <w:i w:val="false"/>
          <w:color w:val="000000"/>
          <w:sz w:val="20"/>
          <w:u w:val="none"/>
        </w:rPr>
        <w:t xml:space="preserve"> :  </w:t>
      </w:r>
      <w:r>
        <w:rPr>
          <w:rFonts w:eastAsia="arial" w:cs="arial" w:ascii="arial" w:hAnsi="arial"/>
          <w:b/>
          <w:i w:val="false"/>
          <w:color w:val="000000"/>
          <w:sz w:val="20"/>
          <w:u w:val="none"/>
        </w:rPr>
        <w:t>MANDATAIRE</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agissant en tant que mandataire</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 du groupement conjoint</w:t>
      </w:r>
    </w:p>
    <w:p>
      <w:pPr>
        <w:pStyle w:val="Normal"/>
        <w:spacing w:before="120" w:after="0"/>
        <w:rPr/>
      </w:pPr>
      <w:r>
        <w:rPr>
          <w:rFonts w:eastAsia="arial" w:cs="arial" w:ascii="arial" w:hAnsi="arial"/>
          <w:b w:val="false"/>
          <w:i w:val="false"/>
          <w:color w:val="000000"/>
          <w:sz w:val="20"/>
          <w:u w:val="none"/>
        </w:rPr>
        <w:t>* du groupement conjoint pour lequel il est solidaire des cotraitants du groupement</w:t>
      </w:r>
    </w:p>
    <w:p>
      <w:pPr>
        <w:pStyle w:val="Normal"/>
        <w:spacing w:before="120" w:after="0"/>
        <w:rPr/>
      </w:pPr>
      <w:r>
        <w:rPr>
          <w:rFonts w:eastAsia="arial" w:cs="arial" w:ascii="arial" w:hAnsi="arial"/>
          <w:b w:val="false"/>
          <w:i w:val="false"/>
          <w:color w:val="000000"/>
          <w:sz w:val="20"/>
          <w:u w:val="none"/>
        </w:rPr>
        <w:t>* du groupement solidaire</w:t>
      </w:r>
    </w:p>
    <w:p>
      <w:pPr>
        <w:pStyle w:val="Normal"/>
        <w:spacing w:before="120" w:after="0"/>
        <w:rPr/>
      </w:pPr>
      <w:r>
        <w:rPr>
          <w:rFonts w:eastAsia="arial" w:cs="arial" w:ascii="arial" w:hAnsi="arial"/>
          <w:b w:val="false"/>
          <w:i w:val="false"/>
          <w:color w:val="000000"/>
          <w:sz w:val="20"/>
          <w:u w:val="none"/>
        </w:rPr>
        <w:t>(Rayez ci-dessus les mentions inutiles)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i w:val="false"/>
          <w:color w:val="000000"/>
          <w:sz w:val="20"/>
          <w:u w:val="single"/>
        </w:rPr>
        <w:t>2ème co-contractant</w:t>
      </w: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val="false"/>
          <w:i w:val="false"/>
          <w:color w:val="000000"/>
          <w:sz w:val="20"/>
          <w:u w:val="single"/>
        </w:rPr>
        <w:t xml:space="preserve"> 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r>
        <w:rPr>
          <w:rFonts w:eastAsia="arial" w:cs="arial" w:ascii="arial" w:hAnsi="arial"/>
          <w:b/>
          <w:i w:val="false"/>
          <w:color w:val="000000"/>
          <w:sz w:val="20"/>
          <w:u w:val="single"/>
        </w:rPr>
        <w:t xml:space="preserve"> 3ème co-contractant</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000000"/>
          <w:sz w:val="20"/>
          <w:u w:val="none"/>
        </w:rPr>
        <w:t>Nom, prénom et qualité du signataire : ..........</w:t>
      </w:r>
    </w:p>
    <w:p>
      <w:pPr>
        <w:pStyle w:val="Normal"/>
        <w:spacing w:before="120" w:after="0"/>
        <w:rPr/>
      </w:pPr>
      <w:r>
        <w:rPr>
          <w:rFonts w:eastAsia="arial" w:cs="arial" w:ascii="arial" w:hAnsi="arial"/>
          <w:b w:val="false"/>
          <w:i w:val="false"/>
          <w:color w:val="000000"/>
          <w:sz w:val="20"/>
          <w:u w:val="none"/>
        </w:rPr>
        <w:t>Adresse professionnelle : .............................................</w:t>
      </w:r>
    </w:p>
    <w:p>
      <w:pPr>
        <w:pStyle w:val="Normal"/>
        <w:spacing w:before="120" w:after="0"/>
        <w:rPr/>
      </w:pPr>
      <w:r>
        <w:rPr>
          <w:rFonts w:eastAsia="arial" w:cs="arial" w:ascii="arial" w:hAnsi="arial"/>
          <w:b w:val="false"/>
          <w:i w:val="false"/>
          <w:color w:val="000000"/>
          <w:sz w:val="20"/>
          <w:u w:val="none"/>
        </w:rPr>
        <w:t>Code Postal : ............. Ville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mon compte</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single"/>
        </w:rPr>
        <w:t>agissant pour le compte de la société</w:t>
      </w:r>
    </w:p>
    <w:p>
      <w:pPr>
        <w:pStyle w:val="Normal"/>
        <w:spacing w:before="120" w:after="0"/>
        <w:rPr/>
      </w:pPr>
      <w:r>
        <w:rPr>
          <w:rFonts w:eastAsia="arial" w:cs="arial" w:ascii="arial" w:hAnsi="arial"/>
          <w:b w:val="false"/>
          <w:i w:val="false"/>
          <w:color w:val="000000"/>
          <w:sz w:val="20"/>
          <w:u w:val="none"/>
        </w:rPr>
        <w:t>(Rayez ci-dessus la mention inutile)</w:t>
      </w:r>
    </w:p>
    <w:p>
      <w:pPr>
        <w:pStyle w:val="Normal"/>
        <w:spacing w:before="120" w:after="0"/>
        <w:rPr/>
      </w:pPr>
      <w:r>
        <w:rPr>
          <w:rFonts w:eastAsia="arial" w:cs="arial" w:ascii="arial" w:hAnsi="arial"/>
          <w:b w:val="false"/>
          <w:i w:val="false"/>
          <w:color w:val="000000"/>
          <w:sz w:val="20"/>
          <w:u w:val="none"/>
        </w:rPr>
        <w:t>Forme juridique (indiquer SA, SARL, ...) : .........................</w:t>
      </w:r>
    </w:p>
    <w:p>
      <w:pPr>
        <w:pStyle w:val="Normal"/>
        <w:spacing w:before="120" w:after="0"/>
        <w:rPr/>
      </w:pPr>
      <w:r>
        <w:rPr>
          <w:rFonts w:eastAsia="arial" w:cs="arial" w:ascii="arial" w:hAnsi="arial"/>
          <w:b w:val="false"/>
          <w:i w:val="false"/>
          <w:color w:val="000000"/>
          <w:sz w:val="20"/>
          <w:u w:val="none"/>
        </w:rPr>
        <w:t>Dénomination sociale : .........................</w:t>
      </w:r>
    </w:p>
    <w:p>
      <w:pPr>
        <w:pStyle w:val="Normal"/>
        <w:spacing w:before="120" w:after="0"/>
        <w:rPr/>
      </w:pPr>
      <w:r>
        <w:rPr>
          <w:rFonts w:eastAsia="arial" w:cs="arial" w:ascii="arial" w:hAnsi="arial"/>
          <w:b w:val="false"/>
          <w:i w:val="false"/>
          <w:color w:val="000000"/>
          <w:sz w:val="20"/>
          <w:u w:val="none"/>
        </w:rPr>
        <w:t>Domicilié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Dont le siège social est à : ...........................................</w:t>
      </w:r>
    </w:p>
    <w:p>
      <w:pPr>
        <w:pStyle w:val="Normal"/>
        <w:spacing w:before="120" w:after="0"/>
        <w:rPr/>
      </w:pPr>
      <w:r>
        <w:rPr>
          <w:rFonts w:eastAsia="arial" w:cs="arial" w:ascii="arial" w:hAnsi="arial"/>
          <w:b w:val="false"/>
          <w:i w:val="false"/>
          <w:color w:val="000000"/>
          <w:sz w:val="20"/>
          <w:u w:val="none"/>
        </w:rPr>
        <w:t>Tél : .....................</w:t>
      </w:r>
    </w:p>
    <w:p>
      <w:pPr>
        <w:pStyle w:val="Normal"/>
        <w:spacing w:before="120" w:after="0"/>
        <w:rPr/>
      </w:pPr>
      <w:r>
        <w:rPr>
          <w:rFonts w:eastAsia="arial" w:cs="arial" w:ascii="arial" w:hAnsi="arial"/>
          <w:b w:val="false"/>
          <w:i w:val="false"/>
          <w:color w:val="000000"/>
          <w:sz w:val="20"/>
          <w:u w:val="none"/>
        </w:rPr>
        <w:t>Courriel : ....................................</w:t>
      </w:r>
    </w:p>
    <w:p>
      <w:pPr>
        <w:pStyle w:val="Normal"/>
        <w:spacing w:before="120" w:after="0"/>
        <w:rPr/>
      </w:pPr>
      <w:r>
        <w:rPr>
          <w:rFonts w:eastAsia="arial" w:cs="arial" w:ascii="arial" w:hAnsi="arial"/>
          <w:b w:val="false"/>
          <w:i w:val="false"/>
          <w:color w:val="000000"/>
          <w:sz w:val="20"/>
          <w:u w:val="none"/>
        </w:rPr>
        <w:t>N° SIRET : ....................... Code APE : ...................</w:t>
      </w:r>
    </w:p>
    <w:p>
      <w:pPr>
        <w:pStyle w:val="Normal"/>
        <w:spacing w:before="120" w:after="0"/>
        <w:rPr/>
      </w:pPr>
      <w:r>
        <w:rPr>
          <w:rFonts w:eastAsia="arial" w:cs="arial" w:ascii="arial" w:hAnsi="arial"/>
          <w:b w:val="false"/>
          <w:i w:val="false"/>
          <w:color w:val="000000"/>
          <w:sz w:val="20"/>
          <w:u w:val="none"/>
        </w:rPr>
        <w:t>N° TVA intracommunautaire : .....................................</w:t>
      </w:r>
    </w:p>
    <w:p>
      <w:pPr>
        <w:pStyle w:val="Normal"/>
        <w:spacing w:before="120" w:after="0"/>
        <w:rPr/>
      </w:pPr>
      <w:r>
        <w:rPr>
          <w:rFonts w:eastAsia="arial" w:cs="arial" w:ascii="arial" w:hAnsi="arial"/>
          <w:b w:val="false"/>
          <w:i w:val="false"/>
          <w:color w:val="000000"/>
          <w:sz w:val="20"/>
          <w:u w:val="none"/>
        </w:rPr>
        <w:t>(pour les candidats européens sans établissement en France)</w:t>
      </w:r>
    </w:p>
    <w:p>
      <w:pPr>
        <w:pStyle w:val="Normal"/>
        <w:rPr/>
      </w:pPr>
      <w:r>
        <w:rPr/>
      </w:r>
    </w:p>
    <w:p>
      <w:pPr>
        <w:pStyle w:val="Titre2"/>
        <w:numPr>
          <w:ilvl w:val="1"/>
          <w:numId w:val="2"/>
        </w:numPr>
        <w:rPr/>
      </w:pPr>
      <w:bookmarkStart w:id="8" w:name="_Toc4052"/>
      <w:bookmarkEnd w:id="8"/>
      <w:r>
        <w:rPr/>
        <w:t>Compte à créditer</w:t>
      </w:r>
    </w:p>
    <w:p>
      <w:pPr>
        <w:pStyle w:val="Normal"/>
        <w:rPr/>
      </w:pPr>
      <w:r>
        <w:rPr>
          <w:rFonts w:eastAsia="arial" w:cs="arial" w:ascii="arial" w:hAnsi="arial"/>
          <w:b w:val="false"/>
          <w:i w:val="false"/>
          <w:color w:val="000000"/>
          <w:sz w:val="20"/>
          <w:u w:val="single"/>
        </w:rPr>
        <w:t>Règlement sur un compte unique</w:t>
      </w:r>
    </w:p>
    <w:p>
      <w:pPr>
        <w:pStyle w:val="Normal"/>
        <w:spacing w:before="120" w:after="0"/>
        <w:rPr/>
      </w:pPr>
      <w:r>
        <w:rPr>
          <w:rFonts w:eastAsia="arial" w:cs="arial" w:ascii="arial" w:hAnsi="arial"/>
          <w:b w:val="false"/>
          <w:i w:val="false"/>
          <w:color w:val="000000"/>
          <w:sz w:val="20"/>
          <w:u w:val="none"/>
        </w:rPr>
        <w:t>Le pouvoir adjudicateur se libérera des sommes dues au titre du présent marché en faisant porter le montant au crédit du compte renseigné ci-dessous, si le candidat n'est pas un groupement ou s'il est un groupement solidaire sans individualisation des prestations.</w:t>
      </w:r>
    </w:p>
    <w:p>
      <w:pPr>
        <w:pStyle w:val="Normal"/>
        <w:spacing w:before="120" w:after="0"/>
        <w:rPr/>
      </w:pPr>
      <w:r>
        <w:rPr/>
      </w:r>
    </w:p>
    <w:p>
      <w:pPr>
        <w:pStyle w:val="Normal"/>
        <w:spacing w:before="120" w:after="0"/>
        <w:rPr/>
      </w:pPr>
      <w:r>
        <w:rPr>
          <w:rFonts w:eastAsia="arial" w:cs="arial" w:ascii="arial" w:hAnsi="arial"/>
          <w:b w:val="false"/>
          <w:i w:val="false"/>
          <w:color w:val="auto"/>
          <w:sz w:val="20"/>
          <w:u w:val="none"/>
        </w:rPr>
        <w:t>Désignation du compte à créditer :</w:t>
      </w:r>
    </w:p>
    <w:p>
      <w:pPr>
        <w:pStyle w:val="Normal"/>
        <w:spacing w:before="120" w:after="0"/>
        <w:rPr/>
      </w:pPr>
      <w:r>
        <w:rPr>
          <w:rFonts w:eastAsia="arial" w:cs="arial" w:ascii="arial" w:hAnsi="arial"/>
          <w:b w:val="false"/>
          <w:i w:val="false"/>
          <w:color w:val="000000"/>
          <w:sz w:val="20"/>
          <w:u w:val="none"/>
        </w:rPr>
        <w:t>Compte ouvert au nom de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Dans le cas d'un groupement solidaire, les paiements seront effectués sur un compte unique ouvert au nom de chacun des membres du groupement, ou sur le compte du mandataire, qui devra alors être dûment habilité par chacun des cotraitants.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rPr>
        <w:t>Règlements sur des comptes séparés</w:t>
      </w:r>
    </w:p>
    <w:p>
      <w:pPr>
        <w:pStyle w:val="Normal"/>
        <w:rPr>
          <w:b w:val="false"/>
          <w:b w:val="false"/>
          <w:i w:val="false"/>
          <w:i w:val="false"/>
          <w:color w:val="auto"/>
          <w:u w:val="none"/>
        </w:rPr>
      </w:pPr>
      <w:r>
        <w:rPr>
          <w:b w:val="false"/>
          <w:i w:val="false"/>
          <w:color w:val="auto"/>
          <w:u w:val="none"/>
        </w:rPr>
        <w:t>Si les co-traitants sont en groupement conjoint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co-traitant.</w:t>
      </w:r>
    </w:p>
    <w:p>
      <w:pPr>
        <w:pStyle w:val="Normal"/>
        <w:spacing w:before="120" w:after="0"/>
        <w:rPr/>
      </w:pPr>
      <w:r>
        <w:rPr>
          <w:rFonts w:eastAsia="arial" w:cs="arial" w:ascii="arial" w:hAnsi="arial"/>
          <w:b w:val="false"/>
          <w:i w:val="false"/>
          <w:color w:val="auto"/>
          <w:sz w:val="20"/>
          <w:u w:val="none"/>
        </w:rPr>
        <w:t xml:space="preserve">Si les co-traitants sont en groupement solidaire avec individualisation des prestations, les montants dus sont portés au crédit des comptes désignés en annexe (reproduire l'annexe autant que de compte à créditer) selon la répartition des paiements indiquée par le groupement, jointe au présent acte d'engagement. Joindre les relevés bancaires de chaque co-traitant. </w:t>
      </w:r>
      <w:r>
        <w:rPr>
          <w:rFonts w:eastAsia="arial" w:cs="arial" w:ascii="arial" w:hAnsi="arial"/>
          <w:b w:val="false"/>
          <w:i w:val="false"/>
          <w:color w:val="000000"/>
          <w:sz w:val="20"/>
          <w:u w:val="none"/>
        </w:rPr>
        <w:t xml:space="preserve"> :</w:t>
      </w:r>
    </w:p>
    <w:p>
      <w:pPr>
        <w:pStyle w:val="Normal"/>
        <w:spacing w:before="120" w:after="0"/>
        <w:rPr/>
      </w:pPr>
      <w:r>
        <w:rPr>
          <w:rFonts w:eastAsia="arial" w:cs="arial" w:ascii="arial" w:hAnsi="arial"/>
          <w:b w:val="false"/>
          <w:i w:val="false"/>
          <w:color w:val="auto"/>
          <w:sz w:val="20"/>
          <w:u w:val="none"/>
        </w:rPr>
        <w:t>Désignation du compte à créditer :</w:t>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 Compte ouvert au nom de :</w:t>
      </w:r>
    </w:p>
    <w:p>
      <w:pPr>
        <w:pStyle w:val="Normal"/>
        <w:spacing w:before="120" w:after="0"/>
        <w:rPr/>
      </w:pPr>
      <w:r>
        <w:rPr>
          <w:rFonts w:eastAsia="arial" w:cs="arial" w:ascii="arial" w:hAnsi="arial"/>
          <w:b w:val="false"/>
          <w:i w:val="false"/>
          <w:color w:val="000000"/>
          <w:sz w:val="20"/>
          <w:u w:val="none"/>
        </w:rPr>
        <w:t>Domiciliation :</w:t>
      </w:r>
    </w:p>
    <w:p>
      <w:pPr>
        <w:pStyle w:val="Normal"/>
        <w:spacing w:before="120" w:after="0"/>
        <w:rPr/>
      </w:pPr>
      <w:r>
        <w:rPr>
          <w:rFonts w:eastAsia="arial" w:cs="arial" w:ascii="arial" w:hAnsi="arial"/>
          <w:b w:val="false"/>
          <w:i w:val="false"/>
          <w:color w:val="000000"/>
          <w:sz w:val="20"/>
          <w:u w:val="none"/>
        </w:rPr>
        <w:t>IBAN : ...........</w:t>
      </w:r>
    </w:p>
    <w:p>
      <w:pPr>
        <w:pStyle w:val="Normal"/>
        <w:spacing w:before="120" w:after="0"/>
        <w:rPr/>
      </w:pPr>
      <w:r>
        <w:rPr>
          <w:rFonts w:eastAsia="arial" w:cs="arial" w:ascii="arial" w:hAnsi="arial"/>
          <w:b w:val="false"/>
          <w:i w:val="false"/>
          <w:color w:val="000000"/>
          <w:sz w:val="20"/>
          <w:u w:val="none"/>
        </w:rPr>
        <w:t>BIC : ..............</w:t>
      </w:r>
    </w:p>
    <w:p>
      <w:pPr>
        <w:pStyle w:val="Normal"/>
        <w:spacing w:before="120" w:after="0"/>
        <w:rPr/>
      </w:pPr>
      <w:r>
        <w:rPr>
          <w:rFonts w:eastAsia="arial" w:cs="arial" w:ascii="arial" w:hAnsi="arial"/>
          <w:b w:val="false"/>
          <w:i w:val="false"/>
          <w:color w:val="000000"/>
          <w:sz w:val="20"/>
          <w:u w:val="none"/>
        </w:rPr>
        <w:t>Joindre un relevé BIC (bank indentification code) ou IBAN (international bank accompt number).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Dans ce cas, les montants dus sont portés au crédit des comptes désignés ci-dessus. Joindre les relevés bancaires de chaque co-traitant.</w:t>
      </w:r>
    </w:p>
    <w:p>
      <w:pPr>
        <w:pStyle w:val="Normal"/>
        <w:spacing w:before="120" w:after="0"/>
        <w:rPr/>
      </w:pPr>
      <w:r>
        <w:rPr>
          <w:rFonts w:eastAsia="arial" w:cs="arial" w:ascii="arial" w:hAnsi="arial"/>
          <w:b w:val="false"/>
          <w:i w:val="false"/>
          <w:color w:val="000000"/>
          <w:sz w:val="20"/>
          <w:u w:val="none"/>
        </w:rPr>
        <w:t>Une répartition des paiements entre membres du groupement sera jointe au présent acte d'engagement (sauf exception type accord-cadre à bons de commande).</w:t>
      </w:r>
    </w:p>
    <w:p>
      <w:pPr>
        <w:pStyle w:val="Normal"/>
        <w:spacing w:before="120" w:after="0"/>
        <w:rPr/>
      </w:pPr>
      <w:r>
        <w:rPr/>
      </w:r>
    </w:p>
    <w:p>
      <w:pPr>
        <w:pStyle w:val="Normal"/>
        <w:spacing w:before="120" w:after="0"/>
        <w:rPr/>
      </w:pPr>
      <w:r>
        <w:rPr/>
      </w:r>
    </w:p>
    <w:p>
      <w:pPr>
        <w:pStyle w:val="Normal"/>
        <w:spacing w:before="120" w:after="0"/>
        <w:rPr/>
      </w:pPr>
      <w:r>
        <w:rPr/>
      </w:r>
    </w:p>
    <w:p>
      <w:pPr>
        <w:pStyle w:val="Normal"/>
        <w:spacing w:before="120" w:after="0"/>
        <w:rPr/>
      </w:pPr>
      <w:r>
        <w:rPr/>
      </w:r>
    </w:p>
    <w:p>
      <w:pPr>
        <w:pStyle w:val="Normal"/>
        <w:rPr/>
      </w:pPr>
      <w:r>
        <w:rPr>
          <w:rFonts w:eastAsia="arial" w:cs="arial" w:ascii="arial" w:hAnsi="arial"/>
          <w:b/>
          <w:i w:val="false"/>
          <w:color w:val="000000"/>
          <w:sz w:val="20"/>
          <w:u w:val="single"/>
        </w:rPr>
        <w:t>Obligation du titulaire d'informer le Représentant du Pouvoir Adjudicateur de tout changement de sa situation</w:t>
      </w:r>
      <w:r>
        <w:rPr>
          <w:rFonts w:eastAsia="arial" w:cs="arial" w:ascii="arial" w:hAnsi="arial"/>
          <w:b/>
          <w:i w:val="false"/>
          <w:color w:val="000000"/>
          <w:sz w:val="20"/>
          <w:u w:val="none"/>
        </w:rPr>
        <w:t> :</w:t>
      </w:r>
    </w:p>
    <w:p>
      <w:pPr>
        <w:pStyle w:val="Normal"/>
        <w:spacing w:before="120" w:after="0"/>
        <w:rPr/>
      </w:pPr>
      <w:r>
        <w:rPr>
          <w:rFonts w:eastAsia="arial" w:cs="arial" w:ascii="arial" w:hAnsi="arial"/>
          <w:b w:val="false"/>
          <w:i w:val="false"/>
          <w:color w:val="000000"/>
          <w:sz w:val="20"/>
          <w:u w:val="none"/>
        </w:rPr>
        <w:t>Conformément à l'article 3.4.2 du CCAG applicable, le titulaire s'engage à informer par écrit, dans les meilleurs délais, le Représentant du Pouvoir Adjudicateur de tout changement de sa situation administrative, juridique et financière et, plus généralement, de toutes modifications importantes de fonctionnement de l'entreprise pouvant influer sur le déroulement du marché.</w:t>
      </w:r>
    </w:p>
    <w:p>
      <w:pPr>
        <w:pStyle w:val="Normal"/>
        <w:spacing w:before="120" w:after="0"/>
        <w:rPr/>
      </w:pPr>
      <w:r>
        <w:rPr>
          <w:rFonts w:eastAsia="arial" w:cs="arial" w:ascii="arial" w:hAnsi="arial"/>
          <w:b w:val="false"/>
          <w:i w:val="false"/>
          <w:color w:val="000000"/>
          <w:sz w:val="20"/>
          <w:u w:val="none"/>
        </w:rPr>
        <w:t>A ce titre, il notifie toute modification survenant au cours de l'exécution du marché et se rapportant notamment :</w:t>
      </w:r>
    </w:p>
    <w:p>
      <w:pPr>
        <w:pStyle w:val="Normal"/>
        <w:spacing w:before="120" w:after="0"/>
        <w:rPr/>
      </w:pPr>
      <w:r>
        <w:rPr>
          <w:rFonts w:eastAsia="arial" w:cs="arial" w:ascii="arial" w:hAnsi="arial"/>
          <w:b w:val="false"/>
          <w:i w:val="false"/>
          <w:color w:val="000000"/>
          <w:sz w:val="20"/>
          <w:u w:val="none"/>
        </w:rPr>
        <w:t>- à son statut (cession, fusion, changement de forme juridique, de raison sociale, de dénomination, de siège social, ...),</w:t>
      </w:r>
    </w:p>
    <w:p>
      <w:pPr>
        <w:pStyle w:val="Normal"/>
        <w:spacing w:before="120" w:after="0"/>
        <w:rPr/>
      </w:pPr>
      <w:r>
        <w:rPr>
          <w:rFonts w:eastAsia="arial" w:cs="arial" w:ascii="arial" w:hAnsi="arial"/>
          <w:b w:val="false"/>
          <w:i w:val="false"/>
          <w:color w:val="000000"/>
          <w:sz w:val="20"/>
          <w:u w:val="none"/>
        </w:rPr>
        <w:t>- à un changement d'adresse,</w:t>
      </w:r>
    </w:p>
    <w:p>
      <w:pPr>
        <w:pStyle w:val="Normal"/>
        <w:spacing w:before="120" w:after="0"/>
        <w:rPr/>
      </w:pPr>
      <w:r>
        <w:rPr>
          <w:rFonts w:eastAsia="arial" w:cs="arial" w:ascii="arial" w:hAnsi="arial"/>
          <w:b w:val="false"/>
          <w:i w:val="false"/>
          <w:color w:val="000000"/>
          <w:sz w:val="20"/>
          <w:u w:val="none"/>
        </w:rPr>
        <w:t>- à un changement de domiciliation bancaire,</w:t>
      </w:r>
    </w:p>
    <w:p>
      <w:pPr>
        <w:pStyle w:val="Normal"/>
        <w:spacing w:before="120" w:after="0"/>
        <w:rPr/>
      </w:pPr>
      <w:r>
        <w:rPr>
          <w:rFonts w:eastAsia="arial" w:cs="arial" w:ascii="arial" w:hAnsi="arial"/>
          <w:b w:val="false"/>
          <w:i w:val="false"/>
          <w:color w:val="000000"/>
          <w:sz w:val="20"/>
          <w:u w:val="none"/>
        </w:rPr>
        <w:t>- à la mise en oeuvre à son encontre d'une procédure de redressement judiciaire, de liquidation judiciaire ou de toute autre mesure d'interdiction de concourir.</w:t>
      </w:r>
    </w:p>
    <w:p>
      <w:pPr>
        <w:pStyle w:val="Normal"/>
        <w:spacing w:before="120" w:after="0"/>
        <w:rPr/>
      </w:pPr>
      <w:r>
        <w:rPr>
          <w:rFonts w:eastAsia="arial" w:cs="arial" w:ascii="arial" w:hAnsi="arial"/>
          <w:b w:val="false"/>
          <w:i w:val="false"/>
          <w:color w:val="000000"/>
          <w:sz w:val="20"/>
          <w:u w:val="none"/>
        </w:rPr>
        <w:t>Le titulaire est tenu de communiquer au Représentant du Pouvoir Adjudicateur tous les justificatifs nécessaires attestant de ce changement de situation (extrait K bis, publications légales, copie de procès-verbaux d'assemblées générales, jugements, nouveau RIB, nouveaux pouvoirs du Représentant du titulaire,...) afin de permettre au Pouvoir Adjudicateur de prendre toutes dispositions nécessaires pour assurer la continuité du marché.</w:t>
      </w:r>
    </w:p>
    <w:p>
      <w:pPr>
        <w:pStyle w:val="Titre1"/>
        <w:numPr>
          <w:ilvl w:val="0"/>
          <w:numId w:val="2"/>
        </w:numPr>
        <w:rPr/>
      </w:pPr>
      <w:bookmarkStart w:id="9" w:name="_Toc4053"/>
      <w:bookmarkEnd w:id="9"/>
      <w:r>
        <w:rPr/>
        <w:t>OBJET</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Mission d'études portant sur la restauration du clos, couvert, structure de la chapelle des Bernardines et des constructions annexes, sur la conservation des décors de la coupole et sur la mise en accessibilité du théâtre aux PMR - 17 bd Garibaldi - 13001 Marseille</w:t>
      </w:r>
    </w:p>
    <w:p>
      <w:pPr>
        <w:pStyle w:val="Normal"/>
        <w:rPr/>
      </w:pPr>
      <w:r>
        <w:rPr>
          <w:rFonts w:eastAsia="arial" w:cs="arial"/>
          <w:b w:val="false"/>
          <w:i w:val="false"/>
          <w:color w:val="000000"/>
          <w:sz w:val="20"/>
          <w:szCs w:val="20"/>
          <w:u w:val="none"/>
        </w:rPr>
        <w:t>Le marché est réparti en plusieurs tranches définies comme suit :</w:t>
      </w:r>
    </w:p>
    <w:p>
      <w:pPr>
        <w:pStyle w:val="Normal"/>
        <w:jc w:val="both"/>
        <w:rPr/>
      </w:pPr>
      <w:r>
        <w:rPr>
          <w:rFonts w:eastAsia="arial" w:cs="arial"/>
          <w:b w:val="false"/>
          <w:i w:val="false"/>
          <w:color w:val="000000"/>
          <w:sz w:val="20"/>
          <w:szCs w:val="20"/>
          <w:u w:val="none"/>
          <w:lang w:val="fr-FR"/>
        </w:rPr>
        <w:t xml:space="preserve"> </w:t>
      </w:r>
      <w:r>
        <w:rPr>
          <w:rStyle w:val="Policepardfaut"/>
          <w:rFonts w:eastAsia="arial" w:cs="arial"/>
          <w:b/>
          <w:i w:val="false"/>
          <w:color w:val="000000"/>
          <w:sz w:val="20"/>
          <w:szCs w:val="20"/>
          <w:u w:val="single"/>
          <w:lang w:val="fr-FR"/>
        </w:rPr>
        <w:t>Tranche Ferme (TF) :</w:t>
      </w:r>
    </w:p>
    <w:p>
      <w:pPr>
        <w:pStyle w:val="Normal"/>
        <w:jc w:val="both"/>
        <w:rPr/>
      </w:pPr>
      <w:r>
        <w:rPr>
          <w:rStyle w:val="Policepardfaut"/>
          <w:rFonts w:eastAsia="arial" w:cs="arial"/>
          <w:b w:val="false"/>
          <w:bCs w:val="false"/>
          <w:i w:val="false"/>
          <w:color w:val="000000"/>
          <w:sz w:val="20"/>
          <w:szCs w:val="20"/>
          <w:u w:val="none"/>
          <w:lang w:val="fr-FR"/>
        </w:rPr>
        <w:t>La tranche ferme comprend la mission de diagnostic telle que précisée à l’article 1.1 du Règlement de Consultation.</w:t>
      </w:r>
    </w:p>
    <w:p>
      <w:pPr>
        <w:pStyle w:val="Normal"/>
        <w:jc w:val="both"/>
        <w:rPr/>
      </w:pPr>
      <w:r>
        <w:rPr>
          <w:rFonts w:eastAsia="arial" w:cs="arial"/>
          <w:b w:val="false"/>
          <w:i w:val="false"/>
          <w:color w:val="000000"/>
          <w:sz w:val="20"/>
          <w:szCs w:val="20"/>
          <w:u w:val="none"/>
          <w:lang w:val="fr-FR"/>
        </w:rPr>
        <w:t xml:space="preserve"> </w:t>
      </w:r>
      <w:r>
        <w:rPr>
          <w:rStyle w:val="Policepardfaut"/>
          <w:rFonts w:eastAsia="arial" w:cs="arial"/>
          <w:b/>
          <w:i w:val="false"/>
          <w:color w:val="000000"/>
          <w:sz w:val="20"/>
          <w:szCs w:val="20"/>
          <w:u w:val="single"/>
          <w:lang w:val="fr-FR"/>
        </w:rPr>
        <w:t>Tranche Optionnelle  (TO) :</w:t>
      </w:r>
    </w:p>
    <w:p>
      <w:pPr>
        <w:pStyle w:val="Normal"/>
        <w:jc w:val="both"/>
        <w:rPr/>
      </w:pPr>
      <w:r>
        <w:rPr>
          <w:rStyle w:val="Policepardfaut"/>
          <w:rFonts w:eastAsia="arial" w:cs="arial"/>
          <w:b w:val="false"/>
          <w:bCs w:val="false"/>
          <w:i w:val="false"/>
          <w:color w:val="000000"/>
          <w:sz w:val="20"/>
          <w:szCs w:val="20"/>
          <w:u w:val="none"/>
          <w:lang w:val="fr-FR"/>
        </w:rPr>
        <w:t xml:space="preserve">La tranche optionnelle </w:t>
      </w:r>
      <w:r>
        <w:rPr>
          <w:rStyle w:val="Policepardfaut"/>
          <w:rFonts w:eastAsia="Arial" w:cs="Arial"/>
          <w:b w:val="false"/>
          <w:bCs w:val="false"/>
          <w:i w:val="false"/>
          <w:color w:val="000000"/>
          <w:sz w:val="20"/>
          <w:szCs w:val="20"/>
          <w:u w:val="none"/>
          <w:lang w:val="fr-FR"/>
        </w:rPr>
        <w:t>porte sur une étude de maîtrise d’œuvre relative à la mise au point et l’exécution des travaux de mise aux normes d’accessibilité PMR du théâtre des Bernardines.</w:t>
      </w:r>
      <w:r>
        <w:rPr>
          <w:rStyle w:val="Policepardfaut"/>
          <w:rFonts w:eastAsia="arial" w:cs="arial"/>
          <w:b w:val="false"/>
          <w:bCs w:val="false"/>
          <w:i w:val="false"/>
          <w:color w:val="000000"/>
          <w:sz w:val="20"/>
          <w:szCs w:val="20"/>
          <w:u w:val="none"/>
          <w:lang w:val="fr-FR"/>
        </w:rPr>
        <w:t xml:space="preserve"> La description détaillée des missions relatives à cette tranche est décrite à l’article 1.1 du Règlement de Consultation.</w:t>
      </w:r>
    </w:p>
    <w:p>
      <w:pPr>
        <w:pStyle w:val="Titre1"/>
        <w:numPr>
          <w:ilvl w:val="0"/>
          <w:numId w:val="2"/>
        </w:numPr>
        <w:rPr/>
      </w:pPr>
      <w:bookmarkStart w:id="10" w:name="_Toc4054"/>
      <w:bookmarkEnd w:id="10"/>
      <w:r>
        <w:rPr/>
        <w:t>MONTANT ET PRIX DU MARCHE</w:t>
      </w:r>
    </w:p>
    <w:p>
      <w:pPr>
        <w:pStyle w:val="Titre2"/>
        <w:numPr>
          <w:ilvl w:val="1"/>
          <w:numId w:val="2"/>
        </w:numPr>
        <w:rPr/>
      </w:pPr>
      <w:bookmarkStart w:id="11" w:name="_Toc4055"/>
      <w:bookmarkEnd w:id="11"/>
      <w:r>
        <w:rPr/>
        <w:t>Forme du prix</w:t>
      </w:r>
    </w:p>
    <w:p>
      <w:pPr>
        <w:pStyle w:val="Normal"/>
        <w:rPr/>
      </w:pPr>
      <w:r>
        <w:rPr>
          <w:rFonts w:eastAsia="arial" w:cs="arial" w:ascii="arial" w:hAnsi="arial"/>
          <w:b w:val="false"/>
          <w:i w:val="false"/>
          <w:color w:val="000000"/>
          <w:sz w:val="20"/>
          <w:u w:val="none"/>
        </w:rPr>
        <w:t>Le marché sera traité à prix forfaitaire, avec seuil de tolérance tel que défini au CCAP.</w:t>
      </w:r>
    </w:p>
    <w:p>
      <w:pPr>
        <w:pStyle w:val="Titre2"/>
        <w:numPr>
          <w:ilvl w:val="1"/>
          <w:numId w:val="2"/>
        </w:numPr>
        <w:rPr/>
      </w:pPr>
      <w:bookmarkStart w:id="12" w:name="_Toc4056"/>
      <w:bookmarkEnd w:id="12"/>
      <w:r>
        <w:rPr/>
        <w:t>Conditions générales de l'offre de prix</w:t>
      </w:r>
    </w:p>
    <w:p>
      <w:pPr>
        <w:pStyle w:val="Normal"/>
        <w:rPr/>
      </w:pPr>
      <w:r>
        <w:rPr>
          <w:rFonts w:eastAsia="arial" w:cs="arial" w:ascii="arial" w:hAnsi="arial"/>
          <w:b w:val="false"/>
          <w:i w:val="false"/>
          <w:color w:val="000000"/>
          <w:sz w:val="20"/>
          <w:u w:val="none"/>
        </w:rPr>
        <w:t>L'offre de prix </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A. Est réputée établie sur la base des conditions économiques en vigueur au mois M0 (mois de la date limite de remise des offres),  M0: .....................................</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B. Résulte de l'appréciation de la complexité de l'opération,</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C. Comprend les éléments de mission de maîtrise d'oeuvre définis au C.C.A.P.</w:t>
      </w:r>
    </w:p>
    <w:p>
      <w:pPr>
        <w:pStyle w:val="Titre2"/>
        <w:numPr>
          <w:ilvl w:val="1"/>
          <w:numId w:val="2"/>
        </w:numPr>
        <w:rPr/>
      </w:pPr>
      <w:bookmarkStart w:id="13" w:name="_Toc4057"/>
      <w:bookmarkEnd w:id="13"/>
      <w:r>
        <w:rPr/>
        <w:t>Montant - Calcul de la rémunération</w:t>
      </w:r>
    </w:p>
    <w:p>
      <w:pPr>
        <w:pStyle w:val="Normal"/>
        <w:rPr/>
      </w:pPr>
      <w:r>
        <w:rPr>
          <w:rFonts w:eastAsia="arial" w:cs="arial" w:ascii="arial" w:hAnsi="arial"/>
          <w:b w:val="false"/>
          <w:i w:val="false"/>
          <w:color w:val="000000"/>
          <w:sz w:val="20"/>
          <w:u w:val="none"/>
        </w:rPr>
        <w:t>Le montant provisoire de la rémunération est calculé sur la base suivante :</w:t>
      </w:r>
    </w:p>
    <w:p>
      <w:pPr>
        <w:pStyle w:val="Titre3"/>
        <w:numPr>
          <w:ilvl w:val="2"/>
          <w:numId w:val="2"/>
        </w:numPr>
        <w:rPr/>
      </w:pPr>
      <w:bookmarkStart w:id="14" w:name="_Toc4058"/>
      <w:bookmarkEnd w:id="14"/>
      <w:r>
        <w:rPr/>
        <w:t>Pour les éléments de missions de base décrits au CCAP</w:t>
      </w:r>
    </w:p>
    <w:p>
      <w:pPr>
        <w:pStyle w:val="Normal"/>
        <w:rPr/>
      </w:pPr>
      <w:r>
        <w:rPr/>
      </w:r>
    </w:p>
    <w:p>
      <w:pPr>
        <w:pStyle w:val="Normal"/>
        <w:rPr>
          <w:u w:val="single"/>
        </w:rPr>
      </w:pPr>
      <w:r>
        <w:rPr>
          <w:rFonts w:eastAsia="arial" w:cs="arial"/>
          <w:b/>
          <w:bCs/>
          <w:i w:val="false"/>
          <w:color w:val="00000A"/>
          <w:sz w:val="20"/>
          <w:szCs w:val="20"/>
          <w:u w:val="single"/>
        </w:rPr>
        <w:t>Tranche ferme (TF) - Mission d'études de diagnostic (TF)</w:t>
      </w:r>
    </w:p>
    <w:p>
      <w:pPr>
        <w:pStyle w:val="Normal"/>
        <w:rPr>
          <w:u w:val="single"/>
        </w:rPr>
      </w:pPr>
      <w:r>
        <w:rPr>
          <w:u w:val="single"/>
        </w:rPr>
      </w:r>
    </w:p>
    <w:p>
      <w:pPr>
        <w:pStyle w:val="LONormal"/>
        <w:rPr>
          <w:b w:val="false"/>
          <w:b w:val="false"/>
          <w:bCs w:val="false"/>
          <w:color w:val="auto"/>
        </w:rPr>
      </w:pPr>
      <w:r>
        <w:rPr>
          <w:rFonts w:eastAsia="arial" w:cs="arial"/>
          <w:b w:val="false"/>
          <w:bCs w:val="false"/>
          <w:i w:val="false"/>
          <w:color w:val="00000A"/>
          <w:sz w:val="20"/>
          <w:szCs w:val="20"/>
          <w:u w:val="none"/>
        </w:rPr>
        <w:t>Le montant forfaitaire de la mission d'études de diagnostic (tranche ferme) est porté en annexe 1 au présent acte d'engagement dans le tableau de répartition forfaitaire par co-traitants.</w:t>
      </w:r>
    </w:p>
    <w:p>
      <w:pPr>
        <w:pStyle w:val="Normal"/>
        <w:rPr>
          <w:rFonts w:ascii="arial" w:hAnsi="arial" w:eastAsia="arial" w:cs="arial"/>
          <w:b/>
          <w:b/>
          <w:bCs/>
          <w:i w:val="false"/>
          <w:i w:val="false"/>
          <w:color w:val="000000"/>
          <w:sz w:val="20"/>
          <w:u w:val="none"/>
        </w:rPr>
      </w:pPr>
      <w:r>
        <w:rPr>
          <w:rFonts w:eastAsia="arial" w:cs="arial" w:ascii="arial" w:hAnsi="arial"/>
          <w:b/>
          <w:bCs/>
          <w:i w:val="false"/>
          <w:color w:val="000000"/>
          <w:sz w:val="20"/>
          <w:u w:val="none"/>
        </w:rPr>
      </w:r>
    </w:p>
    <w:p>
      <w:pPr>
        <w:pStyle w:val="Normal"/>
        <w:rPr>
          <w:u w:val="single"/>
        </w:rPr>
      </w:pPr>
      <w:r>
        <w:rPr>
          <w:rFonts w:eastAsia="arial" w:cs="arial"/>
          <w:b/>
          <w:bCs/>
          <w:i w:val="false"/>
          <w:color w:val="00000A"/>
          <w:sz w:val="20"/>
          <w:szCs w:val="20"/>
          <w:u w:val="single"/>
        </w:rPr>
        <w:t>Tranche optionnelle (TO) - Mission de maîtrise d’œuvre décrite au CCAP</w:t>
      </w:r>
    </w:p>
    <w:p>
      <w:pPr>
        <w:pStyle w:val="Normal"/>
        <w:rPr>
          <w:b w:val="false"/>
          <w:b w:val="false"/>
          <w:bCs w:val="false"/>
          <w:u w:val="single"/>
        </w:rPr>
      </w:pPr>
      <w:r>
        <w:rPr>
          <w:rFonts w:eastAsia="arial" w:cs="arial" w:ascii="arial" w:hAnsi="arial"/>
          <w:b w:val="false"/>
          <w:bCs w:val="false"/>
          <w:i w:val="false"/>
          <w:color w:val="000000"/>
          <w:sz w:val="20"/>
          <w:u w:val="single"/>
        </w:rPr>
        <w:t>Pour rappel, l'enveloppe consacrée aux travaux :</w:t>
      </w:r>
    </w:p>
    <w:p>
      <w:pPr>
        <w:pStyle w:val="Normal"/>
        <w:rPr/>
      </w:pPr>
      <w:r>
        <w:rPr>
          <w:rFonts w:eastAsia="arial" w:cs="arial" w:ascii="arial" w:hAnsi="arial"/>
          <w:b w:val="false"/>
          <w:i w:val="false"/>
          <w:color w:val="000000"/>
          <w:sz w:val="20"/>
          <w:u w:val="none"/>
        </w:rPr>
        <w:t>Le montant prévisionnel des travaux de la tranche optionnelle sera connu à l'issue des études de diagnostic.</w:t>
      </w:r>
    </w:p>
    <w:p>
      <w:pPr>
        <w:pStyle w:val="Normal"/>
        <w:rPr/>
      </w:pPr>
      <w:r>
        <w:rPr>
          <w:rFonts w:eastAsia="arial" w:cs="arial" w:ascii="arial" w:hAnsi="arial"/>
          <w:b w:val="false"/>
          <w:i w:val="false"/>
          <w:color w:val="000000"/>
          <w:sz w:val="20"/>
          <w:u w:val="none"/>
        </w:rPr>
        <w:t>En fonction des conclusions de l'étude de faisabilité des travaux de mise aux normes d’accessibilité PMR du théâtre intégrée dans la tranche ferme,le maître d'ouvrage prendra la décision d'affermir ou non la tranche optionnelle (TO) de mission de maîtrise d'œuvre.</w:t>
      </w:r>
    </w:p>
    <w:p>
      <w:pPr>
        <w:pStyle w:val="Normal"/>
        <w:rPr/>
      </w:pPr>
      <w:r>
        <w:rPr>
          <w:rFonts w:eastAsia="arial" w:cs="arial" w:ascii="arial" w:hAnsi="arial"/>
          <w:b w:val="false"/>
          <w:i w:val="false"/>
          <w:color w:val="000000"/>
          <w:sz w:val="20"/>
          <w:u w:val="none"/>
        </w:rPr>
        <w:t>Le montant provisoire de la rémunération pour la mission de maîtrise d’œuvre  est porté en annexe 1 de l'acte d'engagement sur le tableau de proposition de rémunération par tranches de coûts prévisionnels de travaux avec les taux plafonds d'honoraires.</w:t>
      </w:r>
    </w:p>
    <w:p>
      <w:pPr>
        <w:pStyle w:val="Normal"/>
        <w:rPr>
          <w:color w:val="auto"/>
        </w:rPr>
      </w:pPr>
      <w:r>
        <w:rPr>
          <w:rFonts w:eastAsia="arial" w:cs="arial"/>
          <w:b w:val="false"/>
          <w:bCs w:val="false"/>
          <w:i w:val="false"/>
          <w:color w:val="000000"/>
          <w:sz w:val="20"/>
          <w:u w:val="none"/>
          <w:shd w:fill="auto" w:val="clear"/>
        </w:rPr>
        <w:t xml:space="preserve">La rémunération de la mission de MOE est plafonnée sur la base d'un taux maximum de rémunération par tranche de montant de travaux (en euros HT). </w:t>
      </w:r>
    </w:p>
    <w:p>
      <w:pPr>
        <w:pStyle w:val="LONormal3"/>
        <w:rPr>
          <w:color w:val="auto"/>
        </w:rPr>
      </w:pPr>
      <w:r>
        <w:rPr>
          <w:color w:val="auto"/>
        </w:rPr>
        <w:t>Le forfait de rémunération est rendu définitif selon les dispositions du CCAP.</w:t>
      </w:r>
    </w:p>
    <w:p>
      <w:pPr>
        <w:pStyle w:val="LONormal3"/>
        <w:rPr>
          <w:color w:val="auto"/>
        </w:rPr>
      </w:pPr>
      <w:r>
        <w:rPr>
          <w:color w:val="auto"/>
        </w:rPr>
      </w:r>
    </w:p>
    <w:p>
      <w:pPr>
        <w:pStyle w:val="Titre3"/>
        <w:numPr>
          <w:ilvl w:val="2"/>
          <w:numId w:val="2"/>
        </w:numPr>
        <w:rPr/>
      </w:pPr>
      <w:bookmarkStart w:id="15" w:name="_Toc4059"/>
      <w:bookmarkEnd w:id="15"/>
      <w:r>
        <w:rPr/>
        <w:t>Pour les éléments de missions complémentaires décrits au CCAP</w:t>
      </w:r>
    </w:p>
    <w:p>
      <w:pPr>
        <w:pStyle w:val="Normal"/>
        <w:numPr>
          <w:ilvl w:val="0"/>
          <w:numId w:val="0"/>
        </w:numPr>
        <w:ind w:left="0" w:hanging="0"/>
        <w:rPr>
          <w:color w:val="auto"/>
        </w:rPr>
      </w:pPr>
      <w:r>
        <w:rPr>
          <w:color w:val="auto"/>
        </w:rPr>
        <w:t>Le marché ne prévoit pas de missions complémentaires</w:t>
      </w:r>
    </w:p>
    <w:p>
      <w:pPr>
        <w:pStyle w:val="Normal"/>
        <w:rPr>
          <w:rFonts w:ascii="arial" w:hAnsi="arial" w:eastAsia="arial" w:cs="arial"/>
          <w:b/>
          <w:b/>
          <w:i w:val="false"/>
          <w:i w:val="false"/>
          <w:color w:val="000000"/>
          <w:sz w:val="20"/>
          <w:highlight w:val="green"/>
          <w:u w:val="single"/>
        </w:rPr>
      </w:pPr>
      <w:r>
        <w:rPr>
          <w:rFonts w:eastAsia="arial" w:cs="arial" w:ascii="arial" w:hAnsi="arial"/>
          <w:b/>
          <w:i w:val="false"/>
          <w:color w:val="000000"/>
          <w:sz w:val="20"/>
          <w:highlight w:val="green"/>
          <w:u w:val="single"/>
        </w:rPr>
      </w:r>
    </w:p>
    <w:p>
      <w:pPr>
        <w:pStyle w:val="Titre3"/>
        <w:numPr>
          <w:ilvl w:val="2"/>
          <w:numId w:val="2"/>
        </w:numPr>
        <w:rPr/>
      </w:pPr>
      <w:bookmarkStart w:id="16" w:name="_Toc4060"/>
      <w:bookmarkEnd w:id="16"/>
      <w:r>
        <w:rPr/>
        <w:t>Pour les éléments de missions complémentaires conditionnelles décrits au CCAP</w:t>
      </w:r>
    </w:p>
    <w:p>
      <w:pPr>
        <w:pStyle w:val="Normal"/>
        <w:rPr>
          <w:color w:val="auto"/>
        </w:rPr>
      </w:pPr>
      <w:r>
        <w:rPr>
          <w:color w:val="auto"/>
        </w:rPr>
        <w:t>Le marché ne prévoit pas de missions complémentaires conditionnelles.</w:t>
      </w:r>
    </w:p>
    <w:p>
      <w:pPr>
        <w:pStyle w:val="Normal"/>
        <w:rPr/>
      </w:pPr>
      <w:r>
        <w:rPr>
          <w:rFonts w:eastAsia="arial" w:cs="arial" w:ascii="arial" w:hAnsi="arial"/>
          <w:b w:val="false"/>
          <w:i w:val="false"/>
          <w:color w:val="000000"/>
          <w:sz w:val="20"/>
          <w:u w:val="none"/>
        </w:rPr>
        <w:t xml:space="preserve">Le marché pourra faire l'objet d'une cession ou d'un nantissement de créances, conformément aux articles R2191-45 à 63 du Code de la commande publique. </w:t>
      </w:r>
    </w:p>
    <w:p>
      <w:pPr>
        <w:pStyle w:val="Titre2"/>
        <w:numPr>
          <w:ilvl w:val="1"/>
          <w:numId w:val="2"/>
        </w:numPr>
        <w:rPr/>
      </w:pPr>
      <w:bookmarkStart w:id="17" w:name="_Toc4061"/>
      <w:bookmarkEnd w:id="17"/>
      <w:r>
        <w:rPr/>
        <w:t>Sous traitance</w:t>
      </w:r>
    </w:p>
    <w:p>
      <w:pPr>
        <w:pStyle w:val="Normal"/>
        <w:rPr/>
      </w:pPr>
      <w:r>
        <w:rPr>
          <w:rFonts w:eastAsia="arial" w:cs="arial" w:ascii="arial" w:hAnsi="arial"/>
          <w:b w:val="false"/>
          <w:i w:val="false"/>
          <w:color w:val="000000"/>
          <w:sz w:val="20"/>
          <w:u w:val="none"/>
        </w:rPr>
        <w:t>(Dans le cas où l'entreprise ne présenterait pas de sous-traitant, maintenir le présent paragraphe sans le compléter et en le barrant.)</w:t>
      </w:r>
    </w:p>
    <w:p>
      <w:pPr>
        <w:pStyle w:val="Normal"/>
        <w:spacing w:before="120" w:after="0"/>
        <w:rPr/>
      </w:pPr>
      <w:r>
        <w:rPr>
          <w:rFonts w:eastAsia="arial" w:cs="arial" w:ascii="arial" w:hAnsi="arial"/>
          <w:b w:val="false"/>
          <w:i w:val="false"/>
          <w:color w:val="000000"/>
          <w:sz w:val="20"/>
          <w:u w:val="none"/>
        </w:rPr>
        <w:t xml:space="preserve">Les déclarations de sous traitance (imprimé DC4 disponible à l'adresse suivante : </w:t>
      </w:r>
    </w:p>
    <w:p>
      <w:pPr>
        <w:pStyle w:val="Normal"/>
        <w:spacing w:before="120" w:after="0"/>
        <w:rPr/>
      </w:pPr>
      <w:r>
        <w:rPr>
          <w:rFonts w:eastAsia="arial" w:cs="arial" w:ascii="arial" w:hAnsi="arial"/>
          <w:b w:val="false"/>
          <w:i w:val="false"/>
          <w:color w:val="000000"/>
          <w:sz w:val="20"/>
          <w:u w:val="none"/>
        </w:rPr>
        <w:t xml:space="preserve">http://www.economie.gouv.fr/daj/formulaires ) </w:t>
      </w:r>
    </w:p>
    <w:p>
      <w:pPr>
        <w:pStyle w:val="Normal"/>
        <w:spacing w:before="120" w:after="0"/>
        <w:rPr/>
      </w:pPr>
      <w:r>
        <w:rPr>
          <w:rFonts w:eastAsia="arial" w:cs="arial" w:ascii="arial" w:hAnsi="arial"/>
          <w:b w:val="false"/>
          <w:i w:val="false"/>
          <w:color w:val="000000"/>
          <w:sz w:val="20"/>
          <w:u w:val="none"/>
        </w:rPr>
        <w:t>que j'annexe au présent document indique(nt) la nature et le montant des prestations que j'envisage de faire exécuter par des sous-traitants payés directement, le nom de ces sous-traitants et les conditions de paiement des contrats de sous-traitance ; le montant des prestations sous-traitées indiqué dans chaque annexe constitue le montant maximal de la créance que le sous-traitant concerné pourra présenter en nantissement.</w:t>
      </w:r>
    </w:p>
    <w:p>
      <w:pPr>
        <w:pStyle w:val="Normal"/>
        <w:spacing w:before="120" w:after="0"/>
        <w:rPr/>
      </w:pPr>
      <w:r>
        <w:rPr>
          <w:rFonts w:eastAsia="arial" w:cs="arial" w:ascii="arial" w:hAnsi="arial"/>
          <w:b w:val="false"/>
          <w:i w:val="false"/>
          <w:color w:val="000000"/>
          <w:sz w:val="20"/>
          <w:u w:val="none"/>
        </w:rPr>
        <w:t xml:space="preserve">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 </w:t>
      </w:r>
    </w:p>
    <w:p>
      <w:pPr>
        <w:pStyle w:val="Normal"/>
        <w:spacing w:before="120" w:after="0"/>
        <w:rPr/>
      </w:pPr>
      <w:r>
        <w:rPr>
          <w:rFonts w:eastAsia="arial" w:cs="arial" w:ascii="arial" w:hAnsi="arial"/>
          <w:b w:val="false"/>
          <w:i w:val="false"/>
          <w:color w:val="000000"/>
          <w:sz w:val="20"/>
          <w:u w:val="none"/>
        </w:rPr>
        <w:t xml:space="preserve">Le relevé bancaire (BIC ou IBAN) du sous-traitant est joint.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montant total des prestations que j'envisage de sous-traiter conformément à cette(ces) annexe(s) est de :</w:t>
      </w:r>
    </w:p>
    <w:p>
      <w:pPr>
        <w:pStyle w:val="Normal"/>
        <w:spacing w:before="120" w:after="0"/>
        <w:rPr/>
      </w:pPr>
      <w:r>
        <w:rPr>
          <w:rFonts w:eastAsia="arial" w:cs="arial" w:ascii="arial" w:hAnsi="arial"/>
          <w:b w:val="false"/>
          <w:i w:val="false"/>
          <w:color w:val="000000"/>
          <w:sz w:val="20"/>
          <w:u w:val="none"/>
        </w:rPr>
        <w:t>En chiffres : .........................................................€ HT</w:t>
      </w:r>
    </w:p>
    <w:p>
      <w:pPr>
        <w:pStyle w:val="Normal"/>
        <w:spacing w:before="120" w:after="0"/>
        <w:rPr/>
      </w:pPr>
      <w:r>
        <w:rPr>
          <w:rFonts w:eastAsia="arial" w:cs="arial" w:ascii="arial" w:hAnsi="arial"/>
          <w:b w:val="false"/>
          <w:i w:val="false"/>
          <w:color w:val="000000"/>
          <w:sz w:val="20"/>
          <w:u w:val="none"/>
        </w:rPr>
        <w:t>En chiffres : ........................................................€ TTC</w:t>
      </w:r>
    </w:p>
    <w:p>
      <w:pPr>
        <w:pStyle w:val="Normal"/>
        <w:spacing w:before="120" w:after="0"/>
        <w:rPr/>
      </w:pPr>
      <w:r>
        <w:rPr>
          <w:rFonts w:eastAsia="arial" w:cs="arial" w:ascii="arial" w:hAnsi="arial"/>
          <w:b w:val="false"/>
          <w:i w:val="false"/>
          <w:color w:val="000000"/>
          <w:sz w:val="20"/>
          <w:u w:val="none"/>
        </w:rPr>
        <w:t>En lettres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Déduction faite de l'ensemble des prestations sous-traitées, le montant maximal de la créance que je pourrai présenter en nantissement en tant qu'entrepreneur titulaire du marché est ainsi ramené à :</w:t>
      </w:r>
    </w:p>
    <w:p>
      <w:pPr>
        <w:pStyle w:val="Normal"/>
        <w:spacing w:before="120" w:after="0"/>
        <w:rPr/>
      </w:pPr>
      <w:r>
        <w:rPr>
          <w:rFonts w:eastAsia="arial" w:cs="arial" w:ascii="arial" w:hAnsi="arial"/>
          <w:b w:val="false"/>
          <w:i w:val="false"/>
          <w:color w:val="000000"/>
          <w:sz w:val="20"/>
          <w:u w:val="none"/>
        </w:rPr>
        <w:t>Montant total du marché € HT : ............................................................</w:t>
      </w:r>
    </w:p>
    <w:p>
      <w:pPr>
        <w:pStyle w:val="Normal"/>
        <w:spacing w:before="120" w:after="0"/>
        <w:rPr/>
      </w:pPr>
      <w:r>
        <w:rPr>
          <w:rFonts w:eastAsia="arial" w:cs="arial" w:ascii="arial" w:hAnsi="arial"/>
          <w:b w:val="false"/>
          <w:i w:val="false"/>
          <w:color w:val="000000"/>
          <w:sz w:val="20"/>
          <w:u w:val="none"/>
        </w:rPr>
        <w:t>Montant total du marché € TTC : ............................................................</w:t>
      </w:r>
    </w:p>
    <w:p>
      <w:pPr>
        <w:pStyle w:val="Normal"/>
        <w:spacing w:before="120" w:after="0"/>
        <w:rPr/>
      </w:pPr>
      <w:r>
        <w:rPr>
          <w:rFonts w:eastAsia="arial" w:cs="arial" w:ascii="arial" w:hAnsi="arial"/>
          <w:b w:val="false"/>
          <w:i w:val="false"/>
          <w:color w:val="000000"/>
          <w:sz w:val="20"/>
          <w:u w:val="none"/>
        </w:rPr>
        <w:t>Montant acte(s) de sous-traitance € HT :  ...........</w:t>
      </w:r>
    </w:p>
    <w:p>
      <w:pPr>
        <w:pStyle w:val="Normal"/>
        <w:spacing w:before="120" w:after="0"/>
        <w:rPr/>
      </w:pPr>
      <w:r>
        <w:rPr>
          <w:rFonts w:eastAsia="arial" w:cs="arial" w:ascii="arial" w:hAnsi="arial"/>
          <w:b w:val="false"/>
          <w:i w:val="false"/>
          <w:color w:val="000000"/>
          <w:sz w:val="20"/>
          <w:u w:val="none"/>
        </w:rPr>
        <w:t>Montant acte(s) de sous-traitance € TTC : ..........</w:t>
      </w:r>
    </w:p>
    <w:p>
      <w:pPr>
        <w:pStyle w:val="Normal"/>
        <w:spacing w:before="120" w:after="0"/>
        <w:rPr/>
      </w:pPr>
      <w:r>
        <w:rPr>
          <w:rFonts w:eastAsia="arial" w:cs="arial" w:ascii="arial" w:hAnsi="arial"/>
          <w:b w:val="false"/>
          <w:i w:val="false"/>
          <w:color w:val="000000"/>
          <w:sz w:val="20"/>
          <w:u w:val="none"/>
        </w:rPr>
        <w:t xml:space="preserve">Montant maximal de la créance pouvant être présentée en nantissement € HT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 xml:space="preserve">Montant maximal de la créance pouvant être présentée en nantissement € TTC : </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Les déclarations à remplir par le(les) sous-traitant(s) énumérées ci-dessus sont annexées au présent acte d'engagement.</w:t>
      </w:r>
    </w:p>
    <w:p>
      <w:pPr>
        <w:pStyle w:val="Titre1"/>
        <w:numPr>
          <w:ilvl w:val="0"/>
          <w:numId w:val="2"/>
        </w:numPr>
        <w:rPr/>
      </w:pPr>
      <w:bookmarkStart w:id="18" w:name="_Toc4062"/>
      <w:bookmarkEnd w:id="18"/>
      <w:r>
        <w:rPr/>
        <w:t>AVANCE</w:t>
      </w:r>
    </w:p>
    <w:p>
      <w:pPr>
        <w:pStyle w:val="Normal"/>
        <w:rPr/>
      </w:pPr>
      <w:r>
        <w:rPr>
          <w:rFonts w:eastAsia="arial" w:cs="arial" w:ascii="arial" w:hAnsi="arial"/>
          <w:b w:val="false"/>
          <w:i w:val="false"/>
          <w:color w:val="000000"/>
          <w:sz w:val="20"/>
          <w:u w:val="none"/>
          <w:shd w:fill="auto" w:val="clear"/>
        </w:rPr>
        <w:t xml:space="preserve">Une avance est accordée au titulaire du présent marché, conformément aux articles R.2191-2 à 12 du CCP. </w:t>
      </w:r>
    </w:p>
    <w:p>
      <w:pPr>
        <w:pStyle w:val="Normal"/>
        <w:spacing w:before="120" w:after="0"/>
        <w:rPr/>
      </w:pPr>
      <w:r>
        <w:rPr>
          <w:rFonts w:eastAsia="arial" w:cs="arial" w:ascii="arial" w:hAnsi="arial"/>
          <w:b w:val="false"/>
          <w:i w:val="false"/>
          <w:color w:val="000000"/>
          <w:sz w:val="20"/>
          <w:u w:val="none"/>
          <w:shd w:fill="auto" w:val="clear"/>
        </w:rPr>
        <w:t>L'option retenue concernant les avances est l'option B telle que définie au CCAG applicable.</w:t>
      </w:r>
    </w:p>
    <w:p>
      <w:pPr>
        <w:pStyle w:val="Normal"/>
        <w:spacing w:before="120" w:after="0"/>
        <w:rPr/>
      </w:pPr>
      <w:r>
        <w:rPr>
          <w:rFonts w:eastAsia="arial" w:cs="arial" w:ascii="arial" w:hAnsi="arial"/>
          <w:b w:val="false"/>
          <w:i w:val="false"/>
          <w:color w:val="000000"/>
          <w:sz w:val="20"/>
          <w:u w:val="none"/>
          <w:shd w:fill="auto" w:val="clear"/>
        </w:rPr>
        <w:t>Pour les micro, petites et moyennes entreprises (PME), le taux de l'avance est de 10 %. Pour les autres entreprises, le taux de l'avance est de 5 %.</w:t>
      </w:r>
    </w:p>
    <w:p>
      <w:pPr>
        <w:pStyle w:val="Normal"/>
        <w:spacing w:before="120" w:after="0"/>
        <w:rPr/>
      </w:pPr>
      <w:r>
        <w:rPr/>
      </w:r>
    </w:p>
    <w:p>
      <w:pPr>
        <w:pStyle w:val="Normal"/>
        <w:spacing w:before="120" w:after="0"/>
        <w:rPr/>
      </w:pPr>
      <w:r>
        <w:rPr>
          <w:rFonts w:eastAsia="arial" w:cs="arial" w:ascii="arial" w:hAnsi="arial"/>
          <w:b/>
          <w:i w:val="false"/>
          <w:color w:val="000000"/>
          <w:sz w:val="20"/>
          <w:u w:val="none"/>
          <w:shd w:fill="auto" w:val="clear"/>
        </w:rPr>
        <w:t>Le candidat est une PME* : oui/non</w:t>
      </w:r>
    </w:p>
    <w:p>
      <w:pPr>
        <w:pStyle w:val="Normal"/>
        <w:spacing w:before="120" w:after="0"/>
        <w:rPr/>
      </w:pPr>
      <w:r>
        <w:rPr>
          <w:rFonts w:eastAsia="arial" w:cs="arial" w:ascii="arial" w:hAnsi="arial"/>
          <w:b/>
          <w:i w:val="false"/>
          <w:color w:val="000000"/>
          <w:sz w:val="20"/>
          <w:u w:val="none"/>
          <w:shd w:fill="auto" w:val="clear"/>
        </w:rPr>
        <w:t>Je renonce au bénéfice de l'avance* : oui/non</w:t>
      </w:r>
    </w:p>
    <w:p>
      <w:pPr>
        <w:pStyle w:val="Normal"/>
        <w:spacing w:before="120" w:after="0"/>
        <w:rPr/>
      </w:pPr>
      <w:r>
        <w:rPr>
          <w:rFonts w:eastAsia="arial" w:cs="arial" w:ascii="arial" w:hAnsi="arial"/>
          <w:b w:val="false"/>
          <w:i w:val="false"/>
          <w:color w:val="000000"/>
          <w:sz w:val="20"/>
          <w:u w:val="none"/>
          <w:shd w:fill="auto" w:val="clear"/>
        </w:rPr>
        <w:t>*(Rayez la mention inutile)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*La catégorie des micro, petites et moyennes entreprises (PME) est constituée des entreprises qui occupent moins de 250 personnes et dont le chiffre d'affaires annuel n'excède pas 50 millions d'euros ou dont le total du bilan annuel n'excède pas 43 millions d'euros.</w:t>
      </w:r>
    </w:p>
    <w:p>
      <w:pPr>
        <w:pStyle w:val="Titre1"/>
        <w:numPr>
          <w:ilvl w:val="0"/>
          <w:numId w:val="2"/>
        </w:numPr>
        <w:rPr/>
      </w:pPr>
      <w:bookmarkStart w:id="19" w:name="_Toc4063"/>
      <w:bookmarkEnd w:id="19"/>
      <w:r>
        <w:rPr/>
        <w:t>DUREE ET DELAIS D'EXECUTION</w:t>
      </w:r>
    </w:p>
    <w:p>
      <w:pPr>
        <w:pStyle w:val="Normal"/>
        <w:rPr/>
      </w:pPr>
      <w:r>
        <w:rPr>
          <w:rFonts w:eastAsia="arial" w:cs="arial" w:ascii="arial" w:hAnsi="arial"/>
          <w:b w:val="false"/>
          <w:i w:val="false"/>
          <w:color w:val="000000"/>
          <w:sz w:val="20"/>
          <w:u w:val="none"/>
        </w:rPr>
        <w:t>La durée du marché se définit comme suit :</w:t>
      </w:r>
    </w:p>
    <w:p>
      <w:pPr>
        <w:pStyle w:val="Normal"/>
        <w:rPr/>
      </w:pPr>
      <w:r>
        <w:rPr>
          <w:rFonts w:eastAsia="arial" w:cs="arial" w:ascii="arial" w:hAnsi="arial"/>
          <w:b w:val="false"/>
          <w:i w:val="false"/>
          <w:color w:val="000000"/>
          <w:sz w:val="20"/>
          <w:u w:val="none"/>
        </w:rPr>
        <w:t>- la période de validité du marché démarre à compter de sa notification et court jusqu'à la fin de la garantie de parfait achèvement (GPA prévue à l'article 44.1 alinéa du CCAG applicable aux marchés de travaux ) des travaux concernés par cette maîtrise d’œuvre, ou jusqu'à la fin de sa prolongation le cas échéant  si les réserves signalées lors de la réception ne sont pas toutes levées à la fin de cette période ou jusqu'à la délivrance de l'attestation d'accessibilité délivré par un organisme certifié si cette dernière est délivrée après la prolongation de la GPA.</w:t>
      </w:r>
    </w:p>
    <w:p>
      <w:pPr>
        <w:pStyle w:val="Normal"/>
        <w:rPr/>
      </w:pPr>
      <w:r>
        <w:rPr>
          <w:rFonts w:eastAsia="arial" w:cs="arial" w:ascii="arial" w:hAnsi="arial"/>
          <w:b w:val="false"/>
          <w:i w:val="false"/>
          <w:color w:val="000000"/>
          <w:sz w:val="20"/>
          <w:u w:val="none"/>
        </w:rPr>
        <w:t>Dans tous les cas la mission de maîtrise d’œuvre ne sera considérée comme achevée qu'après délivrance de l'attestation d'accessibilité, avant ou après la levée des réserves selon le cas.</w:t>
      </w:r>
    </w:p>
    <w:p>
      <w:pPr>
        <w:pStyle w:val="Normal"/>
        <w:spacing w:before="120" w:after="0"/>
        <w:rPr/>
      </w:pPr>
      <w:r>
        <w:rPr>
          <w:rFonts w:eastAsia="arial" w:cs="arial" w:ascii="arial" w:hAnsi="arial"/>
          <w:b w:val="false"/>
          <w:i w:val="false"/>
          <w:color w:val="000000"/>
          <w:sz w:val="20"/>
          <w:u w:val="none"/>
        </w:rPr>
        <w:t>L'achèvement de la mission fera l'objet d'une décision d'admission établie sur la demande du maître d’œuvre, par le maître de l'ouvrage, dans les conditions de l'article 21 du CCAG-MOE et constatant que le titulaire a rempli toutes ses obligations.</w:t>
      </w:r>
    </w:p>
    <w:p>
      <w:pPr>
        <w:pStyle w:val="Normal"/>
        <w:rPr>
          <w:b w:val="false"/>
          <w:b w:val="false"/>
          <w:bCs w:val="false"/>
          <w:color w:val="auto"/>
        </w:rPr>
      </w:pPr>
      <w:r>
        <w:rPr>
          <w:b w:val="false"/>
          <w:bCs w:val="false"/>
          <w:color w:val="auto"/>
        </w:rPr>
        <w:t>Le point de départ de ces délais, les délais d'exécution, les conditions d'achèvement de la mission sont fixés au CCAP, et rappelés ci-après pour les éléments suivants :</w:t>
      </w:r>
    </w:p>
    <w:p>
      <w:pPr>
        <w:pStyle w:val="Normal"/>
        <w:rPr>
          <w:b w:val="false"/>
          <w:b w:val="false"/>
          <w:bCs w:val="false"/>
        </w:rPr>
      </w:pPr>
      <w:r>
        <w:rPr>
          <w:b w:val="false"/>
          <w:bCs w:val="false"/>
        </w:rPr>
      </w:r>
    </w:p>
    <w:p>
      <w:pPr>
        <w:pStyle w:val="Normal"/>
        <w:keepNext w:val="false"/>
        <w:keepLines w:val="false"/>
        <w:bidi w:val="0"/>
        <w:spacing w:before="0" w:after="0"/>
        <w:ind w:left="0" w:right="0" w:hanging="0"/>
        <w:jc w:val="both"/>
        <w:textAlignment w:val="center"/>
        <w:rPr>
          <w:rFonts w:ascii="Arial" w:hAnsi="Arial" w:eastAsia="Times New Roman" w:cs="Arial"/>
          <w:b/>
          <w:b/>
          <w:bCs/>
          <w:i w:val="false"/>
          <w:i w:val="false"/>
          <w:color w:val="auto"/>
          <w:sz w:val="21"/>
          <w:szCs w:val="21"/>
          <w:u w:val="none"/>
          <w:lang w:val="zxx" w:eastAsia="zxx" w:bidi="zxx"/>
        </w:rPr>
      </w:pPr>
      <w:r>
        <w:rPr>
          <w:rFonts w:eastAsia="Times New Roman" w:cs="Arial"/>
          <w:b/>
          <w:bCs/>
          <w:i w:val="false"/>
          <w:color w:val="auto"/>
          <w:sz w:val="21"/>
          <w:szCs w:val="21"/>
          <w:u w:val="none"/>
          <w:lang w:val="zxx" w:eastAsia="zxx" w:bidi="zxx"/>
        </w:rPr>
        <w:t>1- MISSION ETUDES DE DIAGNOSTIC</w:t>
      </w:r>
    </w:p>
    <w:p>
      <w:pPr>
        <w:pStyle w:val="Normal"/>
        <w:rPr>
          <w:i w:val="false"/>
          <w:i w:val="false"/>
          <w:color w:val="auto"/>
          <w:u w:val="none"/>
        </w:rPr>
      </w:pPr>
      <w:r>
        <w:rPr>
          <w:b w:val="false"/>
          <w:i w:val="false"/>
          <w:color w:val="auto"/>
          <w:u w:val="none"/>
        </w:rPr>
        <w:t>Point de départ : Date de la notification de l'OS de démarrage de la mission DIAG au titulaire</w:t>
      </w:r>
    </w:p>
    <w:p>
      <w:pPr>
        <w:pStyle w:val="Normal"/>
        <w:rPr>
          <w:b w:val="false"/>
          <w:b w:val="false"/>
          <w:i w:val="false"/>
          <w:i w:val="false"/>
          <w:color w:val="auto"/>
          <w:u w:val="none"/>
        </w:rPr>
      </w:pPr>
      <w:r>
        <w:rPr>
          <w:b w:val="false"/>
          <w:i w:val="false"/>
          <w:color w:val="auto"/>
          <w:u w:val="none"/>
        </w:rPr>
        <w:t xml:space="preserve">Délai de remise de l'élément (hors validation maîtrise d'ouvrage) : </w:t>
      </w:r>
      <w:r>
        <w:rPr>
          <w:b/>
          <w:bCs/>
          <w:i w:val="false"/>
          <w:color w:val="auto"/>
          <w:u w:val="none"/>
        </w:rPr>
        <w:t>4 mois</w:t>
      </w:r>
    </w:p>
    <w:p>
      <w:pPr>
        <w:pStyle w:val="Normal"/>
        <w:rPr>
          <w:b w:val="false"/>
          <w:b w:val="false"/>
          <w:i w:val="false"/>
          <w:i w:val="false"/>
          <w:color w:val="auto"/>
          <w:u w:val="none"/>
        </w:rPr>
      </w:pPr>
      <w:r>
        <w:rPr>
          <w:b w:val="false"/>
          <w:i w:val="false"/>
          <w:color w:val="auto"/>
          <w:u w:val="none"/>
        </w:rPr>
      </w:r>
    </w:p>
    <w:p>
      <w:pPr>
        <w:pStyle w:val="Normal"/>
        <w:rPr>
          <w:b/>
          <w:b/>
          <w:bCs/>
          <w:color w:val="auto"/>
        </w:rPr>
      </w:pPr>
      <w:r>
        <w:rPr>
          <w:b/>
          <w:bCs/>
          <w:color w:val="auto"/>
        </w:rPr>
        <w:t xml:space="preserve">2- MISSION DE MAÎTRISE D’ŒUVRE :  </w:t>
      </w:r>
    </w:p>
    <w:p>
      <w:pPr>
        <w:pStyle w:val="LONormal1"/>
        <w:rPr/>
      </w:pPr>
      <w:r>
        <w:rPr>
          <w:b w:val="false"/>
          <w:bCs w:val="false"/>
        </w:rPr>
        <w:t xml:space="preserve">- </w:t>
      </w:r>
      <w:r>
        <w:rPr>
          <w:b/>
          <w:bCs/>
        </w:rPr>
        <w:t>AVP</w:t>
      </w:r>
      <w:r>
        <w:rPr>
          <w:b w:val="false"/>
          <w:bCs w:val="false"/>
        </w:rPr>
        <w:t xml:space="preserve"> : Point de départ : Date de la notification de l'OS de démarrage de la mission  AVP  au titulaire</w:t>
      </w:r>
    </w:p>
    <w:p>
      <w:pPr>
        <w:pStyle w:val="LONormal1"/>
        <w:rPr>
          <w:b w:val="false"/>
          <w:b w:val="false"/>
          <w:bCs w:val="false"/>
          <w:color w:val="auto"/>
        </w:rPr>
      </w:pPr>
      <w:r>
        <w:rPr>
          <w:rFonts w:eastAsia="Times New Roman" w:cs="Arial" w:ascii="arial" w:hAnsi="arial"/>
          <w:b w:val="false"/>
          <w:bCs w:val="false"/>
          <w:i w:val="false"/>
          <w:iCs w:val="false"/>
          <w:strike w:val="false"/>
          <w:dstrike w:val="false"/>
          <w:color w:val="00000A"/>
          <w:sz w:val="20"/>
          <w:szCs w:val="20"/>
          <w:u w:val="none"/>
          <w:lang w:val="zxx" w:eastAsia="zxx" w:bidi="zxx"/>
        </w:rPr>
        <w:t xml:space="preserve">Délai de remise de l'élément AVP (hors validation maîtrise d'ouvrage) : </w:t>
      </w:r>
      <w:r>
        <w:rPr>
          <w:rFonts w:eastAsia="Times New Roman" w:cs="Arial" w:ascii="arial" w:hAnsi="arial"/>
          <w:b/>
          <w:bCs/>
          <w:i w:val="false"/>
          <w:iCs w:val="false"/>
          <w:strike w:val="false"/>
          <w:dstrike w:val="false"/>
          <w:color w:val="00000A"/>
          <w:sz w:val="20"/>
          <w:szCs w:val="20"/>
          <w:u w:val="none"/>
          <w:lang w:val="zxx" w:eastAsia="zxx" w:bidi="zxx"/>
        </w:rPr>
        <w:t>2 mois</w:t>
      </w:r>
    </w:p>
    <w:p>
      <w:pPr>
        <w:pStyle w:val="LONormal1"/>
        <w:rPr/>
      </w:pPr>
      <w:r>
        <w:rPr>
          <w:b w:val="false"/>
          <w:bCs w:val="false"/>
        </w:rPr>
        <w:t xml:space="preserve">- </w:t>
      </w:r>
      <w:r>
        <w:rPr>
          <w:b/>
          <w:bCs/>
        </w:rPr>
        <w:t>PRO</w:t>
      </w:r>
      <w:r>
        <w:rPr>
          <w:b w:val="false"/>
          <w:bCs w:val="false"/>
        </w:rPr>
        <w:t xml:space="preserve"> : Point de départ : Date de la notification de l'OS de démarrage de la mission  PRO  au titulaire</w:t>
      </w:r>
    </w:p>
    <w:p>
      <w:pPr>
        <w:pStyle w:val="LONormal1"/>
        <w:rPr/>
      </w:pPr>
      <w:r>
        <w:rPr>
          <w:b w:val="false"/>
          <w:bCs w:val="false"/>
        </w:rPr>
        <w:t xml:space="preserve">Délai de remise de l'élément PRO (hors validation maîtrise d'ouvrage) : </w:t>
      </w:r>
      <w:r>
        <w:rPr>
          <w:b/>
          <w:bCs/>
        </w:rPr>
        <w:t xml:space="preserve">1 mois </w:t>
      </w:r>
    </w:p>
    <w:p>
      <w:pPr>
        <w:pStyle w:val="LONormal1"/>
        <w:rPr/>
      </w:pPr>
      <w:r>
        <w:rPr>
          <w:color w:val="00000A"/>
        </w:rPr>
        <w:t xml:space="preserve">- </w:t>
      </w:r>
      <w:r>
        <w:rPr>
          <w:b/>
          <w:bCs/>
          <w:color w:val="00000A"/>
        </w:rPr>
        <w:t xml:space="preserve">AMT </w:t>
      </w:r>
      <w:r>
        <w:rPr>
          <w:color w:val="00000A"/>
        </w:rPr>
        <w:t xml:space="preserve">: Point de départ : Date </w:t>
      </w:r>
      <w:r>
        <w:rPr>
          <w:bCs w:val="false"/>
          <w:strike w:val="false"/>
          <w:dstrike w:val="false"/>
          <w:color w:val="00000A"/>
          <w:sz w:val="21"/>
          <w:lang w:val="zxx" w:eastAsia="zxx" w:bidi="zxx"/>
        </w:rPr>
        <w:t>de remise des offres ou des bordereaux de prix des marchés à bons de commande par le maître d'ouvrage au titulaire</w:t>
      </w:r>
    </w:p>
    <w:p>
      <w:pPr>
        <w:pStyle w:val="LONormal1"/>
        <w:rPr/>
      </w:pPr>
      <w:r>
        <w:rPr>
          <w:rFonts w:eastAsia="arial" w:cs="arial" w:ascii="arial" w:hAnsi="arial"/>
          <w:b w:val="false"/>
          <w:i w:val="false"/>
          <w:color w:val="000000"/>
          <w:sz w:val="20"/>
          <w:u w:val="none"/>
        </w:rPr>
        <w:t>Délai de remise de l'élément (hors validation maîtrise d'ouvrage) :</w:t>
      </w:r>
      <w:r>
        <w:rPr>
          <w:rFonts w:eastAsia="arial" w:cs="arial" w:ascii="arial" w:hAnsi="arial"/>
          <w:b w:val="false"/>
          <w:i w:val="false"/>
          <w:strike w:val="false"/>
          <w:dstrike w:val="false"/>
          <w:color w:val="000000"/>
          <w:sz w:val="20"/>
          <w:u w:val="none"/>
        </w:rPr>
        <w:t xml:space="preserve"> </w:t>
      </w:r>
      <w:r>
        <w:rPr>
          <w:rFonts w:eastAsia="arial" w:cs="arial" w:ascii="arial" w:hAnsi="arial"/>
          <w:b/>
          <w:bCs/>
          <w:i w:val="false"/>
          <w:strike w:val="false"/>
          <w:dstrike w:val="false"/>
          <w:color w:val="000000"/>
          <w:sz w:val="20"/>
          <w:u w:val="none"/>
        </w:rPr>
        <w:t>2 semaines</w:t>
      </w:r>
    </w:p>
    <w:p>
      <w:pPr>
        <w:pStyle w:val="LONormal1"/>
        <w:rPr/>
      </w:pPr>
      <w:r>
        <w:rPr>
          <w:color w:val="00000A"/>
        </w:rPr>
        <w:t xml:space="preserve">- </w:t>
      </w:r>
      <w:r>
        <w:rPr>
          <w:b/>
          <w:bCs/>
          <w:color w:val="00000A"/>
        </w:rPr>
        <w:t xml:space="preserve">AOR </w:t>
      </w:r>
      <w:r>
        <w:rPr>
          <w:color w:val="00000A"/>
        </w:rPr>
        <w:t>:</w:t>
      </w:r>
      <w:r>
        <w:rPr>
          <w:color w:val="00000A"/>
          <w:sz w:val="20"/>
          <w:szCs w:val="20"/>
        </w:rPr>
        <w:t xml:space="preserve"> </w:t>
      </w:r>
      <w:r>
        <w:rPr>
          <w:bCs w:val="false"/>
          <w:strike w:val="false"/>
          <w:dstrike w:val="false"/>
          <w:color w:val="00000A"/>
          <w:sz w:val="20"/>
          <w:szCs w:val="20"/>
          <w:lang w:val="zxx" w:eastAsia="zxx" w:bidi="zxx"/>
        </w:rPr>
        <w:t>Point de départ : Notification de la décision de réception des marchés de travaux par le Maître d'ouvrage</w:t>
      </w:r>
    </w:p>
    <w:p>
      <w:pPr>
        <w:pStyle w:val="LONormal1"/>
        <w:rPr/>
      </w:pPr>
      <w:r>
        <w:rPr>
          <w:bCs w:val="false"/>
          <w:strike w:val="false"/>
          <w:dstrike w:val="false"/>
          <w:color w:val="00000A"/>
          <w:sz w:val="20"/>
          <w:szCs w:val="20"/>
          <w:lang w:val="zxx" w:eastAsia="zxx" w:bidi="zxx"/>
        </w:rPr>
        <w:t>Achèvement : Remise de l'ensemble des DOE et DGD vérifiés</w:t>
      </w:r>
    </w:p>
    <w:p>
      <w:pPr>
        <w:pStyle w:val="LONormal1"/>
        <w:spacing w:before="120" w:after="0"/>
        <w:rPr/>
      </w:pPr>
      <w:r>
        <w:rPr>
          <w:rFonts w:eastAsia="arial" w:cs="arial"/>
          <w:b w:val="false"/>
          <w:bCs/>
          <w:i w:val="false"/>
          <w:strike w:val="false"/>
          <w:dstrike w:val="false"/>
          <w:color w:val="000000"/>
          <w:sz w:val="20"/>
          <w:szCs w:val="20"/>
          <w:u w:val="none"/>
        </w:rPr>
        <w:t xml:space="preserve">Délai de remise de l'élément (hors validation maîtrise d'ouvrage) : </w:t>
      </w:r>
      <w:r>
        <w:rPr>
          <w:rFonts w:eastAsia="arial" w:cs="arial"/>
          <w:b/>
          <w:bCs/>
          <w:i w:val="false"/>
          <w:strike w:val="false"/>
          <w:dstrike w:val="false"/>
          <w:color w:val="000000"/>
          <w:sz w:val="20"/>
          <w:szCs w:val="20"/>
          <w:u w:val="none"/>
        </w:rPr>
        <w:t>1 mois</w:t>
      </w:r>
    </w:p>
    <w:p>
      <w:pPr>
        <w:pStyle w:val="Normal"/>
        <w:spacing w:before="120" w:after="0"/>
        <w:rPr>
          <w:rFonts w:ascii="arial" w:hAnsi="arial" w:eastAsia="arial" w:cs="arial"/>
          <w:b w:val="false"/>
          <w:b w:val="false"/>
          <w:i w:val="false"/>
          <w:i w:val="false"/>
          <w:color w:val="000000"/>
          <w:sz w:val="20"/>
          <w:highlight w:val="green"/>
          <w:u w:val="none"/>
        </w:rPr>
      </w:pPr>
      <w:r>
        <w:rPr>
          <w:rFonts w:eastAsia="arial" w:cs="arial" w:ascii="arial" w:hAnsi="arial"/>
          <w:b w:val="false"/>
          <w:i w:val="false"/>
          <w:color w:val="000000"/>
          <w:sz w:val="20"/>
          <w:highlight w:val="green"/>
          <w:u w:val="none"/>
        </w:rPr>
      </w:r>
    </w:p>
    <w:p>
      <w:pPr>
        <w:pStyle w:val="Normal"/>
        <w:bidi w:val="0"/>
        <w:spacing w:before="0" w:after="0"/>
        <w:ind w:left="0" w:right="0" w:hanging="0"/>
        <w:jc w:val="both"/>
        <w:textAlignment w:val="center"/>
        <w:rPr/>
      </w:pPr>
      <w:r>
        <w:rPr>
          <w:rFonts w:eastAsia="Times New Roman" w:cs="Arial"/>
          <w:i w:val="false"/>
          <w:iCs w:val="false"/>
          <w:strike w:val="false"/>
          <w:dstrike w:val="false"/>
          <w:color w:val="auto"/>
          <w:sz w:val="21"/>
          <w:szCs w:val="21"/>
          <w:u w:val="none"/>
          <w:lang w:val="zxx" w:eastAsia="zxx" w:bidi="zxx"/>
        </w:rPr>
        <w:t>Toute information complémentaire relative à la durée et/ou aux délais figure au CCAP.</w:t>
      </w:r>
    </w:p>
    <w:p>
      <w:pPr>
        <w:pStyle w:val="Titre1"/>
        <w:numPr>
          <w:ilvl w:val="0"/>
          <w:numId w:val="2"/>
        </w:numPr>
        <w:rPr/>
      </w:pPr>
      <w:bookmarkStart w:id="20" w:name="_Toc4064"/>
      <w:bookmarkEnd w:id="20"/>
      <w:r>
        <w:rPr/>
        <w:t>DELAI DE VALIDITE DES OFFRES</w:t>
      </w:r>
    </w:p>
    <w:p>
      <w:pPr>
        <w:pStyle w:val="Normal"/>
        <w:rPr/>
      </w:pPr>
      <w:r>
        <w:rPr>
          <w:rFonts w:eastAsia="arial" w:cs="arial" w:ascii="arial" w:hAnsi="arial"/>
          <w:b w:val="false"/>
          <w:i w:val="false"/>
          <w:color w:val="000000"/>
          <w:sz w:val="20"/>
          <w:u w:val="none"/>
        </w:rPr>
        <w:t xml:space="preserve">Le candidat est tenu de maintenir son offre, à compter de la date limite de remise des offres, pendant un délai de : </w:t>
      </w:r>
      <w:r>
        <w:rPr>
          <w:rFonts w:eastAsia="arial" w:cs="arial" w:ascii="arial" w:hAnsi="arial"/>
          <w:b/>
          <w:bCs/>
          <w:i w:val="false"/>
          <w:color w:val="000000"/>
          <w:sz w:val="20"/>
          <w:u w:val="none"/>
        </w:rPr>
        <w:t>4  mois</w:t>
      </w:r>
      <w:r>
        <w:rPr>
          <w:rFonts w:eastAsia="arial" w:cs="arial" w:ascii="arial" w:hAnsi="arial"/>
          <w:b w:val="false"/>
          <w:i w:val="false"/>
          <w:color w:val="000000"/>
          <w:sz w:val="20"/>
          <w:u w:val="none"/>
        </w:rPr>
        <w:t xml:space="preserve">. </w:t>
      </w:r>
    </w:p>
    <w:p>
      <w:pPr>
        <w:pStyle w:val="Titre1"/>
        <w:numPr>
          <w:ilvl w:val="0"/>
          <w:numId w:val="2"/>
        </w:numPr>
        <w:rPr/>
      </w:pPr>
      <w:bookmarkStart w:id="21" w:name="_Toc4065"/>
      <w:bookmarkEnd w:id="21"/>
      <w:r>
        <w:rPr/>
        <w:t>ENGAGEMENT ET SIGNATURE DU CANDIDAT</w:t>
      </w:r>
    </w:p>
    <w:p>
      <w:pPr>
        <w:pStyle w:val="Normal"/>
        <w:rPr/>
      </w:pPr>
      <w:r>
        <w:rPr>
          <w:rFonts w:eastAsia="arial" w:cs="arial" w:ascii="arial" w:hAnsi="arial"/>
          <w:b w:val="false"/>
          <w:i w:val="false"/>
          <w:color w:val="000000"/>
          <w:sz w:val="20"/>
          <w:u w:val="none"/>
        </w:rPr>
        <w:t>Après avoir pris connaissance des documents constitutifs du dossier de marché, tels que listés au CCAP/CCP en tant que documents contractuels,</w:t>
      </w:r>
    </w:p>
    <w:p>
      <w:pPr>
        <w:pStyle w:val="Normal"/>
        <w:spacing w:before="120" w:after="0"/>
        <w:rPr/>
      </w:pPr>
      <w:r>
        <w:rPr>
          <w:rFonts w:eastAsia="arial" w:cs="arial" w:ascii="arial" w:hAnsi="arial"/>
          <w:b w:val="false"/>
          <w:i w:val="false"/>
          <w:color w:val="000000"/>
          <w:sz w:val="20"/>
          <w:u w:val="none"/>
        </w:rPr>
        <w:t>J'affirme (nous affirmons) sous peine de résiliation du marché à mes (nos) torts exclusifs que la (les) société(s) pour laquelle (lesquelles) j'interviens (nous intervenons) ne tombe(nt) pas sous le coup des interdictions découlant des articles L2141-1 à 14 du Code de la commande publique</w:t>
      </w:r>
    </w:p>
    <w:p>
      <w:pPr>
        <w:pStyle w:val="Normal"/>
        <w:spacing w:before="120" w:after="0"/>
        <w:rPr/>
      </w:pPr>
      <w:r>
        <w:rPr/>
      </w:r>
    </w:p>
    <w:p>
      <w:pPr>
        <w:pStyle w:val="Normal"/>
        <w:rPr/>
      </w:pPr>
      <w:r>
        <w:rPr>
          <w:rFonts w:eastAsia="arial" w:cs="arial" w:ascii="arial" w:hAnsi="arial"/>
          <w:b w:val="false"/>
          <w:i w:val="false"/>
          <w:color w:val="000000"/>
          <w:sz w:val="20"/>
          <w:u w:val="none"/>
        </w:rPr>
        <w:t>A ......................................., le .......................................</w:t>
      </w:r>
    </w:p>
    <w:p>
      <w:pPr>
        <w:pStyle w:val="Normal"/>
        <w:spacing w:before="120" w:after="0"/>
        <w:rPr/>
      </w:pPr>
      <w:r>
        <w:rPr>
          <w:rFonts w:eastAsia="arial" w:cs="arial" w:ascii="arial" w:hAnsi="arial"/>
          <w:b w:val="false"/>
          <w:i w:val="false"/>
          <w:color w:val="000000"/>
          <w:sz w:val="20"/>
          <w:u w:val="none"/>
        </w:rPr>
        <w:t>En un seul original</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Le candidat ou le mandataire</w:t>
      </w:r>
    </w:p>
    <w:p>
      <w:pPr>
        <w:pStyle w:val="Normal"/>
        <w:spacing w:before="120" w:after="0"/>
        <w:rPr/>
      </w:pPr>
      <w:r>
        <w:rPr>
          <w:rFonts w:eastAsia="arial" w:cs="arial" w:ascii="arial" w:hAnsi="arial"/>
          <w:b w:val="false"/>
          <w:i/>
          <w:color w:val="000000"/>
          <w:sz w:val="20"/>
          <w:u w:val="none"/>
        </w:rPr>
        <w:t xml:space="preserve">Signature du candidat, précédée des nom, </w:t>
      </w:r>
    </w:p>
    <w:p>
      <w:pPr>
        <w:pStyle w:val="Normal"/>
        <w:spacing w:before="120" w:after="0"/>
        <w:rPr/>
      </w:pPr>
      <w:r>
        <w:rPr>
          <w:rFonts w:eastAsia="arial" w:cs="arial" w:ascii="arial" w:hAnsi="arial"/>
          <w:b w:val="false"/>
          <w:i/>
          <w:color w:val="000000"/>
          <w:sz w:val="20"/>
          <w:u w:val="none"/>
        </w:rPr>
        <w:t>prénom et qualité du signataire</w:t>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(Le signataire doit avoir le pouvoir d'engager la personne qu'il représente).</w:t>
      </w:r>
    </w:p>
    <w:p>
      <w:pPr>
        <w:pStyle w:val="Titre1"/>
        <w:numPr>
          <w:ilvl w:val="0"/>
          <w:numId w:val="2"/>
        </w:numPr>
        <w:rPr/>
      </w:pPr>
      <w:bookmarkStart w:id="22" w:name="_Toc4066"/>
      <w:bookmarkEnd w:id="22"/>
      <w:r>
        <w:rPr/>
        <w:t>SIGNATURE DU POUVOIR ADJUDICATEUR</w:t>
      </w:r>
    </w:p>
    <w:p>
      <w:pPr>
        <w:pStyle w:val="Normal"/>
        <w:rPr/>
      </w:pPr>
      <w:r>
        <w:rPr>
          <w:rFonts w:eastAsia="arial" w:cs="arial" w:ascii="arial" w:hAnsi="arial"/>
          <w:b w:val="false"/>
          <w:i w:val="false"/>
          <w:color w:val="000000"/>
          <w:sz w:val="20"/>
          <w:u w:val="none"/>
          <w:shd w:fill="auto" w:val="clear"/>
        </w:rPr>
        <w:t xml:space="preserve"> </w:t>
      </w:r>
      <w:r>
        <w:rPr>
          <w:rFonts w:eastAsia="arial" w:cs="arial" w:ascii="arial" w:hAnsi="arial"/>
          <w:b w:val="false"/>
          <w:i w:val="false"/>
          <w:color w:val="000000"/>
          <w:sz w:val="20"/>
          <w:u w:val="none"/>
          <w:shd w:fill="auto" w:val="clear"/>
        </w:rPr>
        <w:t>La présente offre est acceptée.</w:t>
      </w:r>
    </w:p>
    <w:p>
      <w:pPr>
        <w:pStyle w:val="Normal"/>
        <w:rPr/>
      </w:pPr>
      <w:r>
        <w:rPr>
          <w:rFonts w:eastAsia="arial" w:cs="arial" w:ascii="arial" w:hAnsi="arial"/>
          <w:b w:val="false"/>
          <w:i w:val="false"/>
          <w:color w:val="000000"/>
          <w:sz w:val="20"/>
          <w:u w:val="none"/>
          <w:shd w:fill="auto" w:val="clear"/>
        </w:rPr>
        <w:t>A Marseille, le .......................................</w:t>
      </w:r>
    </w:p>
    <w:p>
      <w:pPr>
        <w:pStyle w:val="Normal"/>
        <w:spacing w:before="120" w:after="0"/>
        <w:rPr/>
      </w:pPr>
      <w:r>
        <w:rPr/>
      </w:r>
    </w:p>
    <w:p>
      <w:pPr>
        <w:pStyle w:val="Normal"/>
        <w:spacing w:before="120" w:after="0"/>
        <w:rPr>
          <w:rFonts w:ascii="arial" w:hAnsi="arial" w:eastAsia="arial" w:cs="arial"/>
          <w:b w:val="false"/>
          <w:b w:val="false"/>
          <w:i w:val="false"/>
          <w:i w:val="false"/>
          <w:color w:val="000000"/>
          <w:sz w:val="20"/>
          <w:u w:val="none"/>
        </w:rPr>
      </w:pPr>
      <w:r>
        <w:rPr>
          <w:rFonts w:eastAsia="arial" w:cs="arial" w:ascii="arial" w:hAnsi="arial"/>
          <w:b w:val="false"/>
          <w:i w:val="false"/>
          <w:color w:val="000000"/>
          <w:sz w:val="20"/>
          <w:u w:val="none"/>
        </w:rPr>
      </w:r>
    </w:p>
    <w:p>
      <w:pPr>
        <w:pStyle w:val="Normal"/>
        <w:spacing w:before="120" w:after="0"/>
        <w:rPr/>
      </w:pPr>
      <w:r>
        <w:rPr>
          <w:rFonts w:eastAsia="arial" w:cs="arial" w:ascii="arial" w:hAnsi="arial"/>
          <w:b w:val="false"/>
          <w:i w:val="false"/>
          <w:color w:val="000000"/>
          <w:sz w:val="20"/>
          <w:u w:val="none"/>
        </w:rPr>
        <w:t>Signature</w:t>
      </w:r>
    </w:p>
    <w:p>
      <w:pPr>
        <w:pStyle w:val="Normal"/>
        <w:spacing w:before="120" w:after="0"/>
        <w:rPr/>
      </w:pPr>
      <w:r>
        <w:rPr>
          <w:rFonts w:eastAsia="arial" w:cs="arial" w:ascii="arial" w:hAnsi="arial"/>
          <w:b w:val="false"/>
          <w:i/>
          <w:color w:val="000000"/>
          <w:sz w:val="20"/>
          <w:u w:val="none"/>
        </w:rPr>
        <w:t>(Représentant du pouvoir adjudicateur habilité à signer)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auto" w:val="clear"/>
        </w:rPr>
        <w:t>Pour Monsieur Le Maire et par délégation</w:t>
      </w:r>
    </w:p>
    <w:p>
      <w:pPr>
        <w:pStyle w:val="Normal"/>
        <w:rPr/>
      </w:pPr>
      <w:r>
        <w:rPr>
          <w:rFonts w:eastAsia="arial" w:cs="arial" w:ascii="arial" w:hAnsi="arial"/>
          <w:b/>
          <w:i w:val="false"/>
          <w:color w:val="000000"/>
          <w:sz w:val="20"/>
          <w:u w:val="none"/>
          <w:shd w:fill="auto" w:val="clear"/>
        </w:rPr>
        <w:t>L’Adjoint en charge de la culture pour toutes et tous,  de la création, du patrimoine culturel et du cinéma</w:t>
      </w:r>
    </w:p>
    <w:p>
      <w:pPr>
        <w:pStyle w:val="Normal"/>
        <w:rPr>
          <w:rFonts w:ascii="arial" w:hAnsi="arial" w:eastAsia="arial" w:cs="arial"/>
          <w:b/>
          <w:b/>
          <w:i w:val="false"/>
          <w:i w:val="false"/>
          <w:color w:val="auto"/>
          <w:sz w:val="20"/>
          <w:u w:val="none"/>
          <w:shd w:fill="auto" w:val="clear"/>
        </w:rPr>
      </w:pPr>
      <w:r>
        <w:rPr>
          <w:rFonts w:eastAsia="arial" w:cs="arial" w:ascii="arial" w:hAnsi="arial"/>
          <w:b/>
          <w:i w:val="false"/>
          <w:color w:val="000000"/>
          <w:sz w:val="20"/>
          <w:u w:val="none"/>
          <w:shd w:fill="auto" w:val="clear"/>
        </w:rPr>
      </w:r>
    </w:p>
    <w:p>
      <w:pPr>
        <w:pStyle w:val="Normal"/>
        <w:rPr>
          <w:rFonts w:ascii="arial" w:hAnsi="arial" w:eastAsia="arial" w:cs="arial"/>
          <w:b/>
          <w:b/>
          <w:i w:val="false"/>
          <w:i w:val="false"/>
          <w:color w:val="auto"/>
          <w:sz w:val="20"/>
          <w:u w:val="none"/>
          <w:shd w:fill="auto" w:val="clear"/>
        </w:rPr>
      </w:pPr>
      <w:r>
        <w:rPr>
          <w:rFonts w:eastAsia="arial" w:cs="arial" w:ascii="arial" w:hAnsi="arial"/>
          <w:b/>
          <w:i w:val="false"/>
          <w:color w:val="000000"/>
          <w:sz w:val="20"/>
          <w:u w:val="none"/>
          <w:shd w:fill="auto" w:val="clear"/>
        </w:rPr>
      </w:r>
    </w:p>
    <w:p>
      <w:pPr>
        <w:pStyle w:val="Normal"/>
        <w:rPr>
          <w:rFonts w:ascii="arial" w:hAnsi="arial" w:eastAsia="arial" w:cs="arial"/>
          <w:b/>
          <w:b/>
          <w:i w:val="false"/>
          <w:i w:val="false"/>
          <w:color w:val="auto"/>
          <w:sz w:val="20"/>
          <w:u w:val="none"/>
          <w:shd w:fill="auto" w:val="clear"/>
        </w:rPr>
      </w:pPr>
      <w:r>
        <w:rPr>
          <w:rFonts w:eastAsia="arial" w:cs="arial" w:ascii="arial" w:hAnsi="arial"/>
          <w:b/>
          <w:i w:val="false"/>
          <w:color w:val="000000"/>
          <w:sz w:val="20"/>
          <w:u w:val="none"/>
          <w:shd w:fill="auto" w:val="clear"/>
        </w:rPr>
      </w:r>
    </w:p>
    <w:p>
      <w:pPr>
        <w:pStyle w:val="Normal"/>
        <w:rPr/>
      </w:pPr>
      <w:r>
        <w:rPr>
          <w:rFonts w:eastAsia="arial" w:cs="arial" w:ascii="arial" w:hAnsi="arial"/>
          <w:b/>
          <w:i w:val="false"/>
          <w:color w:val="000000"/>
          <w:sz w:val="20"/>
          <w:u w:val="none"/>
          <w:shd w:fill="auto" w:val="clear"/>
        </w:rPr>
        <w:t>Jean-Marc COPPOLA</w:t>
      </w:r>
    </w:p>
    <w:p>
      <w:pPr>
        <w:pStyle w:val="Normal"/>
        <w:rPr>
          <w:rFonts w:ascii="arial" w:hAnsi="arial" w:eastAsia="arial" w:cs="arial"/>
          <w:b/>
          <w:b/>
          <w:i w:val="false"/>
          <w:i w:val="false"/>
          <w:color w:val="auto"/>
          <w:sz w:val="20"/>
          <w:u w:val="none"/>
          <w:shd w:fill="auto" w:val="clear"/>
        </w:rPr>
      </w:pPr>
      <w:r>
        <w:rPr>
          <w:rFonts w:eastAsia="arial" w:cs="arial" w:ascii="arial" w:hAnsi="arial"/>
          <w:b/>
          <w:i w:val="false"/>
          <w:color w:val="000000"/>
          <w:sz w:val="20"/>
          <w:u w:val="none"/>
          <w:shd w:fill="auto" w:val="clear"/>
        </w:rPr>
      </w:r>
    </w:p>
    <w:p>
      <w:pPr>
        <w:pStyle w:val="Titre1"/>
        <w:numPr>
          <w:ilvl w:val="0"/>
          <w:numId w:val="2"/>
        </w:numPr>
        <w:rPr/>
      </w:pPr>
      <w:bookmarkStart w:id="23" w:name="_Toc4067"/>
      <w:bookmarkEnd w:id="23"/>
      <w:r>
        <w:rPr/>
        <w:t>NOTIFICATION DU MARCHE</w:t>
      </w:r>
    </w:p>
    <w:p>
      <w:pPr>
        <w:pStyle w:val="Normal"/>
        <w:rPr/>
      </w:pPr>
      <w:r>
        <w:rPr>
          <w:rFonts w:eastAsia="arial" w:cs="arial" w:ascii="arial" w:hAnsi="arial"/>
          <w:b w:val="false"/>
          <w:i w:val="false"/>
          <w:color w:val="000000"/>
          <w:sz w:val="20"/>
          <w:u w:val="none"/>
        </w:rPr>
        <w:t>En cas de remise contre récépissé, le titulaire signera la formule ci-dessous :</w:t>
      </w:r>
    </w:p>
    <w:p>
      <w:pPr>
        <w:pStyle w:val="Normal"/>
        <w:spacing w:before="120" w:after="0"/>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"Reçu à titre de notification une copie du présent marché"</w:t>
      </w:r>
    </w:p>
    <w:p>
      <w:pPr>
        <w:pStyle w:val="Normal"/>
        <w:spacing w:before="120" w:after="0"/>
        <w:rPr/>
      </w:pPr>
      <w:r>
        <w:rPr/>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A ........................................, le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Signature du titulaire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d'envoi en recommandé avec accusé de réception, l'avis de réception postal, daté et signé du titulaire sera annexé au présent document.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En cas de notification par voie électronique, indiquer la date et l'heure d'accusé de réception de la présente notification par le titulaire.</w:t>
      </w:r>
    </w:p>
    <w:p>
      <w:pPr>
        <w:pStyle w:val="Titre1"/>
        <w:numPr>
          <w:ilvl w:val="0"/>
          <w:numId w:val="2"/>
        </w:numPr>
        <w:rPr/>
      </w:pPr>
      <w:bookmarkStart w:id="24" w:name="_Toc4068"/>
      <w:bookmarkEnd w:id="24"/>
      <w:r>
        <w:rPr/>
        <w:t>EXEMPLAIRE UNIQUE ET NANTISSEMENT OU CESSION DE CREANCE</w:t>
      </w:r>
    </w:p>
    <w:p>
      <w:pPr>
        <w:pStyle w:val="Normal"/>
        <w:rPr/>
      </w:pPr>
      <w:r>
        <w:rPr>
          <w:rFonts w:eastAsia="arial" w:cs="arial" w:ascii="arial" w:hAnsi="arial"/>
          <w:b w:val="false"/>
          <w:i w:val="false"/>
          <w:color w:val="000000"/>
          <w:sz w:val="20"/>
          <w:u w:val="none"/>
        </w:rPr>
        <w:t>CADRE POUR LA FORMULE DE NANTISSEMENT OU DE CESSION DE CREANCES</w:t>
      </w:r>
    </w:p>
    <w:p>
      <w:pPr>
        <w:pStyle w:val="Normal"/>
        <w:spacing w:before="120" w:after="0"/>
        <w:rPr/>
      </w:pPr>
      <w:r>
        <w:rPr>
          <w:rFonts w:eastAsia="arial" w:cs="arial" w:ascii="arial" w:hAnsi="arial"/>
          <w:b w:val="false"/>
          <w:i w:val="false"/>
          <w:color w:val="000000"/>
          <w:sz w:val="20"/>
          <w:u w:val="none"/>
        </w:rPr>
        <w:t>-------------------------------------------------------------------------------------------------------------------------------</w:t>
      </w:r>
    </w:p>
    <w:p>
      <w:pPr>
        <w:pStyle w:val="Normal"/>
        <w:spacing w:before="120" w:after="0"/>
        <w:rPr/>
      </w:pPr>
      <w:r>
        <w:rPr>
          <w:rFonts w:eastAsia="arial" w:cs="arial" w:ascii="arial" w:hAnsi="arial"/>
          <w:b w:val="false"/>
          <w:i w:val="false"/>
          <w:color w:val="000000"/>
          <w:sz w:val="20"/>
          <w:u w:val="none"/>
        </w:rPr>
        <w:t>Pouvoir adjudicateur : Mairie de Marseille</w:t>
      </w:r>
    </w:p>
    <w:p>
      <w:pPr>
        <w:pStyle w:val="Normal"/>
        <w:rPr/>
      </w:pPr>
      <w:r>
        <w:rPr>
          <w:rFonts w:eastAsia="arial" w:cs="arial" w:ascii="arial" w:hAnsi="arial"/>
          <w:b w:val="false"/>
          <w:i w:val="false"/>
          <w:color w:val="000000"/>
          <w:sz w:val="20"/>
          <w:u w:val="none"/>
        </w:rPr>
        <w:t>(voir l'article 1.2)</w:t>
      </w:r>
    </w:p>
    <w:p>
      <w:pPr>
        <w:pStyle w:val="Normal"/>
        <w:rPr/>
      </w:pPr>
      <w:r>
        <w:rPr>
          <w:rFonts w:eastAsia="arial" w:cs="arial" w:ascii="arial" w:hAnsi="arial"/>
          <w:b w:val="false"/>
          <w:i w:val="false"/>
          <w:color w:val="000000"/>
          <w:sz w:val="20"/>
          <w:u w:val="none"/>
        </w:rPr>
        <w:t>Direction / Service : DIRECTION DE L’ARCHITECTURE, VALORISATION DES ÉQUIPEMENTS ET DE LEURS USAGES</w:t>
      </w:r>
    </w:p>
    <w:p>
      <w:pPr>
        <w:pStyle w:val="Normal"/>
        <w:rPr>
          <w:color w:val="auto"/>
        </w:rPr>
      </w:pPr>
      <w:r>
        <w:rPr>
          <w:color w:val="auto"/>
        </w:rPr>
        <w:t>A l'attention de : Monsieur Eric MARTIN</w:t>
      </w:r>
    </w:p>
    <w:p>
      <w:pPr>
        <w:pStyle w:val="Normal"/>
        <w:rPr>
          <w:color w:val="auto"/>
        </w:rPr>
      </w:pPr>
      <w:r>
        <w:rPr>
          <w:color w:val="auto"/>
        </w:rPr>
        <w:t>Direction Générale Adjointe "la ville plus verte et plus durable"</w:t>
      </w:r>
    </w:p>
    <w:p>
      <w:pPr>
        <w:pStyle w:val="Normal"/>
        <w:rPr>
          <w:color w:val="auto"/>
        </w:rPr>
      </w:pPr>
      <w:r>
        <w:rPr>
          <w:color w:val="auto"/>
        </w:rPr>
        <w:t>Direction de l'Architecture, Valorisation des Équipements et de leurs usages</w:t>
      </w:r>
    </w:p>
    <w:p>
      <w:pPr>
        <w:pStyle w:val="Normal"/>
        <w:rPr>
          <w:color w:val="auto"/>
        </w:rPr>
      </w:pPr>
      <w:r>
        <w:rPr>
          <w:color w:val="auto"/>
        </w:rPr>
        <w:t>Adresse : 9 rue Paul Brutus - Immeuble Allar</w:t>
      </w:r>
    </w:p>
    <w:p>
      <w:pPr>
        <w:pStyle w:val="Normal"/>
        <w:rPr>
          <w:color w:val="auto"/>
        </w:rPr>
      </w:pPr>
      <w:r>
        <w:rPr>
          <w:color w:val="auto"/>
        </w:rPr>
        <w:t>Code postal : 13233 Marseille cedex 20</w:t>
      </w:r>
    </w:p>
    <w:p>
      <w:pPr>
        <w:pStyle w:val="Normal"/>
        <w:rPr>
          <w:color w:val="auto"/>
        </w:rPr>
      </w:pPr>
      <w:r>
        <w:rPr>
          <w:color w:val="auto"/>
        </w:rPr>
        <w:t>Tél : 04 91 55 10 78</w:t>
      </w:r>
    </w:p>
    <w:p>
      <w:pPr>
        <w:pStyle w:val="Normal"/>
        <w:rPr>
          <w:color w:val="auto"/>
        </w:rPr>
      </w:pPr>
      <w:r>
        <w:rPr>
          <w:rFonts w:eastAsia="arial" w:cs="arial" w:ascii="arial" w:hAnsi="arial"/>
          <w:b w:val="false"/>
          <w:i w:val="false"/>
          <w:color w:val="000000"/>
          <w:sz w:val="20"/>
          <w:u w:val="none"/>
        </w:rPr>
        <w:t xml:space="preserve">Courriel : </w:t>
      </w:r>
      <w:hyperlink r:id="rId2">
        <w:r>
          <w:rPr>
            <w:rStyle w:val="LienInternet"/>
            <w:rFonts w:eastAsia="arial" w:cs="arial" w:ascii="arial" w:hAnsi="arial"/>
            <w:b w:val="false"/>
            <w:i w:val="false"/>
            <w:color w:val="000000"/>
            <w:sz w:val="20"/>
            <w:u w:val="none"/>
          </w:rPr>
          <w:t>emartin@marseille.fr</w:t>
        </w:r>
      </w:hyperlink>
      <w:r>
        <w:rPr>
          <w:rFonts w:eastAsia="arial" w:cs="arial" w:ascii="arial" w:hAnsi="arial"/>
          <w:b w:val="false"/>
          <w:i w:val="false"/>
          <w:color w:val="000000"/>
          <w:sz w:val="20"/>
          <w:u w:val="none"/>
        </w:rPr>
        <w:t xml:space="preserve">  </w:t>
      </w:r>
    </w:p>
    <w:p>
      <w:pPr>
        <w:pStyle w:val="Normal"/>
        <w:rPr/>
      </w:pPr>
      <w:r>
        <w:rPr/>
      </w:r>
    </w:p>
    <w:p>
      <w:pPr>
        <w:pStyle w:val="Normal"/>
        <w:spacing w:before="120" w:after="0"/>
        <w:rPr/>
      </w:pPr>
      <w:r>
        <w:rPr>
          <w:rFonts w:eastAsia="arial" w:cs="arial" w:ascii="arial" w:hAnsi="arial"/>
          <w:b w:val="false"/>
          <w:i w:val="false"/>
          <w:color w:val="000000"/>
          <w:sz w:val="20"/>
          <w:u w:val="none"/>
        </w:rPr>
        <w:t>A remplir par l'administration (pouvoir adjudicateur) en original sur une photocopie</w:t>
      </w:r>
    </w:p>
    <w:p>
      <w:pPr>
        <w:pStyle w:val="Normal"/>
        <w:spacing w:before="120" w:after="0"/>
        <w:rPr/>
      </w:pPr>
      <w:r>
        <w:rPr>
          <w:rFonts w:eastAsia="arial" w:cs="arial" w:ascii="arial" w:hAnsi="arial"/>
          <w:b w:val="false"/>
          <w:i w:val="false"/>
          <w:color w:val="000000"/>
          <w:sz w:val="20"/>
          <w:u w:val="none"/>
        </w:rPr>
        <w:t>Copie délivrée en unique exemplaire pour être remise à l'établissement de crédit ou au bénéficiaire de la cession ou du nantissement de droit commun en cas de cession ou de nantissement de créance de :</w:t>
      </w:r>
    </w:p>
    <w:p>
      <w:pPr>
        <w:pStyle w:val="Normal"/>
        <w:spacing w:before="120" w:after="0"/>
        <w:rPr/>
      </w:pPr>
      <w:r>
        <w:rPr>
          <w:rFonts w:eastAsia="arial" w:cs="arial" w:ascii="arial" w:hAnsi="arial"/>
          <w:b w:val="false"/>
          <w:i w:val="false"/>
          <w:color w:val="000000"/>
          <w:sz w:val="20"/>
          <w:u w:val="none"/>
        </w:rPr>
        <w:t>La totalité du marché dont le montant est de (indiquer le montant en chiffres et en lettres)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La totalité du bon de commande n° .......... afférent au marché (indiquer le montant en chiffres et en lettres) :..........</w:t>
      </w:r>
    </w:p>
    <w:p>
      <w:pPr>
        <w:pStyle w:val="Normal"/>
        <w:spacing w:before="120" w:after="0"/>
        <w:rPr/>
      </w:pPr>
      <w:r>
        <w:rPr>
          <w:rFonts w:eastAsia="arial" w:cs="arial" w:ascii="arial" w:hAnsi="arial"/>
          <w:b w:val="false"/>
          <w:i w:val="false"/>
          <w:color w:val="000000"/>
          <w:sz w:val="20"/>
          <w:u w:val="none"/>
        </w:rPr>
        <w:t xml:space="preserve">La partie des prestations que le titulaire n'envisage pas de confier à des sous traitants bénéficiant du paiement direct évaluée à (indiquer le montant en chiffres et en lettres) :.......... </w:t>
      </w:r>
    </w:p>
    <w:p>
      <w:pPr>
        <w:pStyle w:val="Normal"/>
        <w:spacing w:before="120" w:after="0"/>
        <w:rPr/>
      </w:pPr>
      <w:r>
        <w:rPr>
          <w:rFonts w:eastAsia="arial" w:cs="arial" w:ascii="arial" w:hAnsi="arial"/>
          <w:b w:val="false"/>
          <w:i w:val="false"/>
          <w:color w:val="000000"/>
          <w:sz w:val="20"/>
          <w:u w:val="none"/>
        </w:rPr>
        <w:t>et devant être exécutée par ....... en qualité de ..........</w:t>
      </w:r>
    </w:p>
    <w:p>
      <w:pPr>
        <w:pStyle w:val="Normal"/>
        <w:rPr/>
      </w:pPr>
      <w:r>
        <w:rPr>
          <w:rFonts w:eastAsia="arial" w:cs="arial" w:ascii="arial" w:hAnsi="arial"/>
          <w:b w:val="false"/>
          <w:i w:val="false"/>
          <w:color w:val="000000"/>
          <w:sz w:val="20"/>
          <w:u w:val="none"/>
        </w:rPr>
        <w:t>A Marseille, le ..........</w:t>
      </w:r>
    </w:p>
    <w:p>
      <w:pPr>
        <w:pStyle w:val="Normal"/>
        <w:spacing w:before="120" w:after="0"/>
        <w:rPr/>
      </w:pPr>
      <w:r>
        <w:rPr>
          <w:rFonts w:eastAsia="arial" w:cs="arial" w:ascii="arial" w:hAnsi="arial"/>
          <w:b w:val="false"/>
          <w:i w:val="false"/>
          <w:color w:val="000000"/>
          <w:sz w:val="20"/>
          <w:u w:val="none"/>
        </w:rPr>
        <w:t>Signature du représentant du pouvoir adjudicateur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w:t>
      </w:r>
    </w:p>
    <w:sectPr>
      <w:headerReference w:type="default" r:id="rId3"/>
      <w:headerReference w:type="first" r:id="rId4"/>
      <w:footerReference w:type="default" r:id="rId5"/>
      <w:footerReference w:type="first" r:id="rId6"/>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4472C4" w:themeColor="accent1"/>
      </w:rPr>
      <w:t>22_0012 : Mission d'études portant sur la restauration de la chapelle des Bernardines 13001 Marseille</w:t>
    </w:r>
    <w:r>
      <w:rPr/>
      <w:tab/>
      <w:tab/>
    </w:r>
    <w:r>
      <w:rPr/>
      <w:fldChar w:fldCharType="begin"/>
    </w:r>
    <w:r>
      <w:rPr/>
      <w:instrText> PAGE </w:instrText>
    </w:r>
    <w:r>
      <w:rPr/>
      <w:fldChar w:fldCharType="separate"/>
    </w:r>
    <w:r>
      <w:rPr/>
      <w:t>14</w:t>
    </w:r>
    <w:r>
      <w:rPr/>
      <w:fldChar w:fldCharType="end"/>
    </w:r>
    <w:r>
      <w:rPr/>
      <w:t>/</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Acte d'engagement</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22_0012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81"/>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82"/>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83"/>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84"/>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85"/>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86"/>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87"/>
    <w:qFormat/>
    <w:pPr>
      <w:numPr>
        <w:ilvl w:val="6"/>
        <w:numId w:val="1"/>
      </w:numPr>
      <w:spacing w:before="283" w:after="57"/>
      <w:jc w:val="both"/>
      <w:outlineLvl w:val="6"/>
    </w:pPr>
    <w:rPr>
      <w:bCs/>
      <w:sz w:val="22"/>
    </w:rPr>
  </w:style>
  <w:style w:type="paragraph" w:styleId="Titre8">
    <w:name w:val="Heading 8"/>
    <w:basedOn w:val="Titre"/>
    <w:link w:val="788"/>
    <w:qFormat/>
    <w:pPr>
      <w:numPr>
        <w:ilvl w:val="7"/>
        <w:numId w:val="1"/>
      </w:numPr>
      <w:spacing w:before="283" w:after="57"/>
      <w:jc w:val="both"/>
      <w:outlineLvl w:val="7"/>
    </w:pPr>
    <w:rPr>
      <w:bCs/>
      <w:sz w:val="21"/>
    </w:rPr>
  </w:style>
  <w:style w:type="paragraph" w:styleId="Titre9">
    <w:name w:val="Heading 9"/>
    <w:basedOn w:val="Titre"/>
    <w:link w:val="789"/>
    <w:qFormat/>
    <w:pPr>
      <w:numPr>
        <w:ilvl w:val="8"/>
        <w:numId w:val="1"/>
      </w:numPr>
      <w:spacing w:before="283" w:after="57"/>
      <w:jc w:val="both"/>
      <w:outlineLvl w:val="8"/>
    </w:pPr>
    <w:rPr>
      <w:bCs/>
      <w:sz w:val="21"/>
    </w:rPr>
  </w:style>
  <w:style w:type="character" w:styleId="Heading1Char">
    <w:name w:val="Heading 1 Char"/>
    <w:basedOn w:val="DefaultParagraphFont"/>
    <w:link w:val="771"/>
    <w:uiPriority w:val="9"/>
    <w:qFormat/>
    <w:rPr>
      <w:rFonts w:ascii="Arial" w:hAnsi="Arial" w:eastAsia="Arial" w:cs="Arial"/>
      <w:sz w:val="40"/>
      <w:szCs w:val="40"/>
    </w:rPr>
  </w:style>
  <w:style w:type="character" w:styleId="Heading2Char">
    <w:name w:val="Heading 2 Char"/>
    <w:basedOn w:val="DefaultParagraphFont"/>
    <w:link w:val="772"/>
    <w:uiPriority w:val="9"/>
    <w:qFormat/>
    <w:rPr>
      <w:rFonts w:ascii="Arial" w:hAnsi="Arial" w:eastAsia="Arial" w:cs="Arial"/>
      <w:sz w:val="34"/>
    </w:rPr>
  </w:style>
  <w:style w:type="character" w:styleId="Heading3Char">
    <w:name w:val="Heading 3 Char"/>
    <w:basedOn w:val="DefaultParagraphFont"/>
    <w:link w:val="773"/>
    <w:uiPriority w:val="9"/>
    <w:qFormat/>
    <w:rPr>
      <w:rFonts w:ascii="Arial" w:hAnsi="Arial" w:eastAsia="Arial" w:cs="Arial"/>
      <w:sz w:val="30"/>
      <w:szCs w:val="30"/>
    </w:rPr>
  </w:style>
  <w:style w:type="character" w:styleId="Heading4Char">
    <w:name w:val="Heading 4 Char"/>
    <w:basedOn w:val="DefaultParagraphFont"/>
    <w:link w:val="774"/>
    <w:uiPriority w:val="9"/>
    <w:qFormat/>
    <w:rPr>
      <w:rFonts w:ascii="Arial" w:hAnsi="Arial" w:eastAsia="Arial" w:cs="Arial"/>
      <w:b/>
      <w:bCs/>
      <w:sz w:val="26"/>
      <w:szCs w:val="26"/>
    </w:rPr>
  </w:style>
  <w:style w:type="character" w:styleId="Heading5Char">
    <w:name w:val="Heading 5 Char"/>
    <w:basedOn w:val="DefaultParagraphFont"/>
    <w:link w:val="775"/>
    <w:uiPriority w:val="9"/>
    <w:qFormat/>
    <w:rPr>
      <w:rFonts w:ascii="Arial" w:hAnsi="Arial" w:eastAsia="Arial" w:cs="Arial"/>
      <w:b/>
      <w:bCs/>
      <w:sz w:val="24"/>
      <w:szCs w:val="24"/>
    </w:rPr>
  </w:style>
  <w:style w:type="character" w:styleId="Heading6Char">
    <w:name w:val="Heading 6 Char"/>
    <w:basedOn w:val="DefaultParagraphFont"/>
    <w:link w:val="776"/>
    <w:uiPriority w:val="9"/>
    <w:qFormat/>
    <w:rPr>
      <w:rFonts w:ascii="Arial" w:hAnsi="Arial" w:eastAsia="Arial" w:cs="Arial"/>
      <w:b/>
      <w:bCs/>
      <w:sz w:val="22"/>
      <w:szCs w:val="22"/>
    </w:rPr>
  </w:style>
  <w:style w:type="character" w:styleId="Heading7Char">
    <w:name w:val="Heading 7 Char"/>
    <w:basedOn w:val="DefaultParagraphFont"/>
    <w:link w:val="777"/>
    <w:uiPriority w:val="9"/>
    <w:qFormat/>
    <w:rPr>
      <w:rFonts w:ascii="Arial" w:hAnsi="Arial" w:eastAsia="Arial" w:cs="Arial"/>
      <w:b/>
      <w:bCs/>
      <w:i/>
      <w:iCs/>
      <w:sz w:val="22"/>
      <w:szCs w:val="22"/>
    </w:rPr>
  </w:style>
  <w:style w:type="character" w:styleId="Heading8Char">
    <w:name w:val="Heading 8 Char"/>
    <w:basedOn w:val="DefaultParagraphFont"/>
    <w:link w:val="778"/>
    <w:uiPriority w:val="9"/>
    <w:qFormat/>
    <w:rPr>
      <w:rFonts w:ascii="Arial" w:hAnsi="Arial" w:eastAsia="Arial" w:cs="Arial"/>
      <w:i/>
      <w:iCs/>
      <w:sz w:val="22"/>
      <w:szCs w:val="22"/>
    </w:rPr>
  </w:style>
  <w:style w:type="character" w:styleId="Heading9Char">
    <w:name w:val="Heading 9 Char"/>
    <w:basedOn w:val="DefaultParagraphFont"/>
    <w:link w:val="779"/>
    <w:uiPriority w:val="9"/>
    <w:qFormat/>
    <w:rPr>
      <w:rFonts w:ascii="Arial" w:hAnsi="Arial" w:eastAsia="Arial" w:cs="Arial"/>
      <w:i/>
      <w:iCs/>
      <w:sz w:val="21"/>
      <w:szCs w:val="21"/>
    </w:rPr>
  </w:style>
  <w:style w:type="character" w:styleId="TitleChar">
    <w:name w:val="Title Char"/>
    <w:basedOn w:val="DefaultParagraphFont"/>
    <w:link w:val="814"/>
    <w:uiPriority w:val="10"/>
    <w:qFormat/>
    <w:rPr>
      <w:sz w:val="48"/>
      <w:szCs w:val="48"/>
    </w:rPr>
  </w:style>
  <w:style w:type="character" w:styleId="SubtitleChar">
    <w:name w:val="Subtitle Char"/>
    <w:basedOn w:val="DefaultParagraphFont"/>
    <w:link w:val="815"/>
    <w:uiPriority w:val="11"/>
    <w:qFormat/>
    <w:rPr>
      <w:sz w:val="24"/>
      <w:szCs w:val="24"/>
    </w:rPr>
  </w:style>
  <w:style w:type="character" w:styleId="QuoteChar">
    <w:name w:val="Quote Char"/>
    <w:link w:val="816"/>
    <w:uiPriority w:val="29"/>
    <w:qFormat/>
    <w:rPr>
      <w:i/>
    </w:rPr>
  </w:style>
  <w:style w:type="character" w:styleId="IntenseQuoteChar">
    <w:name w:val="Intense Quote Char"/>
    <w:link w:val="817"/>
    <w:uiPriority w:val="30"/>
    <w:qFormat/>
    <w:rPr>
      <w:i/>
    </w:rPr>
  </w:style>
  <w:style w:type="character" w:styleId="HeaderChar">
    <w:name w:val="Header Char"/>
    <w:basedOn w:val="DefaultParagraphFont"/>
    <w:link w:val="832"/>
    <w:uiPriority w:val="99"/>
    <w:qFormat/>
    <w:rPr/>
  </w:style>
  <w:style w:type="character" w:styleId="CaptionChar">
    <w:name w:val="Caption Char"/>
    <w:link w:val="840"/>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18"/>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19"/>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71"/>
    <w:uiPriority w:val="9"/>
    <w:qFormat/>
    <w:rPr>
      <w:rFonts w:ascii="Arial" w:hAnsi="Arial" w:eastAsia="Arial" w:cs="Arial"/>
      <w:sz w:val="40"/>
      <w:szCs w:val="40"/>
    </w:rPr>
  </w:style>
  <w:style w:type="character" w:styleId="Titre2Car" w:customStyle="1">
    <w:name w:val="Titre 2 Car"/>
    <w:basedOn w:val="DefaultParagraphFont"/>
    <w:link w:val="772"/>
    <w:uiPriority w:val="9"/>
    <w:qFormat/>
    <w:rPr>
      <w:rFonts w:ascii="Arial" w:hAnsi="Arial"/>
      <w:b/>
      <w:bCs/>
      <w:iCs/>
      <w:color w:val="666699"/>
      <w:sz w:val="22"/>
      <w:szCs w:val="28"/>
      <w:u w:val="single"/>
    </w:rPr>
  </w:style>
  <w:style w:type="character" w:styleId="Titre3Car" w:customStyle="1">
    <w:name w:val="Titre 3 Car"/>
    <w:basedOn w:val="DefaultParagraphFont"/>
    <w:link w:val="773"/>
    <w:uiPriority w:val="9"/>
    <w:qFormat/>
    <w:rPr>
      <w:rFonts w:ascii="Arial" w:hAnsi="Arial" w:eastAsia="Arial" w:cs="Arial"/>
      <w:sz w:val="30"/>
      <w:szCs w:val="30"/>
    </w:rPr>
  </w:style>
  <w:style w:type="character" w:styleId="Titre4Car" w:customStyle="1">
    <w:name w:val="Titre 4 Car"/>
    <w:basedOn w:val="DefaultParagraphFont"/>
    <w:link w:val="774"/>
    <w:uiPriority w:val="9"/>
    <w:qFormat/>
    <w:rPr>
      <w:rFonts w:ascii="Arial" w:hAnsi="Arial" w:eastAsia="Arial" w:cs="Arial"/>
      <w:b/>
      <w:bCs/>
      <w:sz w:val="26"/>
      <w:szCs w:val="26"/>
    </w:rPr>
  </w:style>
  <w:style w:type="character" w:styleId="Titre5Car" w:customStyle="1">
    <w:name w:val="Titre 5 Car"/>
    <w:basedOn w:val="DefaultParagraphFont"/>
    <w:link w:val="775"/>
    <w:uiPriority w:val="9"/>
    <w:qFormat/>
    <w:rPr>
      <w:rFonts w:ascii="Arial" w:hAnsi="Arial" w:eastAsia="Arial" w:cs="Arial"/>
      <w:b/>
      <w:bCs/>
      <w:sz w:val="24"/>
      <w:szCs w:val="24"/>
    </w:rPr>
  </w:style>
  <w:style w:type="character" w:styleId="Titre6Car" w:customStyle="1">
    <w:name w:val="Titre 6 Car"/>
    <w:basedOn w:val="DefaultParagraphFont"/>
    <w:link w:val="776"/>
    <w:uiPriority w:val="9"/>
    <w:qFormat/>
    <w:rPr>
      <w:rFonts w:ascii="Arial" w:hAnsi="Arial" w:eastAsia="Arial" w:cs="Arial"/>
      <w:b/>
      <w:bCs/>
      <w:sz w:val="22"/>
      <w:szCs w:val="22"/>
    </w:rPr>
  </w:style>
  <w:style w:type="character" w:styleId="Titre7Car" w:customStyle="1">
    <w:name w:val="Titre 7 Car"/>
    <w:basedOn w:val="DefaultParagraphFont"/>
    <w:link w:val="777"/>
    <w:uiPriority w:val="9"/>
    <w:qFormat/>
    <w:rPr>
      <w:rFonts w:ascii="Arial" w:hAnsi="Arial" w:eastAsia="Arial" w:cs="Arial"/>
      <w:b/>
      <w:bCs/>
      <w:i/>
      <w:iCs/>
      <w:sz w:val="22"/>
      <w:szCs w:val="22"/>
    </w:rPr>
  </w:style>
  <w:style w:type="character" w:styleId="Titre8Car" w:customStyle="1">
    <w:name w:val="Titre 8 Car"/>
    <w:basedOn w:val="DefaultParagraphFont"/>
    <w:link w:val="778"/>
    <w:uiPriority w:val="9"/>
    <w:qFormat/>
    <w:rPr>
      <w:rFonts w:ascii="Arial" w:hAnsi="Arial" w:eastAsia="Arial" w:cs="Arial"/>
      <w:i/>
      <w:iCs/>
      <w:sz w:val="22"/>
      <w:szCs w:val="22"/>
    </w:rPr>
  </w:style>
  <w:style w:type="character" w:styleId="Titre9Car" w:customStyle="1">
    <w:name w:val="Titre 9 Car"/>
    <w:basedOn w:val="DefaultParagraphFont"/>
    <w:link w:val="779"/>
    <w:uiPriority w:val="9"/>
    <w:qFormat/>
    <w:rPr>
      <w:rFonts w:ascii="Arial" w:hAnsi="Arial" w:eastAsia="Arial" w:cs="Arial"/>
      <w:i/>
      <w:iCs/>
      <w:sz w:val="21"/>
      <w:szCs w:val="21"/>
    </w:rPr>
  </w:style>
  <w:style w:type="character" w:styleId="TitreCar" w:customStyle="1">
    <w:name w:val="Titre Car"/>
    <w:basedOn w:val="DefaultParagraphFont"/>
    <w:link w:val="807"/>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40"/>
    <w:uiPriority w:val="99"/>
    <w:qFormat/>
    <w:rPr/>
  </w:style>
  <w:style w:type="character" w:styleId="NotedebasdepageCar" w:customStyle="1">
    <w:name w:val="Note de bas de page Car"/>
    <w:link w:val="818"/>
    <w:uiPriority w:val="99"/>
    <w:qFormat/>
    <w:rPr>
      <w:sz w:val="18"/>
    </w:rPr>
  </w:style>
  <w:style w:type="character" w:styleId="NotedefinCar" w:customStyle="1">
    <w:name w:val="Note de fin Car"/>
    <w:link w:val="819"/>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26"/>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790"/>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792"/>
    <w:uiPriority w:val="29"/>
    <w:qFormat/>
    <w:pPr>
      <w:ind w:left="720" w:right="720" w:hanging="0"/>
    </w:pPr>
    <w:rPr>
      <w:i/>
    </w:rPr>
  </w:style>
  <w:style w:type="paragraph" w:styleId="IntenseQuote">
    <w:name w:val="Intense Quote"/>
    <w:basedOn w:val="Normal"/>
    <w:link w:val="79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797"/>
    <w:uiPriority w:val="99"/>
    <w:semiHidden/>
    <w:unhideWhenUsed/>
    <w:qFormat/>
    <w:pPr>
      <w:spacing w:before="120" w:after="40"/>
    </w:pPr>
    <w:rPr>
      <w:sz w:val="18"/>
    </w:rPr>
  </w:style>
  <w:style w:type="paragraph" w:styleId="Notedefin">
    <w:name w:val="Endnote Text"/>
    <w:basedOn w:val="Normal"/>
    <w:link w:val="800"/>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05"/>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796"/>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paragraph" w:styleId="LONormal">
    <w:name w:val="LO-Normal"/>
    <w:basedOn w:val="Normal"/>
    <w:qFormat/>
    <w:pPr>
      <w:bidi w:val="0"/>
      <w:spacing w:before="0" w:after="0"/>
      <w:ind w:left="0" w:right="0" w:hanging="0"/>
      <w:jc w:val="both"/>
      <w:textAlignment w:val="center"/>
    </w:pPr>
    <w:rPr>
      <w:rFonts w:ascii="Arial" w:hAnsi="Arial" w:eastAsia="Times New Roman" w:cs="Arial"/>
      <w:i w:val="false"/>
      <w:iCs w:val="false"/>
      <w:strike w:val="false"/>
      <w:dstrike w:val="false"/>
      <w:color w:val="auto"/>
      <w:sz w:val="21"/>
      <w:szCs w:val="21"/>
      <w:u w:val="none"/>
      <w:lang w:val="zxx" w:eastAsia="zxx" w:bidi="zxx"/>
    </w:rPr>
  </w:style>
  <w:style w:type="paragraph" w:styleId="LONormal1">
    <w:name w:val="LO-Normal1"/>
    <w:basedOn w:val="Normal"/>
    <w:qFormat/>
    <w:pPr/>
    <w:rPr/>
  </w:style>
  <w:style w:type="paragraph" w:styleId="LONormal3">
    <w:name w:val="LO-Normal3"/>
    <w:basedOn w:val="Normal"/>
    <w:qFormat/>
    <w:pPr>
      <w:bidi w:val="0"/>
      <w:spacing w:before="0" w:after="0"/>
      <w:ind w:left="0" w:right="0" w:hanging="0"/>
      <w:jc w:val="both"/>
      <w:textAlignment w:val="center"/>
    </w:pPr>
    <w:rPr>
      <w:rFonts w:ascii="Arial" w:hAnsi="Arial" w:eastAsia="Times New Roman" w:cs="Arial"/>
      <w:i w:val="false"/>
      <w:iCs w:val="false"/>
      <w:strike w:val="false"/>
      <w:dstrike w:val="false"/>
      <w:color w:val="000000"/>
      <w:sz w:val="21"/>
      <w:szCs w:val="21"/>
      <w:u w:val="none"/>
      <w:shd w:fill="auto" w:val="clear"/>
      <w:lang w:val="zxx" w:eastAsia="zxx" w:bidi="zxx"/>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rtin@marseille.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15</TotalTime>
  <Application>LibreOffice/7.2.7.2$Windows_X86_64 LibreOffice_project/8d71d29d553c0f7dcbfa38fbfda25ee34cce99a2</Application>
  <AppVersion>15.0000</AppVersion>
  <Pages>14</Pages>
  <Words>3944</Words>
  <Characters>20701</Characters>
  <CharactersWithSpaces>23806</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2022-10-17T12:42:49Z</dcterms:created>
  <dc:creator>Apache POI</dc:creator>
  <dc:description/>
  <dc:language>fr-FR</dc:language>
  <cp:lastModifiedBy/>
  <dcterms:modified xsi:type="dcterms:W3CDTF">2023-01-09T11:20:56Z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