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
        <w:keepNext w:val="false"/>
        <w:bidi w:val="0"/>
        <w:jc w:val="left"/>
        <w:rPr>
          <w:lang w:val="fr-FR"/>
        </w:rPr>
      </w:pPr>
      <w:r>
        <w:rPr>
          <w:lang w:val="fr-FR"/>
        </w:rPr>
        <w:drawing>
          <wp:anchor behindDoc="0" distT="0" distB="0" distL="0" distR="0" simplePos="0" locked="0" layoutInCell="0" allowOverlap="1" relativeHeight="2">
            <wp:simplePos x="0" y="0"/>
            <wp:positionH relativeFrom="column">
              <wp:posOffset>1675765</wp:posOffset>
            </wp:positionH>
            <wp:positionV relativeFrom="paragraph">
              <wp:posOffset>-271780</wp:posOffset>
            </wp:positionV>
            <wp:extent cx="1894205" cy="14668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94205" cy="1466850"/>
                    </a:xfrm>
                    <a:prstGeom prst="rect">
                      <a:avLst/>
                    </a:prstGeom>
                  </pic:spPr>
                </pic:pic>
              </a:graphicData>
            </a:graphic>
          </wp:anchor>
        </w:drawing>
      </w:r>
    </w:p>
    <w:p>
      <w:pPr>
        <w:pStyle w:val="PA"/>
        <w:keepNext w:val="false"/>
        <w:bidi w:val="0"/>
        <w:jc w:val="center"/>
        <w:rPr>
          <w:lang w:val="fr-FR"/>
        </w:rPr>
      </w:pPr>
      <w:r>
        <w:rPr>
          <w:lang w:val="fr-FR"/>
        </w:rPr>
      </w:r>
    </w:p>
    <w:p>
      <w:pPr>
        <w:pStyle w:val="PA"/>
        <w:bidi w:val="0"/>
        <w:jc w:val="center"/>
        <w:rPr>
          <w:lang w:val="fr-FR"/>
        </w:rPr>
      </w:pPr>
      <w:r>
        <w:rPr>
          <w:lang w:val="fr-FR"/>
        </w:rPr>
      </w:r>
    </w:p>
    <w:p>
      <w:pPr>
        <w:pStyle w:val="PA"/>
        <w:bidi w:val="0"/>
        <w:jc w:val="center"/>
        <w:rPr>
          <w:lang w:val="fr-FR"/>
        </w:rPr>
      </w:pPr>
      <w:r>
        <w:rPr>
          <w:lang w:val="fr-FR"/>
        </w:rPr>
      </w:r>
    </w:p>
    <w:p>
      <w:pPr>
        <w:pStyle w:val="PA"/>
        <w:bidi w:val="0"/>
        <w:jc w:val="center"/>
        <w:rPr>
          <w:lang w:val="fr-FR"/>
        </w:rPr>
      </w:pPr>
      <w:r>
        <w:rPr>
          <w:lang w:val="fr-FR"/>
        </w:rPr>
      </w:r>
    </w:p>
    <w:p>
      <w:pPr>
        <w:pStyle w:val="PA"/>
        <w:bidi w:val="0"/>
        <w:jc w:val="center"/>
        <w:rPr>
          <w:lang w:val="fr-FR"/>
        </w:rPr>
      </w:pPr>
      <w:r>
        <w:rPr>
          <w:lang w:val="fr-FR"/>
        </w:rPr>
        <w:t>Pouvoir Adjudicateur</w:t>
      </w:r>
    </w:p>
    <w:p>
      <w:pPr>
        <w:pStyle w:val="Textbody"/>
        <w:keepNext w:val="false"/>
        <w:bidi w:val="0"/>
        <w:jc w:val="center"/>
        <w:rPr>
          <w:sz w:val="28"/>
          <w:szCs w:val="28"/>
          <w:lang w:val="fr-FR"/>
        </w:rPr>
      </w:pPr>
      <w:r>
        <w:rPr>
          <w:sz w:val="28"/>
          <w:szCs w:val="28"/>
          <w:lang w:val="fr-FR"/>
        </w:rPr>
      </w:r>
    </w:p>
    <w:p>
      <w:pPr>
        <w:pStyle w:val="Direction"/>
        <w:keepNext w:val="false"/>
        <w:bidi w:val="0"/>
        <w:jc w:val="center"/>
        <w:rPr/>
      </w:pPr>
      <w:r>
        <w:rPr>
          <w:lang w:val="fr-FR"/>
        </w:rPr>
        <w:t>DGA « la ville plus juste, plus sure et plus proche »-OF-SCC (30323)</w:t>
      </w:r>
    </w:p>
    <w:p>
      <w:pPr>
        <w:pStyle w:val="Textbody"/>
        <w:keepNext w:val="false"/>
        <w:bidi w:val="0"/>
        <w:jc w:val="center"/>
        <w:rPr>
          <w:lang w:val="fr-FR"/>
        </w:rPr>
      </w:pPr>
      <w:r>
        <w:rPr>
          <w:lang w:val="fr-FR"/>
        </w:rPr>
      </w:r>
    </w:p>
    <w:p>
      <w:pPr>
        <w:pStyle w:val="Textbody"/>
        <w:keepNext w:val="false"/>
        <w:bidi w:val="0"/>
        <w:jc w:val="center"/>
        <w:rPr>
          <w:lang w:val="fr-FR"/>
        </w:rPr>
      </w:pPr>
      <w:r>
        <w:rPr>
          <w:lang w:val="fr-FR"/>
        </w:rPr>
      </w:r>
    </w:p>
    <w:p>
      <w:pPr>
        <w:pStyle w:val="Textbody"/>
        <w:keepNext w:val="false"/>
        <w:bidi w:val="0"/>
        <w:jc w:val="center"/>
        <w:rPr>
          <w:lang w:val="fr-FR"/>
        </w:rPr>
      </w:pPr>
      <w:r>
        <w:rPr>
          <w:lang w:val="fr-FR"/>
        </w:rPr>
      </w:r>
    </w:p>
    <w:p>
      <w:pPr>
        <w:pStyle w:val="Textbody"/>
        <w:keepNext w:val="false"/>
        <w:bidi w:val="0"/>
        <w:jc w:val="center"/>
        <w:rPr>
          <w:lang w:val="fr-FR"/>
        </w:rPr>
      </w:pPr>
      <w:r>
        <w:rPr>
          <w:lang w:val="fr-FR"/>
        </w:rPr>
      </w:r>
    </w:p>
    <w:p>
      <w:pPr>
        <w:pStyle w:val="PA"/>
        <w:keepNext w:val="false"/>
        <w:bidi w:val="0"/>
        <w:jc w:val="center"/>
        <w:rPr>
          <w:lang w:val="fr-FR"/>
        </w:rPr>
      </w:pPr>
      <w:r>
        <w:rPr>
          <w:lang w:val="fr-FR"/>
        </w:rPr>
        <w:t>Règlement de la Consultation</w:t>
      </w:r>
    </w:p>
    <w:p>
      <w:pPr>
        <w:pStyle w:val="Textbody"/>
        <w:keepNext w:val="false"/>
        <w:bidi w:val="0"/>
        <w:jc w:val="center"/>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Intitule2"/>
        <w:keepNext w:val="false"/>
        <w:bidi w:val="0"/>
        <w:jc w:val="center"/>
        <w:rPr>
          <w:lang w:val="fr-FR"/>
        </w:rPr>
      </w:pPr>
      <w:r>
        <w:rPr>
          <w:lang w:val="fr-FR"/>
        </w:rPr>
      </w:r>
    </w:p>
    <w:p>
      <w:pPr>
        <w:pStyle w:val="Intitule2"/>
        <w:keepNext w:val="false"/>
        <w:bidi w:val="0"/>
        <w:jc w:val="center"/>
        <w:rPr/>
      </w:pPr>
      <w:r>
        <w:rPr>
          <w:lang w:val="fr-FR"/>
        </w:rPr>
        <w:t>TRAVAUX DE VOIRIE ET DE RESEAUX DIVERS DANS LES 21 CIMETIERES COMMUNAUX DE LA VILLE DE MARSEILLE</w:t>
      </w:r>
    </w:p>
    <w:p>
      <w:pPr>
        <w:pStyle w:val="Intitule2"/>
        <w:keepNext w:val="false"/>
        <w:bidi w:val="0"/>
        <w:jc w:val="center"/>
        <w:rPr>
          <w:lang w:val="fr-FR"/>
        </w:rPr>
      </w:pPr>
      <w:r>
        <w:rPr>
          <w:lang w:val="fr-FR"/>
        </w:rPr>
        <w:t>2 LOTS</w:t>
      </w:r>
    </w:p>
    <w:p>
      <w:pPr>
        <w:pStyle w:val="Intitule2"/>
        <w:bidi w:val="0"/>
        <w:jc w:val="center"/>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NumeroConsultation"/>
        <w:keepNext w:val="false"/>
        <w:bidi w:val="0"/>
        <w:ind w:left="3600" w:hanging="3092"/>
        <w:jc w:val="left"/>
        <w:rPr/>
      </w:pPr>
      <w:r>
        <w:rPr>
          <w:bCs/>
          <w:u w:val="single"/>
          <w:lang w:val="fr-FR"/>
        </w:rPr>
        <w:t>Numéro de la consultation</w:t>
      </w:r>
      <w:r>
        <w:rPr>
          <w:bCs/>
          <w:u w:val="none"/>
          <w:lang w:val="fr-FR"/>
        </w:rPr>
        <w:tab/>
        <w:tab/>
        <w:tab/>
      </w:r>
      <w:r>
        <w:rPr>
          <w:bCs/>
          <w:lang w:val="fr-FR"/>
        </w:rPr>
        <w:t>2022_40302_0005</w:t>
      </w:r>
    </w:p>
    <w:p>
      <w:pPr>
        <w:pStyle w:val="Standard"/>
        <w:keepNext w:val="false"/>
        <w:bidi w:val="0"/>
        <w:jc w:val="left"/>
        <w:rPr>
          <w:color w:val="000000"/>
          <w:sz w:val="20"/>
          <w:szCs w:val="20"/>
          <w:highlight w:val="white"/>
          <w:lang w:val="fr-FR"/>
        </w:rPr>
      </w:pPr>
      <w:r>
        <w:rPr>
          <w:color w:val="000000"/>
          <w:sz w:val="20"/>
          <w:szCs w:val="20"/>
          <w:highlight w:val="white"/>
          <w:lang w:val="fr-FR"/>
        </w:rPr>
      </w:r>
    </w:p>
    <w:p>
      <w:pPr>
        <w:pStyle w:val="Standard"/>
        <w:keepNext w:val="false"/>
        <w:bidi w:val="0"/>
        <w:jc w:val="left"/>
        <w:rPr>
          <w:color w:val="000000"/>
          <w:sz w:val="20"/>
          <w:szCs w:val="20"/>
          <w:lang w:val="fr-FR"/>
        </w:rPr>
      </w:pPr>
      <w:r>
        <w:rPr>
          <w:color w:val="000000"/>
          <w:sz w:val="20"/>
          <w:szCs w:val="20"/>
          <w:lang w:val="fr-FR"/>
        </w:rPr>
      </w:r>
    </w:p>
    <w:p>
      <w:pPr>
        <w:pStyle w:val="Procedure"/>
        <w:keepNext w:val="false"/>
        <w:bidi w:val="0"/>
        <w:ind w:left="4292" w:hanging="3762"/>
        <w:jc w:val="left"/>
        <w:rPr>
          <w:lang w:val="fr-FR"/>
        </w:rPr>
      </w:pPr>
      <w:r>
        <w:rPr>
          <w:bCs/>
          <w:u w:val="single"/>
          <w:lang w:val="fr-FR"/>
        </w:rPr>
        <w:t>Procédure de passation</w:t>
      </w:r>
      <w:r>
        <w:rPr>
          <w:bCs/>
          <w:lang w:val="fr-FR"/>
        </w:rPr>
        <w:tab/>
        <w:tab/>
        <w:t>Appel d‘Offres Ouvert</w:t>
      </w:r>
    </w:p>
    <w:p>
      <w:pPr>
        <w:pStyle w:val="Standard"/>
        <w:keepNext w:val="false"/>
        <w:tabs>
          <w:tab w:val="clear" w:pos="420"/>
          <w:tab w:val="left" w:pos="7200" w:leader="none"/>
        </w:tabs>
        <w:bidi w:val="0"/>
        <w:ind w:left="3600" w:hanging="3600"/>
        <w:jc w:val="left"/>
        <w:rPr>
          <w:b/>
          <w:b/>
          <w:bCs/>
          <w:color w:val="000000"/>
          <w:sz w:val="20"/>
          <w:szCs w:val="20"/>
          <w:highlight w:val="white"/>
          <w:lang w:val="fr-FR"/>
        </w:rPr>
      </w:pPr>
      <w:r>
        <w:rPr>
          <w:b/>
          <w:bCs/>
          <w:color w:val="000000"/>
          <w:sz w:val="20"/>
          <w:szCs w:val="20"/>
          <w:highlight w:val="white"/>
          <w:lang w:val="fr-FR"/>
        </w:rPr>
      </w:r>
    </w:p>
    <w:p>
      <w:pPr>
        <w:pStyle w:val="Standard"/>
        <w:keepNext w:val="false"/>
        <w:tabs>
          <w:tab w:val="clear" w:pos="420"/>
          <w:tab w:val="left" w:pos="7200" w:leader="none"/>
        </w:tabs>
        <w:bidi w:val="0"/>
        <w:ind w:left="3600" w:hanging="3600"/>
        <w:jc w:val="left"/>
        <w:rPr>
          <w:b/>
          <w:b/>
          <w:bCs/>
          <w:color w:val="000000"/>
          <w:sz w:val="20"/>
          <w:szCs w:val="20"/>
          <w:highlight w:val="white"/>
          <w:lang w:val="fr-FR"/>
        </w:rPr>
      </w:pPr>
      <w:r>
        <w:rPr>
          <w:b/>
          <w:bCs/>
          <w:color w:val="000000"/>
          <w:sz w:val="20"/>
          <w:szCs w:val="20"/>
          <w:highlight w:val="white"/>
          <w:lang w:val="fr-FR"/>
        </w:rPr>
      </w:r>
    </w:p>
    <w:p>
      <w:pPr>
        <w:pStyle w:val="DateLimite"/>
        <w:keepNext w:val="false"/>
        <w:bidi w:val="0"/>
        <w:ind w:left="4269" w:hanging="3762"/>
        <w:jc w:val="left"/>
        <w:rPr>
          <w:bCs/>
          <w:u w:val="single"/>
          <w:lang w:val="fr-FR"/>
        </w:rPr>
      </w:pPr>
      <w:r>
        <w:rPr>
          <w:bCs/>
          <w:u w:val="single"/>
          <w:lang w:val="fr-FR"/>
        </w:rPr>
      </w:r>
    </w:p>
    <w:p>
      <w:pPr>
        <w:pStyle w:val="DateLimite"/>
        <w:keepNext w:val="false"/>
        <w:bidi w:val="0"/>
        <w:ind w:left="4269" w:hanging="3762"/>
        <w:jc w:val="left"/>
        <w:rPr>
          <w:sz w:val="20"/>
          <w:lang w:val="fr-FR"/>
        </w:rPr>
      </w:pPr>
      <w:r>
        <w:rPr>
          <w:sz w:val="20"/>
          <w:lang w:val="fr-FR"/>
        </w:rPr>
      </w:r>
    </w:p>
    <w:p>
      <w:pPr>
        <w:pStyle w:val="DateLimite"/>
        <w:keepNext w:val="false"/>
        <w:bidi w:val="0"/>
        <w:ind w:left="4269" w:hanging="3762"/>
        <w:jc w:val="left"/>
        <w:rPr>
          <w:sz w:val="20"/>
          <w:lang w:val="fr-FR"/>
        </w:rPr>
      </w:pPr>
      <w:r>
        <w:rPr>
          <w:sz w:val="20"/>
          <w:lang w:val="fr-FR"/>
        </w:rPr>
      </w:r>
    </w:p>
    <w:p>
      <w:pPr>
        <w:pStyle w:val="Standard"/>
        <w:keepNext w:val="false"/>
        <w:bidi w:val="0"/>
        <w:jc w:val="left"/>
        <w:rPr>
          <w:sz w:val="20"/>
          <w:szCs w:val="20"/>
          <w:lang w:val="fr-FR"/>
        </w:rPr>
      </w:pPr>
      <w:r>
        <w:rPr>
          <w:sz w:val="20"/>
          <w:szCs w:val="20"/>
          <w:lang w:val="fr-FR"/>
        </w:rPr>
      </w:r>
    </w:p>
    <w:p>
      <w:pPr>
        <w:pStyle w:val="Standard"/>
        <w:keepNext w:val="false"/>
        <w:tabs>
          <w:tab w:val="clear" w:pos="420"/>
          <w:tab w:val="left" w:pos="7200" w:leader="none"/>
        </w:tabs>
        <w:bidi w:val="0"/>
        <w:ind w:hanging="0"/>
        <w:jc w:val="left"/>
        <w:rPr>
          <w:b/>
          <w:b/>
          <w:bCs/>
          <w:color w:val="FF0000"/>
          <w:sz w:val="20"/>
          <w:szCs w:val="20"/>
          <w:lang w:val="fr-FR"/>
        </w:rPr>
      </w:pPr>
      <w:r>
        <w:rPr>
          <w:b/>
          <w:bCs/>
          <w:color w:val="FF0000"/>
          <w:sz w:val="20"/>
          <w:szCs w:val="20"/>
          <w:lang w:val="fr-FR"/>
        </w:rPr>
      </w:r>
    </w:p>
    <w:p>
      <w:pPr>
        <w:pStyle w:val="Normal"/>
        <w:keepNext w:val="false"/>
        <w:suppressAutoHyphens w:val="false"/>
        <w:bidi w:val="0"/>
        <w:jc w:val="left"/>
        <w:rPr>
          <w:rFonts w:ascii="Arial" w:hAnsi="Arial" w:eastAsia="Arial" w:cs="Arial"/>
          <w:color w:val="00000A"/>
          <w:sz w:val="21"/>
          <w:szCs w:val="24"/>
          <w:lang w:val="fr-FR" w:eastAsia="ja-JP" w:bidi="fa-IR"/>
        </w:rPr>
      </w:pPr>
      <w:r>
        <w:rPr>
          <w:rFonts w:eastAsia="Arial" w:cs="Arial" w:ascii="Arial" w:hAnsi="Arial"/>
          <w:color w:val="00000A"/>
          <w:sz w:val="21"/>
          <w:szCs w:val="24"/>
          <w:lang w:val="fr-FR" w:eastAsia="ja-JP" w:bidi="fa-IR"/>
        </w:rPr>
      </w:r>
      <w:r>
        <w:br w:type="page"/>
      </w:r>
    </w:p>
    <w:p>
      <w:pPr>
        <w:pStyle w:val="Standard"/>
        <w:keepNext w:val="false"/>
        <w:bidi w:val="0"/>
        <w:jc w:val="left"/>
        <w:rPr>
          <w:lang w:val="fr-FR"/>
        </w:rPr>
      </w:pPr>
      <w:r>
        <w:rPr>
          <w:lang w:val="fr-FR"/>
        </w:rPr>
      </w:r>
    </w:p>
    <w:p>
      <w:pPr>
        <w:pStyle w:val="Toaheading"/>
        <w:keepNext w:val="false"/>
        <w:bidi w:val="0"/>
        <w:jc w:val="center"/>
        <w:rPr/>
      </w:pPr>
      <w:r>
        <w:rPr>
          <w:lang w:val="fr-FR"/>
        </w:rPr>
        <w:t>SOMMAIRE</w:t>
      </w:r>
    </w:p>
    <w:sdt>
      <w:sdtPr>
        <w:docPartObj>
          <w:docPartGallery w:val="Table of Contents"/>
          <w:docPartUnique w:val="true"/>
        </w:docPartObj>
      </w:sdtPr>
      <w:sdtContent>
        <w:p>
          <w:pPr>
            <w:pStyle w:val="Tabledesmatiresniveau1"/>
            <w:tabs>
              <w:tab w:val="clear" w:pos="420"/>
              <w:tab w:val="right" w:pos="8295" w:leader="dot"/>
            </w:tabs>
            <w:rPr/>
          </w:pPr>
          <w:r>
            <w:fldChar w:fldCharType="begin"/>
          </w:r>
          <w:r>
            <w:rPr>
              <w:rStyle w:val="Sautdindex"/>
            </w:rPr>
            <w:instrText> TOC \o "1-4" \h</w:instrText>
          </w:r>
          <w:r>
            <w:rPr>
              <w:rStyle w:val="Sautdindex"/>
            </w:rPr>
            <w:fldChar w:fldCharType="separate"/>
          </w:r>
          <w:hyperlink w:anchor="__RefHeading__1256_181712035">
            <w:r>
              <w:rPr>
                <w:rStyle w:val="Sautdindex"/>
              </w:rPr>
              <w:t>Article 1 - GENERALITES</w:t>
              <w:tab/>
              <w:t>3</w:t>
            </w:r>
          </w:hyperlink>
        </w:p>
        <w:p>
          <w:pPr>
            <w:pStyle w:val="Tabledesmatiresniveau2"/>
            <w:tabs>
              <w:tab w:val="clear" w:pos="420"/>
              <w:tab w:val="right" w:pos="8295" w:leader="dot"/>
            </w:tabs>
            <w:rPr/>
          </w:pPr>
          <w:hyperlink w:anchor="__RefHeading__1258_181712035">
            <w:r>
              <w:rPr>
                <w:rStyle w:val="Sautdindex"/>
              </w:rPr>
              <w:t xml:space="preserve"> </w:t>
            </w:r>
            <w:r>
              <w:rPr>
                <w:rStyle w:val="Sautdindex"/>
              </w:rPr>
              <w:t>1.1  Objet et description de la consultation</w:t>
              <w:tab/>
              <w:t>3</w:t>
            </w:r>
          </w:hyperlink>
        </w:p>
        <w:p>
          <w:pPr>
            <w:pStyle w:val="Tabledesmatiresniveau2"/>
            <w:tabs>
              <w:tab w:val="clear" w:pos="420"/>
              <w:tab w:val="right" w:pos="8295" w:leader="dot"/>
            </w:tabs>
            <w:rPr/>
          </w:pPr>
          <w:hyperlink w:anchor="__RefHeading__1260_181712035">
            <w:r>
              <w:rPr>
                <w:rStyle w:val="Sautdindex"/>
              </w:rPr>
              <w:t xml:space="preserve"> </w:t>
            </w:r>
            <w:r>
              <w:rPr>
                <w:rStyle w:val="Sautdindex"/>
              </w:rPr>
              <w:t>1.2  Nature</w:t>
              <w:tab/>
              <w:t>3</w:t>
            </w:r>
          </w:hyperlink>
        </w:p>
        <w:p>
          <w:pPr>
            <w:pStyle w:val="Tabledesmatiresniveau2"/>
            <w:tabs>
              <w:tab w:val="clear" w:pos="420"/>
              <w:tab w:val="right" w:pos="8295" w:leader="dot"/>
            </w:tabs>
            <w:rPr/>
          </w:pPr>
          <w:hyperlink w:anchor="__RefHeading__1262_181712035">
            <w:r>
              <w:rPr>
                <w:rStyle w:val="Sautdindex"/>
              </w:rPr>
              <w:t xml:space="preserve"> </w:t>
            </w:r>
            <w:r>
              <w:rPr>
                <w:rStyle w:val="Sautdindex"/>
              </w:rPr>
              <w:t>1.3  Pouvoir adjudicateur</w:t>
              <w:tab/>
              <w:t>3</w:t>
            </w:r>
          </w:hyperlink>
        </w:p>
        <w:p>
          <w:pPr>
            <w:pStyle w:val="Tabledesmatiresniveau2"/>
            <w:tabs>
              <w:tab w:val="clear" w:pos="420"/>
              <w:tab w:val="right" w:pos="8295" w:leader="dot"/>
            </w:tabs>
            <w:rPr/>
          </w:pPr>
          <w:hyperlink w:anchor="__RefHeading__1264_181712035">
            <w:r>
              <w:rPr>
                <w:rStyle w:val="Sautdindex"/>
              </w:rPr>
              <w:t xml:space="preserve"> </w:t>
            </w:r>
            <w:r>
              <w:rPr>
                <w:rStyle w:val="Sautdindex"/>
              </w:rPr>
              <w:t>1.4  Procédure</w:t>
              <w:tab/>
              <w:t>3</w:t>
            </w:r>
          </w:hyperlink>
        </w:p>
        <w:p>
          <w:pPr>
            <w:pStyle w:val="Tabledesmatiresniveau1"/>
            <w:tabs>
              <w:tab w:val="clear" w:pos="420"/>
              <w:tab w:val="right" w:pos="8295" w:leader="dot"/>
            </w:tabs>
            <w:rPr/>
          </w:pPr>
          <w:hyperlink w:anchor="__RefHeading__1270_181712035">
            <w:r>
              <w:rPr>
                <w:rStyle w:val="Sautdindex"/>
              </w:rPr>
              <w:t>Article 2 - CARACTÉRISTIQUES DE LA CONSULTATION</w:t>
              <w:tab/>
              <w:t>3</w:t>
            </w:r>
          </w:hyperlink>
        </w:p>
        <w:p>
          <w:pPr>
            <w:pStyle w:val="Tabledesmatiresniveau2"/>
            <w:tabs>
              <w:tab w:val="clear" w:pos="420"/>
              <w:tab w:val="right" w:pos="8295" w:leader="dot"/>
            </w:tabs>
            <w:rPr/>
          </w:pPr>
          <w:hyperlink w:anchor="__RefHeading__1272_181712035">
            <w:r>
              <w:rPr>
                <w:rStyle w:val="Sautdindex"/>
              </w:rPr>
              <w:t>2.1 Décomposition en lots, tranches et postes</w:t>
              <w:tab/>
              <w:t>3</w:t>
            </w:r>
          </w:hyperlink>
        </w:p>
        <w:p>
          <w:pPr>
            <w:pStyle w:val="Tabledesmatiresniveau3"/>
            <w:tabs>
              <w:tab w:val="clear" w:pos="420"/>
              <w:tab w:val="right" w:pos="8295" w:leader="dot"/>
            </w:tabs>
            <w:rPr/>
          </w:pPr>
          <w:hyperlink w:anchor="__RefHeading___Toc5752_503095968">
            <w:r>
              <w:rPr>
                <w:rStyle w:val="Sautdindex"/>
              </w:rPr>
              <w:t>2.1.1 Décomposition en lots</w:t>
              <w:tab/>
              <w:t>3</w:t>
            </w:r>
          </w:hyperlink>
        </w:p>
        <w:p>
          <w:pPr>
            <w:pStyle w:val="Tabledesmatiresniveau3"/>
            <w:tabs>
              <w:tab w:val="clear" w:pos="420"/>
              <w:tab w:val="right" w:pos="8295" w:leader="dot"/>
            </w:tabs>
            <w:rPr/>
          </w:pPr>
          <w:hyperlink w:anchor="__RefHeading__1276_181712035">
            <w:r>
              <w:rPr>
                <w:rStyle w:val="Sautdindex"/>
              </w:rPr>
              <w:t>2.1.2 Décomposition en tranches</w:t>
              <w:tab/>
              <w:t>4</w:t>
            </w:r>
          </w:hyperlink>
        </w:p>
        <w:p>
          <w:pPr>
            <w:pStyle w:val="Tabledesmatiresniveau3"/>
            <w:tabs>
              <w:tab w:val="clear" w:pos="420"/>
              <w:tab w:val="right" w:pos="8295" w:leader="dot"/>
            </w:tabs>
            <w:rPr/>
          </w:pPr>
          <w:hyperlink w:anchor="__RefHeading___Toc5756_503095968">
            <w:r>
              <w:rPr>
                <w:rStyle w:val="Sautdindex"/>
              </w:rPr>
              <w:t>2.1.3 Décomposition en postes</w:t>
              <w:tab/>
              <w:t>4</w:t>
            </w:r>
          </w:hyperlink>
        </w:p>
        <w:p>
          <w:pPr>
            <w:pStyle w:val="Tabledesmatiresniveau2"/>
            <w:tabs>
              <w:tab w:val="clear" w:pos="420"/>
              <w:tab w:val="right" w:pos="8295" w:leader="dot"/>
            </w:tabs>
            <w:rPr/>
          </w:pPr>
          <w:hyperlink w:anchor="__RefHeading___Toc5758_503095968">
            <w:r>
              <w:rPr>
                <w:rStyle w:val="Sautdindex"/>
              </w:rPr>
              <w:t>2.2 Accords-cadres à bons de commande</w:t>
              <w:tab/>
              <w:t>4</w:t>
            </w:r>
          </w:hyperlink>
        </w:p>
        <w:p>
          <w:pPr>
            <w:pStyle w:val="Tabledesmatiresniveau2"/>
            <w:tabs>
              <w:tab w:val="clear" w:pos="420"/>
              <w:tab w:val="right" w:pos="8295" w:leader="dot"/>
            </w:tabs>
            <w:rPr/>
          </w:pPr>
          <w:hyperlink w:anchor="__RefHeading__1280_181712035">
            <w:r>
              <w:rPr>
                <w:rStyle w:val="Sautdindex"/>
              </w:rPr>
              <w:t>2.3 Durée de l’accord-cadre</w:t>
              <w:tab/>
              <w:t>4</w:t>
            </w:r>
          </w:hyperlink>
        </w:p>
        <w:p>
          <w:pPr>
            <w:pStyle w:val="Tabledesmatiresniveau2"/>
            <w:tabs>
              <w:tab w:val="clear" w:pos="420"/>
              <w:tab w:val="right" w:pos="8295" w:leader="dot"/>
            </w:tabs>
            <w:rPr/>
          </w:pPr>
          <w:hyperlink w:anchor="__RefHeading__1282_181712035">
            <w:r>
              <w:rPr>
                <w:rStyle w:val="Sautdindex"/>
              </w:rPr>
              <w:t>2.4 Options</w:t>
              <w:tab/>
              <w:t>4</w:t>
            </w:r>
          </w:hyperlink>
        </w:p>
        <w:p>
          <w:pPr>
            <w:pStyle w:val="Tabledesmatiresniveau2"/>
            <w:tabs>
              <w:tab w:val="clear" w:pos="420"/>
              <w:tab w:val="right" w:pos="8295" w:leader="dot"/>
            </w:tabs>
            <w:rPr/>
          </w:pPr>
          <w:hyperlink w:anchor="__RefHeading__1284_181712035">
            <w:r>
              <w:rPr>
                <w:rStyle w:val="Sautdindex"/>
              </w:rPr>
              <w:t>2.5 Clause obligatoire d’insertion par l’activité économique</w:t>
              <w:tab/>
              <w:t>5</w:t>
            </w:r>
          </w:hyperlink>
        </w:p>
        <w:p>
          <w:pPr>
            <w:pStyle w:val="Tabledesmatiresniveau2"/>
            <w:tabs>
              <w:tab w:val="clear" w:pos="420"/>
              <w:tab w:val="right" w:pos="8295" w:leader="dot"/>
            </w:tabs>
            <w:rPr/>
          </w:pPr>
          <w:hyperlink w:anchor="__RefHeading__1286_181712035">
            <w:r>
              <w:rPr>
                <w:rStyle w:val="Sautdindex"/>
              </w:rPr>
              <w:t>2.6 Groupements d’opérateurs économiques</w:t>
              <w:tab/>
              <w:t>5</w:t>
            </w:r>
          </w:hyperlink>
        </w:p>
        <w:p>
          <w:pPr>
            <w:pStyle w:val="Tabledesmatiresniveau2"/>
            <w:tabs>
              <w:tab w:val="clear" w:pos="420"/>
              <w:tab w:val="right" w:pos="8295" w:leader="dot"/>
            </w:tabs>
            <w:rPr/>
          </w:pPr>
          <w:hyperlink w:anchor="__RefHeading__1288_181712035">
            <w:r>
              <w:rPr>
                <w:rStyle w:val="Sautdindex"/>
              </w:rPr>
              <w:t>2.7 Conditions relatives à l’accord-cadre</w:t>
              <w:tab/>
              <w:t>5</w:t>
            </w:r>
          </w:hyperlink>
        </w:p>
        <w:p>
          <w:pPr>
            <w:pStyle w:val="Tabledesmatiresniveau3"/>
            <w:tabs>
              <w:tab w:val="clear" w:pos="420"/>
              <w:tab w:val="right" w:pos="8295" w:leader="dot"/>
            </w:tabs>
            <w:rPr/>
          </w:pPr>
          <w:hyperlink w:anchor="__RefHeading__1290_181712035">
            <w:r>
              <w:rPr>
                <w:rStyle w:val="Sautdindex"/>
              </w:rPr>
              <w:t>2.7.1 Cautionnement et garanties exigées</w:t>
              <w:tab/>
              <w:t>5</w:t>
            </w:r>
          </w:hyperlink>
        </w:p>
        <w:p>
          <w:pPr>
            <w:pStyle w:val="Tabledesmatiresniveau3"/>
            <w:tabs>
              <w:tab w:val="clear" w:pos="420"/>
              <w:tab w:val="right" w:pos="8295" w:leader="dot"/>
            </w:tabs>
            <w:rPr/>
          </w:pPr>
          <w:hyperlink w:anchor="__RefHeading__1292_181712035">
            <w:r>
              <w:rPr>
                <w:rStyle w:val="Sautdindex"/>
              </w:rPr>
              <w:t>2.7.2 Modalités essentielles de financement et de paiement</w:t>
              <w:tab/>
              <w:t>5</w:t>
            </w:r>
          </w:hyperlink>
        </w:p>
        <w:p>
          <w:pPr>
            <w:pStyle w:val="Tabledesmatiresniveau1"/>
            <w:tabs>
              <w:tab w:val="clear" w:pos="420"/>
              <w:tab w:val="right" w:pos="8295" w:leader="dot"/>
            </w:tabs>
            <w:rPr/>
          </w:pPr>
          <w:hyperlink w:anchor="__RefHeading__1294_181712035">
            <w:r>
              <w:rPr>
                <w:rStyle w:val="Sautdindex"/>
              </w:rPr>
              <w:t>Article 3 - DOSSIER DE CONSULTATION DES ENTREPRISES (DCE)</w:t>
              <w:tab/>
              <w:t>5</w:t>
            </w:r>
          </w:hyperlink>
        </w:p>
        <w:p>
          <w:pPr>
            <w:pStyle w:val="Tabledesmatiresniveau1"/>
            <w:tabs>
              <w:tab w:val="clear" w:pos="420"/>
              <w:tab w:val="right" w:pos="8295" w:leader="dot"/>
            </w:tabs>
            <w:rPr/>
          </w:pPr>
          <w:hyperlink w:anchor="__RefHeading__1296_181712035">
            <w:r>
              <w:rPr>
                <w:rStyle w:val="Sautdindex"/>
              </w:rPr>
              <w:t>Article 4 – ELEMENTS EXIGES DU CANDIDAT</w:t>
              <w:tab/>
              <w:t>6</w:t>
            </w:r>
          </w:hyperlink>
        </w:p>
        <w:p>
          <w:pPr>
            <w:pStyle w:val="Tabledesmatiresniveau2"/>
            <w:tabs>
              <w:tab w:val="clear" w:pos="420"/>
              <w:tab w:val="right" w:pos="8295" w:leader="dot"/>
            </w:tabs>
            <w:rPr/>
          </w:pPr>
          <w:hyperlink w:anchor="__RefHeading___Toc6190_3170865062">
            <w:r>
              <w:rPr>
                <w:rStyle w:val="Sautdindex"/>
              </w:rPr>
              <w:t>4.1 Renseignements et documents demandés à l’appui des candidatures</w:t>
              <w:tab/>
              <w:t>6</w:t>
            </w:r>
          </w:hyperlink>
        </w:p>
        <w:p>
          <w:pPr>
            <w:pStyle w:val="Tabledesmatiresniveau2"/>
            <w:tabs>
              <w:tab w:val="clear" w:pos="420"/>
              <w:tab w:val="right" w:pos="8295" w:leader="dot"/>
            </w:tabs>
            <w:rPr/>
          </w:pPr>
          <w:hyperlink w:anchor="__RefHeading__1300_181712035">
            <w:r>
              <w:rPr>
                <w:rStyle w:val="Sautdindex"/>
              </w:rPr>
              <w:t>4.2 Eléments exigés au titre de l’offre</w:t>
              <w:tab/>
              <w:t>7</w:t>
            </w:r>
          </w:hyperlink>
        </w:p>
        <w:p>
          <w:pPr>
            <w:pStyle w:val="Tabledesmatiresniveau3"/>
            <w:tabs>
              <w:tab w:val="clear" w:pos="420"/>
              <w:tab w:val="right" w:pos="8295" w:leader="dot"/>
            </w:tabs>
            <w:rPr/>
          </w:pPr>
          <w:hyperlink w:anchor="__RefHeading___Toc5762_503095968">
            <w:r>
              <w:rPr>
                <w:rStyle w:val="Sautdindex"/>
              </w:rPr>
              <w:t>4.2.1 Présentation des offres</w:t>
              <w:tab/>
              <w:t>7</w:t>
            </w:r>
          </w:hyperlink>
        </w:p>
        <w:p>
          <w:pPr>
            <w:pStyle w:val="Tabledesmatiresniveau3"/>
            <w:tabs>
              <w:tab w:val="clear" w:pos="420"/>
              <w:tab w:val="right" w:pos="8295" w:leader="dot"/>
            </w:tabs>
            <w:rPr/>
          </w:pPr>
          <w:hyperlink w:anchor="__RefHeading__1306_181712035">
            <w:r>
              <w:rPr>
                <w:rStyle w:val="Sautdindex"/>
              </w:rPr>
              <w:t>4.2.2 Présentation de variantes</w:t>
              <w:tab/>
              <w:t>7</w:t>
            </w:r>
          </w:hyperlink>
        </w:p>
        <w:p>
          <w:pPr>
            <w:pStyle w:val="Tabledesmatiresniveau2"/>
            <w:tabs>
              <w:tab w:val="clear" w:pos="420"/>
              <w:tab w:val="right" w:pos="8295" w:leader="dot"/>
            </w:tabs>
            <w:rPr/>
          </w:pPr>
          <w:hyperlink w:anchor="__RefHeading___Toc5764_503095968">
            <w:r>
              <w:rPr>
                <w:rStyle w:val="Sautdindex"/>
              </w:rPr>
              <w:t>4.3 Visite sur site</w:t>
              <w:tab/>
              <w:t>7</w:t>
            </w:r>
          </w:hyperlink>
        </w:p>
        <w:p>
          <w:pPr>
            <w:pStyle w:val="Tabledesmatiresniveau1"/>
            <w:tabs>
              <w:tab w:val="clear" w:pos="420"/>
              <w:tab w:val="right" w:pos="8295" w:leader="dot"/>
            </w:tabs>
            <w:rPr/>
          </w:pPr>
          <w:hyperlink w:anchor="__RefHeading__1310_181712035">
            <w:r>
              <w:rPr>
                <w:rStyle w:val="Sautdindex"/>
              </w:rPr>
              <w:t>ARTICLE 5 - REMISE DES PLIS PAR LES CANDIDATS</w:t>
              <w:tab/>
              <w:t>7</w:t>
            </w:r>
          </w:hyperlink>
        </w:p>
        <w:p>
          <w:pPr>
            <w:pStyle w:val="Tabledesmatiresniveau2"/>
            <w:tabs>
              <w:tab w:val="clear" w:pos="420"/>
              <w:tab w:val="right" w:pos="8295" w:leader="dot"/>
            </w:tabs>
            <w:rPr/>
          </w:pPr>
          <w:hyperlink w:anchor="__RefHeading__1312_181712035">
            <w:r>
              <w:rPr>
                <w:rStyle w:val="Sautdindex"/>
              </w:rPr>
              <w:t>5.1 Remise électronique</w:t>
              <w:tab/>
              <w:t>7</w:t>
            </w:r>
          </w:hyperlink>
        </w:p>
        <w:p>
          <w:pPr>
            <w:pStyle w:val="Tabledesmatiresniveau2"/>
            <w:tabs>
              <w:tab w:val="clear" w:pos="420"/>
              <w:tab w:val="right" w:pos="8295" w:leader="dot"/>
            </w:tabs>
            <w:rPr/>
          </w:pPr>
          <w:hyperlink w:anchor="__RefHeading___Toc5766_503095968">
            <w:r>
              <w:rPr>
                <w:rStyle w:val="Sautdindex"/>
              </w:rPr>
              <w:t>5.2 - Copie de sauvegarde</w:t>
              <w:tab/>
              <w:t>8</w:t>
            </w:r>
          </w:hyperlink>
        </w:p>
        <w:p>
          <w:pPr>
            <w:pStyle w:val="Tabledesmatiresniveau2"/>
            <w:tabs>
              <w:tab w:val="clear" w:pos="420"/>
              <w:tab w:val="right" w:pos="8295" w:leader="dot"/>
            </w:tabs>
            <w:rPr/>
          </w:pPr>
          <w:hyperlink w:anchor="__RefHeading__1316_181712035">
            <w:r>
              <w:rPr>
                <w:rStyle w:val="Sautdindex"/>
              </w:rPr>
              <w:t>5.3 – Echantillons, maquettes, prototypes</w:t>
              <w:tab/>
              <w:t>8</w:t>
            </w:r>
          </w:hyperlink>
        </w:p>
        <w:p>
          <w:pPr>
            <w:pStyle w:val="Tabledesmatiresniveau2"/>
            <w:tabs>
              <w:tab w:val="clear" w:pos="420"/>
              <w:tab w:val="right" w:pos="8295" w:leader="dot"/>
            </w:tabs>
            <w:rPr/>
          </w:pPr>
          <w:hyperlink w:anchor="__RefHeading__1318_181712035">
            <w:r>
              <w:rPr>
                <w:rStyle w:val="Sautdindex"/>
              </w:rPr>
              <w:t>5.4 – Date et heure limites de remise des plis</w:t>
              <w:tab/>
              <w:t>8</w:t>
            </w:r>
          </w:hyperlink>
        </w:p>
        <w:p>
          <w:pPr>
            <w:pStyle w:val="Tabledesmatiresniveau2"/>
            <w:tabs>
              <w:tab w:val="clear" w:pos="420"/>
              <w:tab w:val="right" w:pos="8295" w:leader="dot"/>
            </w:tabs>
            <w:rPr/>
          </w:pPr>
          <w:hyperlink w:anchor="__RefHeading__1320_181712035">
            <w:r>
              <w:rPr>
                <w:rStyle w:val="Sautdindex"/>
              </w:rPr>
              <w:t>5.5 – Délai de validité des offres</w:t>
              <w:tab/>
              <w:t>8</w:t>
            </w:r>
          </w:hyperlink>
        </w:p>
        <w:p>
          <w:pPr>
            <w:pStyle w:val="Tabledesmatiresniveau1"/>
            <w:tabs>
              <w:tab w:val="clear" w:pos="420"/>
              <w:tab w:val="right" w:pos="8295" w:leader="dot"/>
            </w:tabs>
            <w:rPr/>
          </w:pPr>
          <w:hyperlink w:anchor="__RefHeading__1322_181712035">
            <w:r>
              <w:rPr>
                <w:rStyle w:val="Sautdindex"/>
              </w:rPr>
              <w:t>ARTICLE 6 – EXAMEN DES PLIS</w:t>
              <w:tab/>
              <w:t>9</w:t>
            </w:r>
          </w:hyperlink>
        </w:p>
        <w:p>
          <w:pPr>
            <w:pStyle w:val="Tabledesmatiresniveau2"/>
            <w:tabs>
              <w:tab w:val="clear" w:pos="420"/>
              <w:tab w:val="right" w:pos="8295" w:leader="dot"/>
            </w:tabs>
            <w:rPr/>
          </w:pPr>
          <w:hyperlink w:anchor="__RefHeading__1324_181712035">
            <w:r>
              <w:rPr>
                <w:rStyle w:val="Sautdindex"/>
              </w:rPr>
              <w:t>6.1 Examen des candidatures</w:t>
              <w:tab/>
              <w:t>9</w:t>
            </w:r>
          </w:hyperlink>
        </w:p>
        <w:p>
          <w:pPr>
            <w:pStyle w:val="Tabledesmatiresniveau2"/>
            <w:tabs>
              <w:tab w:val="clear" w:pos="420"/>
              <w:tab w:val="right" w:pos="8295" w:leader="dot"/>
            </w:tabs>
            <w:rPr/>
          </w:pPr>
          <w:hyperlink w:anchor="__RefHeading___Toc5776_503095968">
            <w:r>
              <w:rPr>
                <w:rStyle w:val="Sautdindex"/>
              </w:rPr>
              <w:t>6.2 Jugement des offres</w:t>
              <w:tab/>
              <w:t>9</w:t>
            </w:r>
          </w:hyperlink>
        </w:p>
        <w:p>
          <w:pPr>
            <w:pStyle w:val="Tabledesmatiresniveau1"/>
            <w:tabs>
              <w:tab w:val="clear" w:pos="420"/>
              <w:tab w:val="right" w:pos="8295" w:leader="dot"/>
            </w:tabs>
            <w:rPr/>
          </w:pPr>
          <w:hyperlink w:anchor="__RefHeading__1328_181712035">
            <w:r>
              <w:rPr>
                <w:rStyle w:val="Sautdindex"/>
              </w:rPr>
              <w:t>Article 7 - PIECES A REMETTRE PAR LE(S) CANDIDAT(S) RETENU(S)</w:t>
              <w:tab/>
              <w:t>11</w:t>
            </w:r>
          </w:hyperlink>
        </w:p>
        <w:p>
          <w:pPr>
            <w:pStyle w:val="Tabledesmatiresniveau1"/>
            <w:tabs>
              <w:tab w:val="clear" w:pos="420"/>
              <w:tab w:val="right" w:pos="8295" w:leader="dot"/>
            </w:tabs>
            <w:rPr/>
          </w:pPr>
          <w:hyperlink w:anchor="__RefHeading__1330_181712035">
            <w:r>
              <w:rPr>
                <w:rStyle w:val="Sautdindex"/>
              </w:rPr>
              <w:t>Article 8 - MODALITES RELATIVES AUX COMMUNICATIONS ET AUX ECHANGES D’INFORMATION</w:t>
              <w:tab/>
              <w:t>12</w:t>
            </w:r>
          </w:hyperlink>
        </w:p>
        <w:p>
          <w:pPr>
            <w:pStyle w:val="Tabledesmatiresniveau2"/>
            <w:tabs>
              <w:tab w:val="clear" w:pos="420"/>
              <w:tab w:val="right" w:pos="8295" w:leader="dot"/>
            </w:tabs>
            <w:rPr/>
          </w:pPr>
          <w:hyperlink w:anchor="__RefHeading__1332_181712035">
            <w:r>
              <w:rPr>
                <w:rStyle w:val="Sautdindex"/>
              </w:rPr>
              <w:t>8.1 Règles liées aux échanges électroniques</w:t>
              <w:tab/>
              <w:t>12</w:t>
            </w:r>
          </w:hyperlink>
        </w:p>
        <w:p>
          <w:pPr>
            <w:pStyle w:val="Tabledesmatiresniveau2"/>
            <w:tabs>
              <w:tab w:val="clear" w:pos="420"/>
              <w:tab w:val="right" w:pos="8295" w:leader="dot"/>
            </w:tabs>
            <w:rPr/>
          </w:pPr>
          <w:hyperlink w:anchor="__RefHeading__1334_181712035">
            <w:r>
              <w:rPr>
                <w:rStyle w:val="Sautdindex"/>
              </w:rPr>
              <w:t>8.2 Demandes de renseignements en cours de consultation</w:t>
              <w:tab/>
              <w:t>12</w:t>
            </w:r>
          </w:hyperlink>
          <w:r>
            <w:rPr>
              <w:rStyle w:val="Sautdindex"/>
            </w:rPr>
            <w:fldChar w:fldCharType="end"/>
          </w:r>
        </w:p>
      </w:sdtContent>
    </w:sdt>
    <w:p>
      <w:pPr>
        <w:pStyle w:val="Titre1"/>
        <w:numPr>
          <w:ilvl w:val="0"/>
          <w:numId w:val="0"/>
        </w:numPr>
        <w:pBdr>
          <w:top w:val="single" w:sz="8" w:space="1" w:color="C0C0C0"/>
          <w:left w:val="single" w:sz="8" w:space="1" w:color="C0C0C0"/>
          <w:bottom w:val="single" w:sz="8" w:space="1" w:color="C0C0C0"/>
          <w:right w:val="single" w:sz="8" w:space="1" w:color="C0C0C0"/>
        </w:pBdr>
        <w:shd w:fill="FFFFFF" w:val="clear"/>
        <w:tabs>
          <w:tab w:val="left" w:pos="13533" w:leader="none"/>
          <w:tab w:val="left" w:pos="13610" w:leader="none"/>
        </w:tabs>
        <w:bidi w:val="0"/>
        <w:spacing w:before="0" w:after="283"/>
        <w:ind w:left="57" w:right="0" w:hanging="0"/>
        <w:jc w:val="left"/>
        <w:rPr>
          <w:lang w:val="fr-FR"/>
        </w:rPr>
      </w:pPr>
      <w:r>
        <w:rPr>
          <w:lang w:val="fr-FR"/>
        </w:rPr>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rPr>
          <w:lang w:val="fr-FR"/>
        </w:rPr>
      </w:pPr>
      <w:r>
        <w:rPr>
          <w:lang w:val="fr-FR"/>
        </w:rPr>
      </w:r>
      <w:r>
        <w:br w:type="page"/>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rPr/>
      </w:pPr>
      <w:bookmarkStart w:id="0" w:name="__RefHeading__1256_181712035"/>
      <w:bookmarkStart w:id="1" w:name="Bookmark"/>
      <w:bookmarkEnd w:id="0"/>
      <w:bookmarkEnd w:id="1"/>
      <w:r>
        <w:rPr>
          <w:lang w:val="fr-FR"/>
        </w:rPr>
        <w:t>Article 1 - GENERALITES</w:t>
      </w:r>
    </w:p>
    <w:p>
      <w:pPr>
        <w:pStyle w:val="Titre2"/>
        <w:keepNext w:val="false"/>
        <w:numPr>
          <w:ilvl w:val="1"/>
          <w:numId w:val="3"/>
        </w:numPr>
        <w:tabs>
          <w:tab w:val="clear" w:pos="420"/>
          <w:tab w:val="left" w:pos="-1300" w:leader="none"/>
        </w:tabs>
        <w:bidi w:val="0"/>
        <w:jc w:val="left"/>
        <w:rPr>
          <w:lang w:val="fr-FR"/>
        </w:rPr>
      </w:pPr>
      <w:bookmarkStart w:id="2" w:name="__RefHeading__1258_181712035"/>
      <w:bookmarkStart w:id="3" w:name="Bookmark1"/>
      <w:bookmarkEnd w:id="2"/>
      <w:bookmarkEnd w:id="3"/>
      <w:r>
        <w:rPr>
          <w:lang w:val="fr-FR"/>
        </w:rPr>
        <w:t>Objet et description de la consultation</w:t>
      </w:r>
    </w:p>
    <w:p>
      <w:pPr>
        <w:pStyle w:val="Standard"/>
        <w:keepNext w:val="false"/>
        <w:bidi w:val="0"/>
        <w:jc w:val="both"/>
        <w:rPr/>
      </w:pPr>
      <w:r>
        <w:rPr>
          <w:lang w:val="fr-FR"/>
        </w:rPr>
        <w:t>La présente consultation a pour objet des travaux de voirie et de réseaux divers dans les 21 cimetières communaux de la Ville de Marseille</w:t>
      </w:r>
      <w:r>
        <w:rPr>
          <w:b w:val="false"/>
          <w:bCs w:val="false"/>
          <w:sz w:val="21"/>
          <w:szCs w:val="21"/>
          <w:lang w:val="fr-FR"/>
        </w:rPr>
        <w:t>.</w:t>
      </w:r>
    </w:p>
    <w:p>
      <w:pPr>
        <w:pStyle w:val="Standard"/>
        <w:keepNext w:val="false"/>
        <w:keepLines/>
        <w:widowControl/>
        <w:suppressAutoHyphens w:val="true"/>
        <w:bidi w:val="0"/>
        <w:ind w:left="0" w:right="0" w:hanging="0"/>
        <w:jc w:val="left"/>
        <w:rPr>
          <w:rFonts w:ascii="Arial" w:hAnsi="Arial"/>
          <w:b w:val="false"/>
          <w:b w:val="false"/>
          <w:bCs w:val="false"/>
          <w:sz w:val="21"/>
          <w:szCs w:val="21"/>
          <w:lang w:val="fr-FR"/>
        </w:rPr>
      </w:pPr>
      <w:r>
        <w:rPr>
          <w:b w:val="false"/>
          <w:bCs w:val="false"/>
          <w:sz w:val="21"/>
          <w:szCs w:val="21"/>
          <w:lang w:val="fr-FR"/>
        </w:rPr>
      </w:r>
    </w:p>
    <w:p>
      <w:pPr>
        <w:pStyle w:val="Standard"/>
        <w:bidi w:val="0"/>
        <w:jc w:val="both"/>
        <w:rPr/>
      </w:pPr>
      <w:r>
        <w:rPr>
          <w:lang w:val="fr-FR"/>
        </w:rPr>
        <w:t xml:space="preserve">Le détail </w:t>
      </w:r>
      <w:r>
        <w:rPr>
          <w:highlight w:val="white"/>
          <w:lang w:val="fr-FR"/>
        </w:rPr>
        <w:t>des prestations e</w:t>
      </w:r>
      <w:r>
        <w:rPr>
          <w:lang w:val="fr-FR"/>
        </w:rPr>
        <w:t>st décrit dans le Cahier des Clauses Techniques Particulières (CCTP).</w:t>
      </w:r>
    </w:p>
    <w:p>
      <w:pPr>
        <w:pStyle w:val="Standard"/>
        <w:bidi w:val="0"/>
        <w:jc w:val="both"/>
        <w:rPr>
          <w:lang w:val="fr-FR"/>
        </w:rPr>
      </w:pPr>
      <w:r>
        <w:rPr>
          <w:lang w:val="fr-FR"/>
        </w:rPr>
      </w:r>
    </w:p>
    <w:p>
      <w:pPr>
        <w:pStyle w:val="Standard"/>
        <w:bidi w:val="0"/>
        <w:jc w:val="both"/>
        <w:rPr/>
      </w:pPr>
      <w:r>
        <w:rPr>
          <w:lang w:val="fr-FR"/>
        </w:rPr>
        <w:t>L’entreprise étant soumis aux règles de l’art, elle devra, outres les ouvrages énumérés au CCTP et/ou croquis, tous les menus travaux de sa profession, ainsi que les fournitures nécessaires à leur parfait et complet achèvement et notamment :</w:t>
      </w:r>
    </w:p>
    <w:p>
      <w:pPr>
        <w:pStyle w:val="Standard"/>
        <w:bidi w:val="0"/>
        <w:jc w:val="both"/>
        <w:rPr>
          <w:lang w:val="fr-FR"/>
        </w:rPr>
      </w:pPr>
      <w:r>
        <w:rPr>
          <w:lang w:val="fr-FR"/>
        </w:rPr>
      </w:r>
    </w:p>
    <w:p>
      <w:pPr>
        <w:pStyle w:val="Normal"/>
        <w:widowControl/>
        <w:numPr>
          <w:ilvl w:val="0"/>
          <w:numId w:val="7"/>
        </w:numPr>
        <w:suppressAutoHyphens w:val="true"/>
        <w:overflowPunct w:val="true"/>
        <w:bidi w:val="0"/>
        <w:ind w:left="567" w:right="0" w:hanging="0"/>
        <w:jc w:val="both"/>
        <w:textAlignment w:val="baseline"/>
        <w:rPr/>
      </w:pPr>
      <w:r>
        <w:rPr>
          <w:rFonts w:cs="Arial" w:ascii="Arial" w:hAnsi="Arial"/>
          <w:sz w:val="22"/>
          <w:szCs w:val="22"/>
        </w:rPr>
        <w:t>Travaux préparatoires,</w:t>
      </w:r>
    </w:p>
    <w:p>
      <w:pPr>
        <w:pStyle w:val="Normal"/>
        <w:widowControl/>
        <w:numPr>
          <w:ilvl w:val="0"/>
          <w:numId w:val="7"/>
        </w:numPr>
        <w:suppressAutoHyphens w:val="true"/>
        <w:overflowPunct w:val="true"/>
        <w:bidi w:val="0"/>
        <w:ind w:left="567" w:right="0" w:hanging="0"/>
        <w:jc w:val="both"/>
        <w:textAlignment w:val="baseline"/>
        <w:rPr/>
      </w:pPr>
      <w:r>
        <w:rPr>
          <w:rFonts w:cs="Arial" w:ascii="Arial" w:hAnsi="Arial"/>
          <w:sz w:val="22"/>
          <w:szCs w:val="22"/>
        </w:rPr>
        <w:t>Terrassements,</w:t>
      </w:r>
    </w:p>
    <w:p>
      <w:pPr>
        <w:pStyle w:val="Normal"/>
        <w:widowControl/>
        <w:numPr>
          <w:ilvl w:val="0"/>
          <w:numId w:val="7"/>
        </w:numPr>
        <w:suppressAutoHyphens w:val="true"/>
        <w:overflowPunct w:val="true"/>
        <w:bidi w:val="0"/>
        <w:ind w:left="567" w:right="0" w:hanging="0"/>
        <w:jc w:val="both"/>
        <w:textAlignment w:val="baseline"/>
        <w:rPr/>
      </w:pPr>
      <w:r>
        <w:rPr>
          <w:rFonts w:cs="Arial" w:ascii="Arial" w:hAnsi="Arial"/>
          <w:sz w:val="22"/>
          <w:szCs w:val="22"/>
        </w:rPr>
        <w:t>Assainissement EP, EU,</w:t>
      </w:r>
    </w:p>
    <w:p>
      <w:pPr>
        <w:pStyle w:val="Normal"/>
        <w:widowControl/>
        <w:numPr>
          <w:ilvl w:val="0"/>
          <w:numId w:val="7"/>
        </w:numPr>
        <w:suppressAutoHyphens w:val="true"/>
        <w:overflowPunct w:val="true"/>
        <w:bidi w:val="0"/>
        <w:ind w:left="567" w:right="0" w:hanging="0"/>
        <w:jc w:val="both"/>
        <w:textAlignment w:val="baseline"/>
        <w:rPr/>
      </w:pPr>
      <w:r>
        <w:rPr>
          <w:rFonts w:cs="Arial" w:ascii="Arial" w:hAnsi="Arial"/>
          <w:sz w:val="22"/>
          <w:szCs w:val="22"/>
        </w:rPr>
        <w:t>tranchées et fourreaux pour réseaux divers,</w:t>
      </w:r>
    </w:p>
    <w:p>
      <w:pPr>
        <w:pStyle w:val="Normal"/>
        <w:widowControl/>
        <w:numPr>
          <w:ilvl w:val="0"/>
          <w:numId w:val="7"/>
        </w:numPr>
        <w:suppressAutoHyphens w:val="true"/>
        <w:overflowPunct w:val="true"/>
        <w:bidi w:val="0"/>
        <w:ind w:left="567" w:right="0" w:hanging="0"/>
        <w:jc w:val="both"/>
        <w:textAlignment w:val="baseline"/>
        <w:rPr/>
      </w:pPr>
      <w:r>
        <w:rPr>
          <w:rFonts w:cs="Arial" w:ascii="Arial" w:hAnsi="Arial"/>
          <w:sz w:val="22"/>
          <w:szCs w:val="22"/>
        </w:rPr>
        <w:t>Adduction d’eau,</w:t>
      </w:r>
    </w:p>
    <w:p>
      <w:pPr>
        <w:pStyle w:val="Normal"/>
        <w:widowControl/>
        <w:numPr>
          <w:ilvl w:val="0"/>
          <w:numId w:val="7"/>
        </w:numPr>
        <w:suppressAutoHyphens w:val="true"/>
        <w:overflowPunct w:val="true"/>
        <w:bidi w:val="0"/>
        <w:ind w:left="567" w:right="0" w:hanging="0"/>
        <w:jc w:val="both"/>
        <w:textAlignment w:val="baseline"/>
        <w:rPr/>
      </w:pPr>
      <w:r>
        <w:rPr>
          <w:rFonts w:cs="Arial" w:ascii="Arial" w:hAnsi="Arial"/>
          <w:sz w:val="22"/>
          <w:szCs w:val="22"/>
        </w:rPr>
        <w:t>Génie civil</w:t>
      </w:r>
    </w:p>
    <w:p>
      <w:pPr>
        <w:pStyle w:val="Normal"/>
        <w:widowControl/>
        <w:numPr>
          <w:ilvl w:val="0"/>
          <w:numId w:val="7"/>
        </w:numPr>
        <w:suppressAutoHyphens w:val="true"/>
        <w:overflowPunct w:val="true"/>
        <w:bidi w:val="0"/>
        <w:ind w:left="567" w:right="0" w:hanging="0"/>
        <w:jc w:val="both"/>
        <w:textAlignment w:val="baseline"/>
        <w:rPr/>
      </w:pPr>
      <w:r>
        <w:rPr>
          <w:rFonts w:cs="Arial" w:ascii="Arial" w:hAnsi="Arial"/>
          <w:sz w:val="22"/>
          <w:szCs w:val="22"/>
        </w:rPr>
        <w:t>Voirie,</w:t>
      </w:r>
    </w:p>
    <w:p>
      <w:pPr>
        <w:pStyle w:val="Normal"/>
        <w:widowControl/>
        <w:numPr>
          <w:ilvl w:val="0"/>
          <w:numId w:val="7"/>
        </w:numPr>
        <w:suppressAutoHyphens w:val="true"/>
        <w:overflowPunct w:val="true"/>
        <w:bidi w:val="0"/>
        <w:ind w:left="567" w:right="0" w:hanging="0"/>
        <w:jc w:val="both"/>
        <w:textAlignment w:val="baseline"/>
        <w:rPr/>
      </w:pPr>
      <w:r>
        <w:rPr>
          <w:rFonts w:cs="Arial" w:ascii="Arial" w:hAnsi="Arial"/>
          <w:sz w:val="22"/>
          <w:szCs w:val="22"/>
        </w:rPr>
        <w:t>Travaux divers,</w:t>
      </w:r>
    </w:p>
    <w:p>
      <w:pPr>
        <w:pStyle w:val="Normal"/>
        <w:widowControl/>
        <w:numPr>
          <w:ilvl w:val="0"/>
          <w:numId w:val="7"/>
        </w:numPr>
        <w:suppressAutoHyphens w:val="true"/>
        <w:overflowPunct w:val="true"/>
        <w:bidi w:val="0"/>
        <w:ind w:left="567" w:right="0" w:hanging="0"/>
        <w:jc w:val="both"/>
        <w:textAlignment w:val="baseline"/>
        <w:rPr/>
      </w:pPr>
      <w:r>
        <w:rPr>
          <w:rFonts w:cs="Arial" w:ascii="Arial" w:hAnsi="Arial"/>
          <w:sz w:val="22"/>
          <w:szCs w:val="22"/>
          <w:lang w:val="fr-FR"/>
        </w:rPr>
        <w:t>Espaces verts.</w:t>
      </w:r>
    </w:p>
    <w:p>
      <w:pPr>
        <w:pStyle w:val="Standard"/>
        <w:bidi w:val="0"/>
        <w:jc w:val="both"/>
        <w:rPr>
          <w:lang w:val="fr-FR"/>
        </w:rPr>
      </w:pPr>
      <w:r>
        <w:rPr>
          <w:lang w:val="fr-FR"/>
        </w:rPr>
      </w:r>
    </w:p>
    <w:p>
      <w:pPr>
        <w:pStyle w:val="Standard"/>
        <w:keepNext w:val="false"/>
        <w:bidi w:val="0"/>
        <w:jc w:val="left"/>
        <w:rPr>
          <w:lang w:val="fr-FR"/>
        </w:rPr>
      </w:pPr>
      <w:r>
        <w:rPr>
          <w:lang w:val="fr-FR"/>
        </w:rPr>
        <w:t>Lieu de livraison des prestations : Ville de Marseille</w:t>
      </w:r>
    </w:p>
    <w:p>
      <w:pPr>
        <w:pStyle w:val="Standard"/>
        <w:keepNext w:val="false"/>
        <w:bidi w:val="0"/>
        <w:jc w:val="left"/>
        <w:rPr>
          <w:lang w:val="fr-FR"/>
        </w:rPr>
      </w:pPr>
      <w:r>
        <w:rPr>
          <w:lang w:val="fr-FR"/>
        </w:rPr>
        <w:t>(Code NUTS FRL04)</w:t>
      </w:r>
    </w:p>
    <w:p>
      <w:pPr>
        <w:pStyle w:val="Titre2"/>
        <w:keepNext w:val="false"/>
        <w:numPr>
          <w:ilvl w:val="1"/>
          <w:numId w:val="3"/>
        </w:numPr>
        <w:tabs>
          <w:tab w:val="clear" w:pos="420"/>
          <w:tab w:val="left" w:pos="-1300" w:leader="none"/>
        </w:tabs>
        <w:bidi w:val="0"/>
        <w:jc w:val="left"/>
        <w:rPr>
          <w:lang w:val="fr-FR"/>
        </w:rPr>
      </w:pPr>
      <w:bookmarkStart w:id="4" w:name="__RefHeading__1260_181712035"/>
      <w:bookmarkStart w:id="5" w:name="Bookmark2"/>
      <w:bookmarkEnd w:id="4"/>
      <w:bookmarkEnd w:id="5"/>
      <w:r>
        <w:rPr>
          <w:lang w:val="fr-FR"/>
        </w:rPr>
        <w:t>Nature</w:t>
      </w:r>
    </w:p>
    <w:p>
      <w:pPr>
        <w:pStyle w:val="Standard"/>
        <w:keepNext w:val="false"/>
        <w:bidi w:val="0"/>
        <w:jc w:val="left"/>
        <w:rPr/>
      </w:pPr>
      <w:r>
        <w:rPr>
          <w:lang w:val="fr-FR"/>
        </w:rPr>
        <w:t>Passation d‘un marché de : travaux</w:t>
      </w:r>
    </w:p>
    <w:p>
      <w:pPr>
        <w:pStyle w:val="Titre2"/>
        <w:keepNext w:val="false"/>
        <w:numPr>
          <w:ilvl w:val="1"/>
          <w:numId w:val="3"/>
        </w:numPr>
        <w:tabs>
          <w:tab w:val="clear" w:pos="420"/>
          <w:tab w:val="left" w:pos="-1300" w:leader="none"/>
        </w:tabs>
        <w:bidi w:val="0"/>
        <w:jc w:val="left"/>
        <w:rPr>
          <w:lang w:val="fr-FR"/>
        </w:rPr>
      </w:pPr>
      <w:bookmarkStart w:id="6" w:name="__RefHeading__1262_181712035"/>
      <w:bookmarkStart w:id="7" w:name="Bookmark3"/>
      <w:bookmarkEnd w:id="6"/>
      <w:bookmarkEnd w:id="7"/>
      <w:r>
        <w:rPr>
          <w:lang w:val="fr-FR"/>
        </w:rPr>
        <w:t>Pouvoir adjudicateur</w:t>
      </w:r>
    </w:p>
    <w:p>
      <w:pPr>
        <w:pStyle w:val="Standard"/>
        <w:keepNext w:val="false"/>
        <w:bidi w:val="0"/>
        <w:jc w:val="left"/>
        <w:rPr>
          <w:lang w:val="fr-FR"/>
        </w:rPr>
      </w:pPr>
      <w:r>
        <w:rPr>
          <w:u w:val="single"/>
          <w:lang w:val="fr-FR"/>
        </w:rPr>
        <w:t>Acheteur public :</w:t>
      </w:r>
    </w:p>
    <w:p>
      <w:pPr>
        <w:pStyle w:val="Standard"/>
        <w:keepNext w:val="false"/>
        <w:bidi w:val="0"/>
        <w:jc w:val="left"/>
        <w:rPr>
          <w:lang w:val="fr-FR"/>
        </w:rPr>
      </w:pPr>
      <w:r>
        <w:rPr>
          <w:lang w:val="fr-FR"/>
        </w:rPr>
      </w:r>
    </w:p>
    <w:p>
      <w:pPr>
        <w:pStyle w:val="Standard"/>
        <w:bidi w:val="0"/>
        <w:jc w:val="left"/>
        <w:rPr>
          <w:lang w:val="fr-FR"/>
        </w:rPr>
      </w:pPr>
      <w:r>
        <w:rPr>
          <w:lang w:val="fr-FR"/>
        </w:rPr>
        <w:t>Ville de Marseille</w:t>
      </w:r>
    </w:p>
    <w:p>
      <w:pPr>
        <w:pStyle w:val="Standard"/>
        <w:keepNext w:val="false"/>
        <w:bidi w:val="0"/>
        <w:jc w:val="left"/>
        <w:rPr>
          <w:lang w:val="fr-FR"/>
        </w:rPr>
      </w:pPr>
      <w:r>
        <w:rPr>
          <w:lang w:val="fr-FR"/>
        </w:rPr>
        <w:t>Hôtel de Ville</w:t>
      </w:r>
    </w:p>
    <w:p>
      <w:pPr>
        <w:pStyle w:val="Standard"/>
        <w:keepNext w:val="false"/>
        <w:bidi w:val="0"/>
        <w:jc w:val="left"/>
        <w:rPr>
          <w:lang w:val="fr-FR"/>
        </w:rPr>
      </w:pPr>
      <w:r>
        <w:rPr>
          <w:lang w:val="fr-FR"/>
        </w:rPr>
        <w:t>Quai du Port</w:t>
      </w:r>
    </w:p>
    <w:p>
      <w:pPr>
        <w:pStyle w:val="Standard"/>
        <w:keepNext w:val="false"/>
        <w:bidi w:val="0"/>
        <w:jc w:val="left"/>
        <w:rPr>
          <w:lang w:val="fr-FR"/>
        </w:rPr>
      </w:pPr>
      <w:r>
        <w:rPr>
          <w:lang w:val="fr-FR"/>
        </w:rPr>
        <w:t>13233 Marseille Cedex 20</w:t>
      </w:r>
    </w:p>
    <w:p>
      <w:pPr>
        <w:pStyle w:val="Standard"/>
        <w:keepNext w:val="false"/>
        <w:bidi w:val="0"/>
        <w:jc w:val="left"/>
        <w:rPr>
          <w:lang w:val="fr-FR"/>
        </w:rPr>
      </w:pPr>
      <w:r>
        <w:rPr>
          <w:lang w:val="fr-FR"/>
        </w:rPr>
        <w:t>Profil acheteur : marchespublics.mairie-marseille.fr</w:t>
      </w:r>
    </w:p>
    <w:p>
      <w:pPr>
        <w:pStyle w:val="Standard"/>
        <w:keepNext w:val="false"/>
        <w:bidi w:val="0"/>
        <w:jc w:val="left"/>
        <w:rPr>
          <w:lang w:val="fr-FR"/>
        </w:rPr>
      </w:pPr>
      <w:r>
        <w:rPr>
          <w:lang w:val="fr-FR"/>
        </w:rPr>
        <w:t>Adresse Internet : www.marseille.fr</w:t>
      </w:r>
    </w:p>
    <w:p>
      <w:pPr>
        <w:pStyle w:val="Titre2"/>
        <w:keepNext w:val="false"/>
        <w:numPr>
          <w:ilvl w:val="1"/>
          <w:numId w:val="3"/>
        </w:numPr>
        <w:tabs>
          <w:tab w:val="clear" w:pos="420"/>
          <w:tab w:val="left" w:pos="-1300" w:leader="none"/>
        </w:tabs>
        <w:bidi w:val="0"/>
        <w:jc w:val="left"/>
        <w:rPr>
          <w:lang w:val="fr-FR"/>
        </w:rPr>
      </w:pPr>
      <w:bookmarkStart w:id="8" w:name="__RefHeading__1264_181712035"/>
      <w:bookmarkStart w:id="9" w:name="Bookmark4"/>
      <w:bookmarkEnd w:id="8"/>
      <w:bookmarkEnd w:id="9"/>
      <w:r>
        <w:rPr>
          <w:lang w:val="fr-FR"/>
        </w:rPr>
        <w:t>Procédure</w:t>
      </w:r>
    </w:p>
    <w:p>
      <w:pPr>
        <w:pStyle w:val="Standard"/>
        <w:keepNext w:val="false"/>
        <w:bidi w:val="0"/>
        <w:jc w:val="both"/>
        <w:rPr>
          <w:lang w:val="fr-FR"/>
        </w:rPr>
      </w:pPr>
      <w:r>
        <w:rPr>
          <w:lang w:val="fr-FR"/>
        </w:rPr>
        <w:t>La procédure de passation est la suivante : APPEL D‘OFFRES OUVERT – selon les articles R2124-2, R2161-2 à 5 du Code de la commande publique.</w:t>
      </w:r>
    </w:p>
    <w:p>
      <w:pPr>
        <w:pStyle w:val="Standard"/>
        <w:bidi w:val="0"/>
        <w:jc w:val="both"/>
        <w:rPr>
          <w:lang w:val="fr-FR"/>
        </w:rPr>
      </w:pPr>
      <w:r>
        <w:rPr>
          <w:lang w:val="fr-FR"/>
        </w:rPr>
      </w:r>
    </w:p>
    <w:p>
      <w:pPr>
        <w:pStyle w:val="Standard"/>
        <w:bidi w:val="0"/>
        <w:jc w:val="both"/>
        <w:rPr>
          <w:lang w:val="fr-FR"/>
        </w:rPr>
      </w:pPr>
      <w:r>
        <w:rPr>
          <w:lang w:val="fr-FR"/>
        </w:rPr>
      </w:r>
    </w:p>
    <w:p>
      <w:pPr>
        <w:pStyle w:val="Titre1"/>
        <w:keepNext w:val="false"/>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610" w:leader="none"/>
          <w:tab w:val="left" w:pos="19836" w:leader="none"/>
        </w:tabs>
        <w:bidi w:val="0"/>
        <w:spacing w:before="0" w:after="284"/>
        <w:ind w:left="0" w:right="0" w:hanging="0"/>
        <w:jc w:val="left"/>
        <w:rPr/>
      </w:pPr>
      <w:bookmarkStart w:id="10" w:name="__RefHeading__1270_181712035"/>
      <w:bookmarkEnd w:id="10"/>
      <w:r>
        <w:rPr>
          <w:lang w:val="fr-FR"/>
        </w:rPr>
        <w:t>Article 2 - CARACTÉRISTIQUES DE LA CONSULTATION</w:t>
      </w:r>
    </w:p>
    <w:p>
      <w:pPr>
        <w:pStyle w:val="Titre2"/>
        <w:keepNext w:val="false"/>
        <w:bidi w:val="0"/>
        <w:jc w:val="left"/>
        <w:rPr>
          <w:lang w:val="fr-FR"/>
        </w:rPr>
      </w:pPr>
      <w:bookmarkStart w:id="11" w:name="__RefHeading__1272_181712035"/>
      <w:bookmarkEnd w:id="11"/>
      <w:r>
        <w:rPr>
          <w:lang w:val="fr-FR"/>
        </w:rPr>
        <w:t>2.1</w:t>
        <w:tab/>
      </w:r>
      <w:bookmarkStart w:id="12" w:name="Bookmark8"/>
      <w:bookmarkEnd w:id="12"/>
      <w:r>
        <w:rPr>
          <w:lang w:val="fr-FR"/>
        </w:rPr>
        <w:t>Décomposition en lots, tranches et postes</w:t>
      </w:r>
    </w:p>
    <w:p>
      <w:pPr>
        <w:pStyle w:val="Titre3"/>
        <w:rPr>
          <w:lang w:val="fr-FR"/>
        </w:rPr>
      </w:pPr>
      <w:bookmarkStart w:id="13" w:name="__RefHeading___Toc5752_503095968"/>
      <w:bookmarkEnd w:id="13"/>
      <w:r>
        <w:rPr>
          <w:lang w:val="fr-FR"/>
        </w:rPr>
        <w:t>2.1.1</w:t>
        <w:tab/>
      </w:r>
      <w:bookmarkStart w:id="14" w:name="Bookmark9"/>
      <w:bookmarkEnd w:id="14"/>
      <w:r>
        <w:rPr>
          <w:lang w:val="fr-FR"/>
        </w:rPr>
        <w:t>Décomposition en lots</w:t>
      </w:r>
    </w:p>
    <w:p>
      <w:pPr>
        <w:pStyle w:val="Standard"/>
        <w:rPr>
          <w:lang w:val="fr-FR"/>
        </w:rPr>
      </w:pPr>
      <w:r>
        <w:rPr>
          <w:lang w:val="fr-FR"/>
        </w:rPr>
      </w:r>
    </w:p>
    <w:p>
      <w:pPr>
        <w:pStyle w:val="Standard"/>
        <w:keepNext w:val="false"/>
        <w:pageBreakBefore w:val="false"/>
        <w:bidi w:val="0"/>
        <w:jc w:val="both"/>
        <w:rPr>
          <w:lang w:val="fr-FR"/>
        </w:rPr>
      </w:pPr>
      <w:r>
        <w:rPr>
          <w:lang w:val="fr-FR"/>
        </w:rPr>
      </w:r>
      <w:r>
        <w:br w:type="page"/>
      </w:r>
    </w:p>
    <w:p>
      <w:pPr>
        <w:pStyle w:val="Standard"/>
        <w:bidi w:val="0"/>
        <w:jc w:val="both"/>
        <w:rPr/>
      </w:pPr>
      <w:r>
        <w:rPr>
          <w:lang w:val="fr-FR"/>
        </w:rPr>
        <w:t>L‘ensemble des prestations est réparti en plusieurs lots traités par marchés séparés et définis comme suit :</w:t>
      </w:r>
    </w:p>
    <w:p>
      <w:pPr>
        <w:pStyle w:val="Standard"/>
        <w:keepNext w:val="false"/>
        <w:bidi w:val="0"/>
        <w:jc w:val="left"/>
        <w:rPr>
          <w:lang w:val="fr-FR"/>
        </w:rPr>
      </w:pPr>
      <w:r>
        <w:rPr>
          <w:lang w:val="fr-FR"/>
        </w:rPr>
      </w:r>
    </w:p>
    <w:tbl>
      <w:tblPr>
        <w:tblW w:w="8300" w:type="dxa"/>
        <w:jc w:val="left"/>
        <w:tblInd w:w="-43" w:type="dxa"/>
        <w:tblLayout w:type="fixed"/>
        <w:tblCellMar>
          <w:top w:w="55" w:type="dxa"/>
          <w:left w:w="2" w:type="dxa"/>
          <w:bottom w:w="55" w:type="dxa"/>
          <w:right w:w="50" w:type="dxa"/>
        </w:tblCellMar>
        <w:tblLook w:firstRow="0" w:noVBand="0" w:lastRow="0" w:firstColumn="0" w:lastColumn="0" w:noHBand="0" w:val="0000"/>
      </w:tblPr>
      <w:tblGrid>
        <w:gridCol w:w="658"/>
        <w:gridCol w:w="7641"/>
      </w:tblGrid>
      <w:tr>
        <w:trPr/>
        <w:tc>
          <w:tcPr>
            <w:tcW w:w="658" w:type="dxa"/>
            <w:tcBorders>
              <w:top w:val="single" w:sz="2" w:space="0" w:color="000001"/>
              <w:left w:val="single" w:sz="2" w:space="0" w:color="000001"/>
              <w:bottom w:val="single" w:sz="2" w:space="0" w:color="000001"/>
            </w:tcBorders>
            <w:shd w:color="auto" w:fill="FFFFFF" w:val="clear"/>
            <w:vAlign w:val="center"/>
          </w:tcPr>
          <w:p>
            <w:pPr>
              <w:pStyle w:val="Tableau"/>
              <w:keepNext w:val="false"/>
              <w:widowControl w:val="false"/>
              <w:bidi w:val="0"/>
              <w:spacing w:before="120" w:after="120"/>
              <w:jc w:val="center"/>
              <w:rPr/>
            </w:pPr>
            <w:r>
              <w:rPr>
                <w:b/>
                <w:lang w:val="fr-FR"/>
              </w:rPr>
              <w:t>N°</w:t>
            </w:r>
          </w:p>
        </w:tc>
        <w:tc>
          <w:tcPr>
            <w:tcW w:w="7641"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Tableau"/>
              <w:keepNext w:val="false"/>
              <w:widowControl w:val="false"/>
              <w:bidi w:val="0"/>
              <w:spacing w:before="120" w:after="120"/>
              <w:jc w:val="center"/>
              <w:rPr>
                <w:lang w:val="fr-FR"/>
              </w:rPr>
            </w:pPr>
            <w:r>
              <w:rPr>
                <w:b/>
                <w:lang w:val="fr-FR"/>
              </w:rPr>
              <w:t>Intitulés lots séparés</w:t>
            </w:r>
          </w:p>
        </w:tc>
      </w:tr>
      <w:tr>
        <w:trPr/>
        <w:tc>
          <w:tcPr>
            <w:tcW w:w="658" w:type="dxa"/>
            <w:tcBorders>
              <w:top w:val="single" w:sz="2" w:space="0" w:color="000001"/>
              <w:left w:val="single" w:sz="2" w:space="0" w:color="000001"/>
              <w:bottom w:val="single" w:sz="2" w:space="0" w:color="000001"/>
            </w:tcBorders>
            <w:shd w:color="auto" w:fill="FFFFFF" w:val="clear"/>
          </w:tcPr>
          <w:p>
            <w:pPr>
              <w:pStyle w:val="Tableau"/>
              <w:keepNext w:val="false"/>
              <w:widowControl w:val="false"/>
              <w:bidi w:val="0"/>
              <w:spacing w:before="120" w:after="120"/>
              <w:jc w:val="center"/>
              <w:rPr>
                <w:lang w:val="fr-FR"/>
              </w:rPr>
            </w:pPr>
            <w:r>
              <w:rPr>
                <w:lang w:val="fr-FR"/>
              </w:rPr>
              <w:t>1</w:t>
            </w:r>
          </w:p>
        </w:tc>
        <w:tc>
          <w:tcPr>
            <w:tcW w:w="7641" w:type="dxa"/>
            <w:tcBorders>
              <w:top w:val="single" w:sz="2" w:space="0" w:color="000001"/>
              <w:left w:val="single" w:sz="2" w:space="0" w:color="000001"/>
              <w:bottom w:val="single" w:sz="2" w:space="0" w:color="000001"/>
              <w:right w:val="single" w:sz="2" w:space="0" w:color="000001"/>
            </w:tcBorders>
            <w:shd w:color="auto" w:fill="FFFFFF" w:val="clear"/>
          </w:tcPr>
          <w:p>
            <w:pPr>
              <w:pStyle w:val="Tableau"/>
              <w:keepNext w:val="false"/>
              <w:widowControl w:val="false"/>
              <w:bidi w:val="0"/>
              <w:spacing w:before="120" w:after="120"/>
              <w:jc w:val="left"/>
              <w:rPr/>
            </w:pPr>
            <w:r>
              <w:rPr>
                <w:lang w:val="fr-FR"/>
              </w:rPr>
              <w:t xml:space="preserve"> </w:t>
            </w:r>
            <w:bookmarkStart w:id="15" w:name="__DdeLink__3525_3495774924"/>
            <w:bookmarkEnd w:id="15"/>
            <w:r>
              <w:rPr>
                <w:lang w:val="fr-FR"/>
              </w:rPr>
              <w:t>Travaux de voirie et réseaux divers dans le cimetière Saint Pierre</w:t>
            </w:r>
          </w:p>
        </w:tc>
      </w:tr>
      <w:tr>
        <w:trPr/>
        <w:tc>
          <w:tcPr>
            <w:tcW w:w="658" w:type="dxa"/>
            <w:tcBorders>
              <w:top w:val="single" w:sz="4" w:space="0" w:color="000001"/>
              <w:left w:val="single" w:sz="2" w:space="0" w:color="000001"/>
              <w:bottom w:val="single" w:sz="4" w:space="0" w:color="000001"/>
            </w:tcBorders>
            <w:shd w:color="auto" w:fill="FFFFFF" w:val="clear"/>
          </w:tcPr>
          <w:p>
            <w:pPr>
              <w:pStyle w:val="Tableau"/>
              <w:keepNext w:val="false"/>
              <w:widowControl w:val="false"/>
              <w:bidi w:val="0"/>
              <w:spacing w:before="120" w:after="120"/>
              <w:jc w:val="center"/>
              <w:rPr>
                <w:lang w:val="fr-FR"/>
              </w:rPr>
            </w:pPr>
            <w:r>
              <w:rPr>
                <w:lang w:val="fr-FR"/>
              </w:rPr>
              <w:t>2</w:t>
            </w:r>
          </w:p>
        </w:tc>
        <w:tc>
          <w:tcPr>
            <w:tcW w:w="7641" w:type="dxa"/>
            <w:tcBorders>
              <w:top w:val="single" w:sz="4" w:space="0" w:color="000001"/>
              <w:left w:val="single" w:sz="2" w:space="0" w:color="000001"/>
              <w:bottom w:val="single" w:sz="4" w:space="0" w:color="000001"/>
              <w:right w:val="single" w:sz="2" w:space="0" w:color="000001"/>
            </w:tcBorders>
            <w:shd w:color="auto" w:fill="FFFFFF" w:val="clear"/>
          </w:tcPr>
          <w:p>
            <w:pPr>
              <w:pStyle w:val="Tableau"/>
              <w:keepNext w:val="false"/>
              <w:widowControl w:val="false"/>
              <w:bidi w:val="0"/>
              <w:spacing w:before="120" w:after="120"/>
              <w:jc w:val="left"/>
              <w:rPr/>
            </w:pPr>
            <w:r>
              <w:rPr>
                <w:lang w:val="fr-FR"/>
              </w:rPr>
              <w:t xml:space="preserve"> </w:t>
            </w:r>
            <w:r>
              <w:rPr>
                <w:lang w:val="fr-FR"/>
              </w:rPr>
              <w:t>Travaux de voirie et réseaux divers dans les 20 cimetières communaux hors   cimetière Saint Pierre</w:t>
            </w:r>
          </w:p>
        </w:tc>
      </w:tr>
    </w:tbl>
    <w:p>
      <w:pPr>
        <w:pStyle w:val="Standard"/>
        <w:keepNext w:val="false"/>
        <w:bidi w:val="0"/>
        <w:jc w:val="left"/>
        <w:rPr>
          <w:lang w:val="fr-FR"/>
        </w:rPr>
      </w:pPr>
      <w:r>
        <w:rPr>
          <w:lang w:val="fr-FR"/>
        </w:rPr>
      </w:r>
    </w:p>
    <w:p>
      <w:pPr>
        <w:pStyle w:val="Standard"/>
        <w:keepNext w:val="false"/>
        <w:bidi w:val="0"/>
        <w:jc w:val="left"/>
        <w:rPr/>
      </w:pPr>
      <w:r>
        <w:rPr>
          <w:lang w:val="fr-FR"/>
        </w:rPr>
        <w:t>Les candidats pourront présenter une offre pour un ou plusieurs lots.</w:t>
      </w:r>
    </w:p>
    <w:p>
      <w:pPr>
        <w:pStyle w:val="Standard"/>
        <w:bidi w:val="0"/>
        <w:jc w:val="left"/>
        <w:rPr>
          <w:lang w:val="fr-FR"/>
        </w:rPr>
      </w:pPr>
      <w:r>
        <w:rPr>
          <w:lang w:val="fr-FR"/>
        </w:rPr>
      </w:r>
    </w:p>
    <w:p>
      <w:pPr>
        <w:pStyle w:val="Titre3"/>
        <w:pageBreakBefore w:val="false"/>
        <w:bidi w:val="0"/>
        <w:spacing w:before="0" w:after="112"/>
        <w:jc w:val="left"/>
        <w:rPr/>
      </w:pPr>
      <w:bookmarkStart w:id="16" w:name="__RefHeading__1276_181712035"/>
      <w:bookmarkEnd w:id="16"/>
      <w:r>
        <w:rPr>
          <w:lang w:val="fr-FR"/>
        </w:rPr>
        <w:t>2.1.2</w:t>
        <w:tab/>
      </w:r>
      <w:bookmarkStart w:id="17" w:name="Bookmark10"/>
      <w:bookmarkEnd w:id="17"/>
      <w:r>
        <w:rPr>
          <w:lang w:val="fr-FR"/>
        </w:rPr>
        <w:t>Décomposition en tranches</w:t>
      </w:r>
    </w:p>
    <w:p>
      <w:pPr>
        <w:pStyle w:val="Standard"/>
        <w:rPr>
          <w:lang w:val="fr-FR"/>
        </w:rPr>
      </w:pPr>
      <w:r>
        <w:rPr>
          <w:lang w:val="fr-FR"/>
        </w:rPr>
        <w:t>L'ensemble des prestations n'est pas subdivisé en tranches.</w:t>
      </w:r>
    </w:p>
    <w:p>
      <w:pPr>
        <w:pStyle w:val="Titre3"/>
        <w:widowControl w:val="false"/>
        <w:numPr>
          <w:ilvl w:val="0"/>
          <w:numId w:val="0"/>
        </w:numPr>
        <w:suppressAutoHyphens w:val="true"/>
        <w:bidi w:val="0"/>
        <w:spacing w:before="283" w:after="113"/>
        <w:ind w:left="0" w:right="0" w:hanging="0"/>
        <w:jc w:val="left"/>
        <w:textAlignment w:val="baseline"/>
        <w:rPr>
          <w:lang w:val="fr-FR"/>
        </w:rPr>
      </w:pPr>
      <w:bookmarkStart w:id="18" w:name="__RefHeading___Toc5756_503095968"/>
      <w:bookmarkEnd w:id="18"/>
      <w:r>
        <w:rPr>
          <w:lang w:val="fr-FR"/>
        </w:rPr>
        <w:t>2.1.3</w:t>
        <w:tab/>
      </w:r>
      <w:bookmarkStart w:id="19" w:name="Bookmark101"/>
      <w:bookmarkEnd w:id="19"/>
      <w:r>
        <w:rPr>
          <w:lang w:val="fr-FR"/>
        </w:rPr>
        <w:t>Décomposition en postes</w:t>
      </w:r>
    </w:p>
    <w:p>
      <w:pPr>
        <w:pStyle w:val="Standard"/>
        <w:keepNext w:val="true"/>
        <w:keepLines/>
        <w:widowControl/>
        <w:numPr>
          <w:ilvl w:val="0"/>
          <w:numId w:val="0"/>
        </w:numPr>
        <w:suppressAutoHyphens w:val="true"/>
        <w:bidi w:val="0"/>
        <w:ind w:left="0" w:right="0" w:hanging="0"/>
        <w:jc w:val="both"/>
        <w:rPr>
          <w:lang w:val="fr-FR"/>
        </w:rPr>
      </w:pPr>
      <w:r>
        <w:rPr>
          <w:lang w:val="fr-FR"/>
        </w:rPr>
        <w:t>L'ensemble des prestations n'est pas subdivisé en postes.</w:t>
      </w:r>
    </w:p>
    <w:p>
      <w:pPr>
        <w:pStyle w:val="Titre2"/>
        <w:keepNext w:val="false"/>
        <w:tabs>
          <w:tab w:val="clear" w:pos="420"/>
          <w:tab w:val="left" w:pos="-1300" w:leader="none"/>
        </w:tabs>
        <w:bidi w:val="0"/>
        <w:jc w:val="left"/>
        <w:rPr>
          <w:lang w:val="fr-FR"/>
        </w:rPr>
      </w:pPr>
      <w:bookmarkStart w:id="20" w:name="__RefHeading___Toc5758_503095968"/>
      <w:bookmarkEnd w:id="20"/>
      <w:r>
        <w:rPr>
          <w:lang w:val="fr-FR"/>
        </w:rPr>
        <w:t>2.2</w:t>
        <w:tab/>
        <w:t>Accords-cadres à bons de commande</w:t>
      </w:r>
    </w:p>
    <w:p>
      <w:pPr>
        <w:pStyle w:val="Standard"/>
        <w:rPr>
          <w:lang w:val="fr-FR"/>
        </w:rPr>
      </w:pPr>
      <w:r>
        <w:rPr>
          <w:lang w:val="fr-FR"/>
        </w:rPr>
        <w:t>Le présent marché est un accord-cadre exécuté par l'émission de bons de commande, en application des articles R2162-1 à 6 et R2162-13 et 14 du Code de la Commande Publique.</w:t>
      </w:r>
    </w:p>
    <w:p>
      <w:pPr>
        <w:pStyle w:val="Standard"/>
        <w:rPr>
          <w:lang w:val="fr-FR"/>
        </w:rPr>
      </w:pPr>
      <w:r>
        <w:rPr>
          <w:lang w:val="fr-FR"/>
        </w:rPr>
      </w:r>
    </w:p>
    <w:p>
      <w:pPr>
        <w:pStyle w:val="Standard"/>
        <w:rPr>
          <w:lang w:val="fr-FR"/>
        </w:rPr>
      </w:pPr>
      <w:r>
        <w:rPr>
          <w:lang w:val="fr-FR"/>
        </w:rPr>
        <w:t>Les bons de commande seront émis dans les conditions et limites suivantes.</w:t>
      </w:r>
    </w:p>
    <w:p>
      <w:pPr>
        <w:pStyle w:val="Standard"/>
        <w:rPr>
          <w:lang w:val="fr-FR"/>
        </w:rPr>
      </w:pPr>
      <w:r>
        <w:rPr>
          <w:lang w:val="fr-FR"/>
        </w:rPr>
      </w:r>
    </w:p>
    <w:p>
      <w:pPr>
        <w:pStyle w:val="Standard"/>
        <w:pageBreakBefore w:val="false"/>
        <w:rPr>
          <w:lang w:val="fr-FR"/>
        </w:rPr>
      </w:pPr>
      <w:r>
        <w:rPr>
          <w:lang w:val="fr-FR"/>
        </w:rPr>
        <w:t>Les valeurs données ci-après sont données par période annuelle :</w:t>
      </w:r>
    </w:p>
    <w:p>
      <w:pPr>
        <w:pStyle w:val="Standard"/>
        <w:keepNext w:val="false"/>
        <w:keepLines w:val="false"/>
        <w:widowControl/>
        <w:suppressAutoHyphens w:val="false"/>
        <w:bidi w:val="0"/>
        <w:jc w:val="left"/>
        <w:rPr>
          <w:lang w:val="fr-FR"/>
        </w:rPr>
      </w:pPr>
      <w:r>
        <w:rPr>
          <w:lang w:val="fr-FR"/>
        </w:rPr>
      </w:r>
    </w:p>
    <w:p>
      <w:pPr>
        <w:pStyle w:val="Standard"/>
        <w:keepNext w:val="false"/>
        <w:keepLines w:val="false"/>
        <w:widowControl/>
        <w:suppressAutoHyphens w:val="false"/>
        <w:bidi w:val="0"/>
        <w:jc w:val="left"/>
        <w:rPr/>
      </w:pPr>
      <w:r>
        <w:rPr>
          <w:sz w:val="21"/>
          <w:szCs w:val="21"/>
          <w:lang w:val="fr-FR"/>
        </w:rPr>
        <w:t>LOT 1</w:t>
        <w:tab/>
        <w:t xml:space="preserve"> </w:t>
        <w:tab/>
        <w:t>Minimum annuel</w:t>
        <w:tab/>
        <w:tab/>
        <w:t xml:space="preserve">  40 000,00 € HT</w:t>
      </w:r>
    </w:p>
    <w:p>
      <w:pPr>
        <w:pStyle w:val="Standard"/>
        <w:keepNext w:val="false"/>
        <w:keepLines w:val="false"/>
        <w:widowControl/>
        <w:suppressAutoHyphens w:val="false"/>
        <w:bidi w:val="0"/>
        <w:jc w:val="left"/>
        <w:rPr/>
      </w:pPr>
      <w:r>
        <w:rPr>
          <w:lang w:val="fr-FR"/>
        </w:rPr>
        <w:tab/>
        <w:tab/>
        <w:tab/>
        <w:t>Maximum annuel</w:t>
        <w:tab/>
        <w:tab/>
        <w:t>300 000,00 € HT</w:t>
      </w:r>
    </w:p>
    <w:p>
      <w:pPr>
        <w:pStyle w:val="Standard"/>
        <w:keepNext w:val="false"/>
        <w:keepLines w:val="false"/>
        <w:widowControl/>
        <w:suppressAutoHyphens w:val="false"/>
        <w:bidi w:val="0"/>
        <w:jc w:val="left"/>
        <w:rPr>
          <w:lang w:val="fr-FR"/>
        </w:rPr>
      </w:pPr>
      <w:r>
        <w:rPr>
          <w:lang w:val="fr-FR"/>
        </w:rPr>
      </w:r>
    </w:p>
    <w:p>
      <w:pPr>
        <w:pStyle w:val="Standard"/>
        <w:keepNext w:val="false"/>
        <w:widowControl/>
        <w:suppressAutoHyphens w:val="false"/>
        <w:bidi w:val="0"/>
        <w:jc w:val="left"/>
        <w:rPr/>
      </w:pPr>
      <w:r>
        <w:rPr>
          <w:lang w:val="fr-FR"/>
        </w:rPr>
        <w:t>LOT 2</w:t>
        <w:tab/>
        <w:tab/>
        <w:t>Minimum annuel</w:t>
        <w:tab/>
        <w:tab/>
        <w:t xml:space="preserve">  20 000,00 € HT</w:t>
      </w:r>
    </w:p>
    <w:p>
      <w:pPr>
        <w:pStyle w:val="Standard"/>
        <w:keepNext w:val="false"/>
        <w:keepLines w:val="false"/>
        <w:widowControl/>
        <w:suppressAutoHyphens w:val="false"/>
        <w:bidi w:val="0"/>
        <w:jc w:val="left"/>
        <w:rPr/>
      </w:pPr>
      <w:r>
        <w:rPr>
          <w:rStyle w:val="Policepardfaut"/>
          <w:rFonts w:cs="Arial"/>
          <w:b w:val="false"/>
          <w:bCs w:val="false"/>
          <w:color w:val="000000"/>
          <w:sz w:val="21"/>
          <w:szCs w:val="21"/>
          <w:lang w:val="fr-FR"/>
        </w:rPr>
        <w:tab/>
        <w:tab/>
        <w:tab/>
        <w:t>Maximum annuel</w:t>
        <w:tab/>
        <w:tab/>
        <w:t>150 000,00 € HT</w:t>
      </w:r>
    </w:p>
    <w:p>
      <w:pPr>
        <w:pStyle w:val="Titre2"/>
        <w:keepNext w:val="false"/>
        <w:tabs>
          <w:tab w:val="clear" w:pos="420"/>
          <w:tab w:val="left" w:pos="-1300" w:leader="none"/>
        </w:tabs>
        <w:bidi w:val="0"/>
        <w:jc w:val="left"/>
        <w:rPr>
          <w:lang w:val="fr-FR"/>
        </w:rPr>
      </w:pPr>
      <w:bookmarkStart w:id="21" w:name="__RefHeading__1280_181712035"/>
      <w:bookmarkEnd w:id="21"/>
      <w:r>
        <w:rPr>
          <w:lang w:val="fr-FR"/>
        </w:rPr>
        <w:t>2.3</w:t>
        <w:tab/>
      </w:r>
      <w:bookmarkStart w:id="22" w:name="Bookmark12"/>
      <w:bookmarkEnd w:id="22"/>
      <w:r>
        <w:rPr>
          <w:lang w:val="fr-FR"/>
        </w:rPr>
        <w:t>Durée de l’accord-cadre</w:t>
      </w:r>
    </w:p>
    <w:p>
      <w:pPr>
        <w:pStyle w:val="Standard"/>
        <w:keepNext w:val="false"/>
        <w:bidi w:val="0"/>
        <w:jc w:val="both"/>
        <w:rPr>
          <w:lang w:val="fr-FR"/>
        </w:rPr>
      </w:pPr>
      <w:r>
        <w:rPr>
          <w:u w:val="none"/>
          <w:lang w:val="fr-FR" w:eastAsia="zxx" w:bidi="zxx"/>
        </w:rPr>
        <w:t xml:space="preserve">Pour chacun des lots, la durée se définit comme </w:t>
      </w:r>
      <w:r>
        <w:rPr>
          <w:lang w:val="fr-FR"/>
        </w:rPr>
        <w:t xml:space="preserve">suit : pour une période initiale de </w:t>
      </w:r>
      <w:r>
        <w:rPr>
          <w:b/>
          <w:bCs/>
          <w:lang w:val="fr-FR"/>
        </w:rPr>
        <w:t>12 mois</w:t>
      </w:r>
      <w:r>
        <w:rPr>
          <w:lang w:val="fr-FR"/>
        </w:rPr>
        <w:t xml:space="preserve"> à compter de sa date de notification au titulaire.</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lang w:val="fr-FR"/>
        </w:rPr>
        <w:t>Chaque accord-cadre est reconductible par période</w:t>
      </w:r>
      <w:r>
        <w:rPr>
          <w:b/>
          <w:lang w:val="fr-FR"/>
        </w:rPr>
        <w:t xml:space="preserve"> 12 mois</w:t>
      </w:r>
      <w:r>
        <w:rPr>
          <w:b w:val="false"/>
          <w:i w:val="false"/>
          <w:u w:val="none"/>
          <w:lang w:val="fr-FR"/>
        </w:rPr>
        <w:t xml:space="preserve">, dans la limite de </w:t>
      </w:r>
      <w:r>
        <w:rPr>
          <w:b/>
          <w:i w:val="false"/>
          <w:u w:val="none"/>
          <w:lang w:val="fr-FR"/>
        </w:rPr>
        <w:t>3</w:t>
      </w:r>
      <w:r>
        <w:rPr>
          <w:b w:val="false"/>
          <w:i w:val="false"/>
          <w:u w:val="none"/>
          <w:lang w:val="fr-FR"/>
        </w:rPr>
        <w:t xml:space="preserve"> reconductions.</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b w:val="false"/>
          <w:i w:val="false"/>
          <w:u w:val="none"/>
          <w:lang w:val="fr-FR"/>
        </w:rPr>
        <w:t xml:space="preserve">La reconduction se fera de manière </w:t>
      </w:r>
      <w:r>
        <w:rPr>
          <w:b/>
          <w:i w:val="false"/>
          <w:u w:val="none"/>
          <w:lang w:val="fr-FR"/>
        </w:rPr>
        <w:t>tacite.</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b w:val="false"/>
          <w:i w:val="false"/>
          <w:u w:val="none"/>
          <w:lang w:val="fr-FR"/>
        </w:rPr>
        <w:t xml:space="preserve">En cas de décision de </w:t>
      </w:r>
      <w:r>
        <w:rPr>
          <w:b/>
          <w:i w:val="false"/>
          <w:u w:val="none"/>
          <w:lang w:val="fr-FR"/>
        </w:rPr>
        <w:t>non</w:t>
      </w:r>
      <w:r>
        <w:rPr>
          <w:b w:val="false"/>
          <w:i w:val="false"/>
          <w:u w:val="none"/>
          <w:lang w:val="fr-FR"/>
        </w:rPr>
        <w:t xml:space="preserve"> reconduction, le représentant du Pouvoir Adjudicateur transmet sa décision au titulaire par lettre recommandée avec accusé de réception au plus tard </w:t>
      </w:r>
      <w:r>
        <w:rPr>
          <w:b/>
          <w:i w:val="false"/>
          <w:u w:val="none"/>
          <w:lang w:val="fr-FR"/>
        </w:rPr>
        <w:t>2 mois</w:t>
      </w:r>
      <w:r>
        <w:rPr>
          <w:b w:val="false"/>
          <w:i w:val="false"/>
          <w:u w:val="none"/>
          <w:lang w:val="fr-FR"/>
        </w:rPr>
        <w:t xml:space="preserve"> avant la fin de la durée de validité de l'accord-cadre.</w:t>
      </w:r>
    </w:p>
    <w:p>
      <w:pPr>
        <w:pStyle w:val="Titre2"/>
        <w:keepNext w:val="false"/>
        <w:tabs>
          <w:tab w:val="clear" w:pos="420"/>
          <w:tab w:val="left" w:pos="-1300" w:leader="none"/>
        </w:tabs>
        <w:bidi w:val="0"/>
        <w:jc w:val="both"/>
        <w:rPr>
          <w:lang w:val="fr-FR"/>
        </w:rPr>
      </w:pPr>
      <w:bookmarkStart w:id="23" w:name="__RefHeading__1282_181712035"/>
      <w:bookmarkEnd w:id="23"/>
      <w:r>
        <w:rPr>
          <w:lang w:val="fr-FR"/>
        </w:rPr>
        <w:t>2.4</w:t>
        <w:tab/>
      </w:r>
      <w:bookmarkStart w:id="24" w:name="Bookmark13"/>
      <w:bookmarkEnd w:id="24"/>
      <w:r>
        <w:rPr>
          <w:lang w:val="fr-FR"/>
        </w:rPr>
        <w:t>Options</w:t>
      </w:r>
    </w:p>
    <w:p>
      <w:pPr>
        <w:pStyle w:val="Standard"/>
        <w:keepNext w:val="false"/>
        <w:bidi w:val="0"/>
        <w:jc w:val="left"/>
        <w:rPr>
          <w:lang w:val="fr-FR"/>
        </w:rPr>
      </w:pPr>
      <w:r>
        <w:rPr>
          <w:lang w:val="fr-FR"/>
        </w:rPr>
        <w:t>Prestations supplémentaires éventuelles (PSE)</w:t>
      </w:r>
    </w:p>
    <w:p>
      <w:pPr>
        <w:pStyle w:val="Standard"/>
        <w:keepNext w:val="false"/>
        <w:bidi w:val="0"/>
        <w:jc w:val="left"/>
        <w:rPr>
          <w:lang w:val="fr-FR"/>
        </w:rPr>
      </w:pPr>
      <w:r>
        <w:rPr>
          <w:lang w:val="fr-FR"/>
        </w:rPr>
      </w:r>
    </w:p>
    <w:p>
      <w:pPr>
        <w:pStyle w:val="Standard"/>
        <w:keepNext w:val="false"/>
        <w:bidi w:val="0"/>
        <w:jc w:val="left"/>
        <w:rPr/>
      </w:pPr>
      <w:r>
        <w:rPr>
          <w:lang w:val="fr-FR"/>
        </w:rPr>
        <w:t xml:space="preserve">La présente consultation n'impose pas de prestations supplémentaires éventuelles. </w:t>
      </w:r>
    </w:p>
    <w:p>
      <w:pPr>
        <w:pStyle w:val="Titre2"/>
        <w:pageBreakBefore w:val="false"/>
        <w:widowControl w:val="false"/>
        <w:numPr>
          <w:ilvl w:val="0"/>
          <w:numId w:val="0"/>
        </w:numPr>
        <w:suppressAutoHyphens w:val="true"/>
        <w:bidi w:val="0"/>
        <w:spacing w:before="283" w:after="170"/>
        <w:ind w:left="283" w:right="0" w:hanging="0"/>
        <w:jc w:val="left"/>
        <w:textAlignment w:val="baseline"/>
        <w:rPr/>
      </w:pPr>
      <w:bookmarkStart w:id="25" w:name="__RefHeading__1284_181712035"/>
      <w:bookmarkEnd w:id="25"/>
      <w:r>
        <w:rPr>
          <w:lang w:val="fr-FR"/>
        </w:rPr>
        <w:t>2.5</w:t>
        <w:tab/>
      </w:r>
      <w:bookmarkStart w:id="26" w:name="Bookmark14"/>
      <w:bookmarkEnd w:id="26"/>
      <w:r>
        <w:rPr>
          <w:lang w:val="fr-FR"/>
        </w:rPr>
        <w:t>Clause obligatoire d’insertion par l’activité économique</w:t>
      </w:r>
    </w:p>
    <w:p>
      <w:pPr>
        <w:pStyle w:val="Normal"/>
        <w:keepNext w:val="false"/>
        <w:keepLines w:val="false"/>
        <w:widowControl/>
        <w:suppressAutoHyphens w:val="false"/>
        <w:bidi w:val="0"/>
        <w:jc w:val="both"/>
        <w:rPr>
          <w:lang w:val="fr-FR"/>
        </w:rPr>
      </w:pPr>
      <w:r>
        <w:rPr>
          <w:rFonts w:eastAsia="Times New Roman" w:ascii="Arial" w:hAnsi="Arial"/>
          <w:b w:val="false"/>
          <w:bCs w:val="false"/>
          <w:i w:val="false"/>
          <w:sz w:val="21"/>
          <w:szCs w:val="21"/>
          <w:u w:val="none"/>
          <w:lang w:val="fr-FR"/>
        </w:rPr>
        <w:t>Les prestations ne prévoient pas la mise en place d'une clause obligatoire d'insertion par l'activité économique.</w:t>
      </w:r>
      <w:r>
        <w:rPr>
          <w:rFonts w:eastAsia="Times New Roman" w:ascii="Arial" w:hAnsi="Arial"/>
          <w:b w:val="false"/>
          <w:i w:val="false"/>
          <w:sz w:val="21"/>
          <w:szCs w:val="21"/>
          <w:u w:val="none"/>
          <w:lang w:val="fr-FR"/>
        </w:rPr>
        <w:t xml:space="preserve"> </w:t>
      </w:r>
    </w:p>
    <w:p>
      <w:pPr>
        <w:pStyle w:val="Titre2"/>
        <w:bidi w:val="0"/>
        <w:spacing w:before="250" w:after="172"/>
        <w:rPr/>
      </w:pPr>
      <w:bookmarkStart w:id="27" w:name="__RefHeading__1286_181712035"/>
      <w:bookmarkEnd w:id="27"/>
      <w:r>
        <w:rPr>
          <w:lang w:val="fr-FR"/>
        </w:rPr>
        <w:t>2.6</w:t>
        <w:tab/>
      </w:r>
      <w:bookmarkStart w:id="28" w:name="Bookmark15"/>
      <w:bookmarkEnd w:id="28"/>
      <w:r>
        <w:rPr>
          <w:lang w:val="fr-FR"/>
        </w:rPr>
        <w:t>Groupements d’opérateurs économiques</w:t>
      </w:r>
    </w:p>
    <w:p>
      <w:pPr>
        <w:pStyle w:val="Standard"/>
        <w:keepNext w:val="false"/>
        <w:keepLines w:val="false"/>
        <w:bidi w:val="0"/>
        <w:jc w:val="both"/>
        <w:rPr>
          <w:lang w:val="fr-FR"/>
        </w:rPr>
      </w:pPr>
      <w:r>
        <w:rPr>
          <w:lang w:val="fr-FR"/>
        </w:rPr>
        <w:t>Les opérateurs économiques peuvent se porter candidats individuellement ou sous forme de groupement solidaire ou de groupement conjoint.</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lang w:val="fr-FR"/>
        </w:rPr>
        <w:t>Ils ne peuvent modifier la composition de leur groupement entre la date de remise des candidatures et la date de signature du marché. L‘entreprise mandataire d‘un groupement ne pourra représenter, en cette qualité, plus d‘un groupement pour un même marché.</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lang w:val="fr-FR"/>
        </w:rPr>
        <w:t>Forme juridique que devra revêtir le groupement attributaire :</w:t>
      </w:r>
    </w:p>
    <w:p>
      <w:pPr>
        <w:pStyle w:val="Standard"/>
        <w:keepNext w:val="false"/>
        <w:keepLines w:val="false"/>
        <w:bidi w:val="0"/>
        <w:jc w:val="both"/>
        <w:rPr/>
      </w:pPr>
      <w:r>
        <w:rPr>
          <w:lang w:val="fr-FR"/>
        </w:rPr>
        <w:t>Aucune forme de groupement, conjoint ou solidaire, n‘est exigée après attribution du marché.</w:t>
      </w:r>
    </w:p>
    <w:p>
      <w:pPr>
        <w:pStyle w:val="Titre2"/>
        <w:keepNext w:val="false"/>
        <w:tabs>
          <w:tab w:val="clear" w:pos="420"/>
          <w:tab w:val="left" w:pos="-1300" w:leader="none"/>
        </w:tabs>
        <w:bidi w:val="0"/>
        <w:spacing w:before="250" w:after="172"/>
        <w:jc w:val="left"/>
        <w:rPr/>
      </w:pPr>
      <w:bookmarkStart w:id="29" w:name="__RefHeading__1288_181712035"/>
      <w:bookmarkEnd w:id="29"/>
      <w:r>
        <w:rPr>
          <w:lang w:val="fr-FR"/>
        </w:rPr>
        <w:t>2.7</w:t>
        <w:tab/>
      </w:r>
      <w:bookmarkStart w:id="30" w:name="Bookmark16"/>
      <w:bookmarkEnd w:id="30"/>
      <w:r>
        <w:rPr>
          <w:lang w:val="fr-FR"/>
        </w:rPr>
        <w:t>Conditions relatives à l’accord-cadre</w:t>
      </w:r>
    </w:p>
    <w:p>
      <w:pPr>
        <w:pStyle w:val="Titre3"/>
        <w:keepNext w:val="false"/>
        <w:bidi w:val="0"/>
        <w:spacing w:before="250" w:after="112"/>
        <w:jc w:val="left"/>
        <w:rPr/>
      </w:pPr>
      <w:bookmarkStart w:id="31" w:name="__RefHeading__1290_181712035"/>
      <w:bookmarkEnd w:id="31"/>
      <w:r>
        <w:rPr>
          <w:lang w:val="fr-FR"/>
        </w:rPr>
        <w:t>2.7.1</w:t>
        <w:tab/>
      </w:r>
      <w:bookmarkStart w:id="32" w:name="Bookmark17"/>
      <w:bookmarkEnd w:id="32"/>
      <w:r>
        <w:rPr>
          <w:lang w:val="fr-FR"/>
        </w:rPr>
        <w:t>Cautionnement et garanties exigées</w:t>
      </w:r>
    </w:p>
    <w:p>
      <w:pPr>
        <w:pStyle w:val="Standard"/>
        <w:keepNext w:val="false"/>
        <w:keepLines w:val="false"/>
        <w:widowControl/>
        <w:suppressAutoHyphens w:val="false"/>
        <w:bidi w:val="0"/>
        <w:jc w:val="both"/>
        <w:rPr/>
      </w:pPr>
      <w:r>
        <w:rPr>
          <w:lang w:val="fr-FR"/>
        </w:rPr>
        <w:t>Retenue de garantie dans les conditions prévues aux articles R2191-32 à 42 du Code de la commande publique.</w:t>
      </w:r>
    </w:p>
    <w:p>
      <w:pPr>
        <w:pStyle w:val="Titre3"/>
        <w:keepNext w:val="false"/>
        <w:bidi w:val="0"/>
        <w:jc w:val="left"/>
        <w:rPr>
          <w:lang w:val="fr-FR"/>
        </w:rPr>
      </w:pPr>
      <w:bookmarkStart w:id="33" w:name="__RefHeading__1292_181712035"/>
      <w:bookmarkEnd w:id="33"/>
      <w:r>
        <w:rPr>
          <w:lang w:val="fr-FR"/>
        </w:rPr>
        <w:t>2.7.2</w:t>
        <w:tab/>
      </w:r>
      <w:bookmarkStart w:id="34" w:name="Bookmark18"/>
      <w:bookmarkEnd w:id="34"/>
      <w:r>
        <w:rPr>
          <w:lang w:val="fr-FR"/>
        </w:rPr>
        <w:t>Modalités essentielles de financement et de paiement</w:t>
      </w:r>
    </w:p>
    <w:p>
      <w:pPr>
        <w:pStyle w:val="Standard"/>
        <w:keepNext w:val="false"/>
        <w:bidi w:val="0"/>
        <w:jc w:val="both"/>
        <w:rPr>
          <w:lang w:val="fr-FR"/>
        </w:rPr>
      </w:pPr>
      <w:r>
        <w:rPr>
          <w:lang w:val="fr-FR"/>
        </w:rPr>
        <w:t>Le marché est financé par ressources budgétaires propres.</w:t>
      </w:r>
    </w:p>
    <w:p>
      <w:pPr>
        <w:pStyle w:val="Standard"/>
        <w:keepNext w:val="false"/>
        <w:bidi w:val="0"/>
        <w:jc w:val="both"/>
        <w:rPr>
          <w:lang w:val="fr-FR"/>
        </w:rPr>
      </w:pPr>
      <w:r>
        <w:rPr>
          <w:lang w:val="fr-FR"/>
        </w:rPr>
        <w:t>Les règlements seront effectués par virement bancaire dans un délai de 30 jours.</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La référence du ou des comptes bancaires où les paiements devront être effectués, doit être précisée dans l'acte d'engagement.</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 marché est conclu à prix unitaires.</w:t>
      </w:r>
    </w:p>
    <w:p>
      <w:pPr>
        <w:pStyle w:val="Standard"/>
        <w:keepNext w:val="false"/>
        <w:keepLines w:val="false"/>
        <w:widowControl/>
        <w:suppressAutoHyphens w:val="false"/>
        <w:bidi w:val="0"/>
        <w:jc w:val="both"/>
        <w:rPr>
          <w:lang w:val="fr-FR"/>
        </w:rPr>
      </w:pPr>
      <w:r>
        <w:rPr>
          <w:lang w:val="fr-FR"/>
        </w:rPr>
        <w:t>Le marché est conclu à prix révisables.</w:t>
      </w:r>
    </w:p>
    <w:p>
      <w:pPr>
        <w:pStyle w:val="Titre1"/>
        <w:keepNext w:val="false"/>
        <w:shd w:val="clear" w:fill="CCCCCC"/>
        <w:bidi w:val="0"/>
        <w:spacing w:before="468" w:after="284"/>
        <w:ind w:left="0" w:hanging="0"/>
        <w:jc w:val="left"/>
        <w:rPr/>
      </w:pPr>
      <w:bookmarkStart w:id="35" w:name="__RefHeading__1294_181712035"/>
      <w:bookmarkStart w:id="36" w:name="Bookmark19"/>
      <w:bookmarkEnd w:id="35"/>
      <w:bookmarkEnd w:id="36"/>
      <w:r>
        <w:rPr>
          <w:lang w:val="fr-FR"/>
        </w:rPr>
        <w:t>Article 3 - DOSSIER DE CONSULTATION DES ENTREPRISES (DCE)</w:t>
      </w:r>
    </w:p>
    <w:p>
      <w:pPr>
        <w:pStyle w:val="Standard"/>
        <w:keepNext w:val="false"/>
        <w:bidi w:val="0"/>
        <w:jc w:val="both"/>
        <w:rPr>
          <w:lang w:val="fr-FR"/>
        </w:rPr>
      </w:pPr>
      <w:r>
        <w:rPr>
          <w:lang w:val="fr-FR"/>
        </w:rPr>
        <w:t>Le Dossier de Consultation des Entreprises (DCE) est remis gratuitement à chaque candidat. Il est disponible à l'adresse électronique suivante : marchespublics.mairie-marseille.fr</w:t>
      </w:r>
    </w:p>
    <w:p>
      <w:pPr>
        <w:pStyle w:val="Standard"/>
        <w:keepNext w:val="false"/>
        <w:bidi w:val="0"/>
        <w:jc w:val="left"/>
        <w:rPr>
          <w:lang w:val="fr-FR"/>
        </w:rPr>
      </w:pPr>
      <w:r>
        <w:rPr>
          <w:lang w:val="fr-FR"/>
        </w:rPr>
      </w:r>
    </w:p>
    <w:p>
      <w:pPr>
        <w:pStyle w:val="Standard"/>
        <w:keepNext w:val="false"/>
        <w:keepLines w:val="false"/>
        <w:widowControl/>
        <w:suppressAutoHyphens w:val="false"/>
        <w:bidi w:val="0"/>
        <w:jc w:val="left"/>
        <w:rPr>
          <w:lang w:val="fr-FR"/>
        </w:rPr>
      </w:pPr>
      <w:r>
        <w:rPr>
          <w:lang w:val="fr-FR"/>
        </w:rPr>
        <w:t>Il ne sera transmis aucun DCE sur support physique.</w:t>
      </w:r>
    </w:p>
    <w:p>
      <w:pPr>
        <w:pStyle w:val="Standard"/>
        <w:keepNext w:val="false"/>
        <w:keepLines w:val="false"/>
        <w:widowControl/>
        <w:suppressAutoHyphens w:val="false"/>
        <w:bidi w:val="0"/>
        <w:jc w:val="left"/>
        <w:rPr>
          <w:color w:val="000000"/>
          <w:lang w:val="fr-FR"/>
        </w:rPr>
      </w:pPr>
      <w:r>
        <w:rPr>
          <w:color w:val="000000"/>
          <w:lang w:val="fr-FR"/>
        </w:rPr>
      </w:r>
    </w:p>
    <w:p>
      <w:pPr>
        <w:pStyle w:val="Standard"/>
        <w:keepNext w:val="false"/>
        <w:keepLines w:val="false"/>
        <w:widowControl/>
        <w:suppressAutoHyphens w:val="false"/>
        <w:bidi w:val="0"/>
        <w:jc w:val="both"/>
        <w:rPr>
          <w:lang w:val="fr-FR"/>
        </w:rPr>
      </w:pPr>
      <w:r>
        <w:rPr>
          <w:lang w:val="fr-FR"/>
        </w:rPr>
        <w:t>Le DCE comporte les documents suivants :</w:t>
      </w:r>
    </w:p>
    <w:p>
      <w:pPr>
        <w:pStyle w:val="Standard"/>
        <w:keepNext w:val="false"/>
        <w:keepLines w:val="false"/>
        <w:widowControl/>
        <w:suppressAutoHyphens w:val="false"/>
        <w:bidi w:val="0"/>
        <w:jc w:val="both"/>
        <w:rPr>
          <w:lang w:val="fr-FR"/>
        </w:rPr>
      </w:pPr>
      <w:r>
        <w:rPr>
          <w:lang w:val="fr-FR"/>
        </w:rPr>
      </w:r>
    </w:p>
    <w:p>
      <w:pPr>
        <w:pStyle w:val="Standard"/>
        <w:keepNext w:val="false"/>
        <w:keepLines w:val="false"/>
        <w:widowControl/>
        <w:suppressAutoHyphens w:val="false"/>
        <w:bidi w:val="0"/>
        <w:jc w:val="both"/>
        <w:rPr>
          <w:lang w:val="fr-FR"/>
        </w:rPr>
      </w:pPr>
      <w:r>
        <w:rPr>
          <w:lang w:val="fr-FR"/>
        </w:rPr>
        <w:t>- le présent Règlement de la Consultation (RC) et ses annexes (DC1, DC2, Guide de la dématérialisation des marchés publics)</w:t>
      </w:r>
    </w:p>
    <w:p>
      <w:pPr>
        <w:pStyle w:val="Standard"/>
        <w:keepNext w:val="false"/>
        <w:keepLines w:val="false"/>
        <w:widowControl/>
        <w:suppressAutoHyphens w:val="false"/>
        <w:bidi w:val="0"/>
        <w:jc w:val="both"/>
        <w:rPr>
          <w:lang w:val="fr-FR"/>
        </w:rPr>
      </w:pPr>
      <w:r>
        <w:rPr>
          <w:lang w:val="fr-FR"/>
        </w:rPr>
        <w:t>- L'Acte d'Engagement (AE) de chaque lot</w:t>
      </w:r>
    </w:p>
    <w:p>
      <w:pPr>
        <w:pStyle w:val="Standard"/>
        <w:keepNext w:val="false"/>
        <w:keepLines w:val="false"/>
        <w:widowControl/>
        <w:suppressAutoHyphens w:val="false"/>
        <w:bidi w:val="0"/>
        <w:jc w:val="both"/>
        <w:rPr>
          <w:lang w:val="fr-FR"/>
        </w:rPr>
      </w:pPr>
      <w:r>
        <w:rPr>
          <w:lang w:val="fr-FR"/>
        </w:rPr>
        <w:t>- Le Bordereau de Prix Unitaires (BPU) de chaque lot</w:t>
      </w:r>
    </w:p>
    <w:p>
      <w:pPr>
        <w:pStyle w:val="Standard"/>
        <w:keepNext w:val="false"/>
        <w:keepLines w:val="false"/>
        <w:widowControl/>
        <w:suppressAutoHyphens w:val="false"/>
        <w:bidi w:val="0"/>
        <w:jc w:val="both"/>
        <w:rPr>
          <w:lang w:val="fr-FR"/>
        </w:rPr>
      </w:pPr>
      <w:r>
        <w:rPr>
          <w:lang w:val="fr-FR"/>
        </w:rPr>
        <w:t xml:space="preserve">- le Détail Quantitatif et Estimatif (DQE) de chaque lot </w:t>
      </w:r>
      <w:r>
        <w:rPr>
          <w:lang w:val="fr-FR"/>
        </w:rPr>
        <w:t>relatif au chantier type</w:t>
      </w:r>
    </w:p>
    <w:p>
      <w:pPr>
        <w:pStyle w:val="Standard"/>
        <w:keepNext w:val="false"/>
        <w:keepLines w:val="false"/>
        <w:widowControl/>
        <w:suppressAutoHyphens w:val="false"/>
        <w:bidi w:val="0"/>
        <w:jc w:val="both"/>
        <w:rPr>
          <w:lang w:val="fr-FR"/>
        </w:rPr>
      </w:pPr>
      <w:r>
        <w:rPr>
          <w:lang w:val="fr-FR"/>
        </w:rPr>
        <w:t>- le Cahier des Clauses Administratives Particulières (CCAP) commun à tous les lots</w:t>
      </w:r>
    </w:p>
    <w:p>
      <w:pPr>
        <w:pStyle w:val="Standard"/>
        <w:keepNext w:val="false"/>
        <w:keepLines w:val="false"/>
        <w:widowControl/>
        <w:suppressAutoHyphens w:val="false"/>
        <w:bidi w:val="0"/>
        <w:jc w:val="both"/>
        <w:rPr/>
      </w:pPr>
      <w:r>
        <w:rPr>
          <w:lang w:val="fr-FR"/>
        </w:rPr>
        <w:t>- le Cahier des Clauses Techniques Particulières (CCTP) commun à tous les lots et ses 2 annexes (cahier de croquis, plan de prévention)</w:t>
      </w:r>
    </w:p>
    <w:p>
      <w:pPr>
        <w:pStyle w:val="Standard"/>
        <w:keepNext w:val="false"/>
        <w:widowControl/>
        <w:suppressAutoHyphens w:val="false"/>
        <w:bidi w:val="0"/>
        <w:jc w:val="both"/>
        <w:rPr/>
      </w:pPr>
      <w:r>
        <w:rPr>
          <w:lang w:val="fr-FR"/>
        </w:rPr>
        <w:t>- le cadre de réponse technique</w:t>
      </w:r>
    </w:p>
    <w:p>
      <w:pPr>
        <w:pStyle w:val="Titre1"/>
        <w:keepNext w:val="false"/>
        <w:shd w:val="clear" w:fill="CCCCCC"/>
        <w:tabs>
          <w:tab w:val="left" w:pos="13610" w:leader="none"/>
          <w:tab w:val="left" w:pos="14451" w:leader="none"/>
          <w:tab w:val="left" w:pos="19978" w:leader="none"/>
        </w:tabs>
        <w:bidi w:val="0"/>
        <w:ind w:left="0" w:hanging="0"/>
        <w:jc w:val="left"/>
        <w:rPr>
          <w:lang w:val="fr-FR"/>
        </w:rPr>
      </w:pPr>
      <w:bookmarkStart w:id="37" w:name="__RefHeading__1296_181712035"/>
      <w:bookmarkStart w:id="38" w:name="Bookmark20"/>
      <w:bookmarkEnd w:id="37"/>
      <w:bookmarkEnd w:id="38"/>
      <w:r>
        <w:rPr>
          <w:lang w:val="fr-FR"/>
        </w:rPr>
        <w:t>Article 4 – ELEMENTS EXIGES DU CANDIDAT</w:t>
      </w:r>
    </w:p>
    <w:p>
      <w:pPr>
        <w:pStyle w:val="Normal"/>
        <w:keepNext w:val="false"/>
        <w:keepLines/>
        <w:bidi w:val="0"/>
        <w:spacing w:before="0" w:after="0"/>
        <w:ind w:left="0" w:right="0" w:hanging="0"/>
        <w:jc w:val="both"/>
        <w:textAlignment w:val="center"/>
        <w:rPr/>
      </w:pPr>
      <w:r>
        <w:rPr>
          <w:rFonts w:ascii="Arial" w:hAnsi="Arial"/>
          <w:b w:val="false"/>
          <w:bCs w:val="false"/>
          <w:i w:val="false"/>
          <w:sz w:val="21"/>
          <w:u w:val="none"/>
          <w:lang w:val="fr-FR" w:eastAsia="zxx" w:bidi="zxx"/>
        </w:rPr>
        <w:t>Tous les documents, pièces et attestations remis au titre de la candidature ou de l'offre par le candidat sont établis en langue française et exprimées en EURO. A défaut, ils doivent être accompagnés d'une traduction en langue français.</w:t>
      </w:r>
    </w:p>
    <w:p>
      <w:pPr>
        <w:pStyle w:val="Titre2"/>
        <w:keepNext w:val="false"/>
        <w:tabs>
          <w:tab w:val="clear" w:pos="420"/>
          <w:tab w:val="left" w:pos="-1300" w:leader="none"/>
        </w:tabs>
        <w:bidi w:val="0"/>
        <w:jc w:val="left"/>
        <w:rPr/>
      </w:pPr>
      <w:bookmarkStart w:id="39" w:name="__RefHeading___Toc6190_3170865062"/>
      <w:bookmarkEnd w:id="39"/>
      <w:r>
        <w:rPr>
          <w:lang w:val="fr-FR"/>
        </w:rPr>
        <w:t>4.1</w:t>
        <w:tab/>
        <w:t>Renseignements et documents demandés à l’appui des candidatures</w:t>
      </w:r>
    </w:p>
    <w:p>
      <w:pPr>
        <w:pStyle w:val="Standard"/>
        <w:keepNext w:val="false"/>
        <w:bidi w:val="0"/>
        <w:jc w:val="left"/>
        <w:rPr>
          <w:lang w:val="fr-FR"/>
        </w:rPr>
      </w:pPr>
      <w:r>
        <w:rPr>
          <w:lang w:val="fr-FR"/>
        </w:rPr>
        <w:t>Pour présenter leur candidature, le(s)s candidat(s)s peuvent utiliser soit :</w:t>
      </w:r>
    </w:p>
    <w:p>
      <w:pPr>
        <w:pStyle w:val="Standard"/>
        <w:keepNext w:val="false"/>
        <w:bidi w:val="0"/>
        <w:jc w:val="left"/>
        <w:rPr>
          <w:lang w:val="fr-FR"/>
        </w:rPr>
      </w:pPr>
      <w:r>
        <w:rPr>
          <w:lang w:val="fr-FR"/>
        </w:rPr>
      </w:r>
    </w:p>
    <w:p>
      <w:pPr>
        <w:pStyle w:val="Standard"/>
        <w:keepNext w:val="false"/>
        <w:bidi w:val="0"/>
        <w:jc w:val="left"/>
        <w:rPr>
          <w:lang w:val="fr-FR"/>
        </w:rPr>
      </w:pPr>
      <w:r>
        <w:rPr>
          <w:lang w:val="fr-FR"/>
        </w:rPr>
        <w:t>- les formulaires DC1 (lettre de candidature) et DC2 (déclaration du candidat) ;</w:t>
      </w:r>
    </w:p>
    <w:p>
      <w:pPr>
        <w:pStyle w:val="Standard"/>
        <w:keepNext w:val="false"/>
        <w:bidi w:val="0"/>
        <w:jc w:val="left"/>
        <w:rPr>
          <w:lang w:val="fr-FR"/>
        </w:rPr>
      </w:pPr>
      <w:r>
        <w:rPr>
          <w:lang w:val="fr-FR"/>
        </w:rPr>
        <w:t>- le DUME (Document Unique de Marché Européen).</w:t>
      </w:r>
    </w:p>
    <w:p>
      <w:pPr>
        <w:pStyle w:val="Standard"/>
        <w:keepNext w:val="false"/>
        <w:bidi w:val="0"/>
        <w:jc w:val="left"/>
        <w:rPr>
          <w:lang w:val="fr-FR"/>
        </w:rPr>
      </w:pPr>
      <w:r>
        <w:rPr>
          <w:lang w:val="fr-FR"/>
        </w:rPr>
      </w:r>
    </w:p>
    <w:p>
      <w:pPr>
        <w:pStyle w:val="Standard"/>
        <w:keepNext w:val="false"/>
        <w:bidi w:val="0"/>
        <w:jc w:val="left"/>
        <w:rPr>
          <w:lang w:val="fr-FR"/>
        </w:rPr>
      </w:pPr>
      <w:r>
        <w:rPr>
          <w:lang w:val="fr-FR"/>
        </w:rPr>
        <w:t>Les informations concernant ces supports sont détaillées dans l'annexe n°1 au présent RC relative au Guide de la dématérialisation des marchés publics.</w:t>
      </w:r>
    </w:p>
    <w:p>
      <w:pPr>
        <w:pStyle w:val="Standard"/>
        <w:keepNext w:val="false"/>
        <w:bidi w:val="0"/>
        <w:jc w:val="left"/>
        <w:rPr>
          <w:lang w:val="fr-FR"/>
        </w:rPr>
      </w:pPr>
      <w:r>
        <w:rPr>
          <w:lang w:val="fr-FR"/>
        </w:rPr>
      </w:r>
    </w:p>
    <w:p>
      <w:pPr>
        <w:pStyle w:val="Standard"/>
        <w:keepNext w:val="false"/>
        <w:bidi w:val="0"/>
        <w:jc w:val="left"/>
        <w:rPr>
          <w:lang w:val="fr-FR"/>
        </w:rPr>
      </w:pPr>
      <w:r>
        <w:rPr>
          <w:lang w:val="fr-FR"/>
        </w:rPr>
        <w:t>Chaque candidat doit produire un dossier complet comprenant les pièces décrites ci-après.</w:t>
      </w:r>
    </w:p>
    <w:p>
      <w:pPr>
        <w:pStyle w:val="Standard"/>
        <w:keepNext w:val="false"/>
        <w:keepLines w:val="false"/>
        <w:bidi w:val="0"/>
        <w:jc w:val="left"/>
        <w:rPr>
          <w:lang w:val="fr-FR"/>
        </w:rPr>
      </w:pPr>
      <w:r>
        <w:rPr>
          <w:lang w:val="fr-FR"/>
        </w:rPr>
      </w:r>
    </w:p>
    <w:p>
      <w:pPr>
        <w:pStyle w:val="Standard"/>
        <w:rPr>
          <w:b/>
          <w:b/>
          <w:bCs/>
        </w:rPr>
      </w:pPr>
      <w:r>
        <w:rPr>
          <w:b/>
          <w:bCs/>
          <w:lang w:val="fr-FR"/>
        </w:rPr>
        <w:t>1° - Renseignements concernant la situation juridique du candidat</w:t>
      </w:r>
    </w:p>
    <w:p>
      <w:pPr>
        <w:pStyle w:val="Standard"/>
        <w:rPr>
          <w:lang w:val="fr-FR"/>
        </w:rPr>
      </w:pPr>
      <w:r>
        <w:rPr>
          <w:lang w:val="fr-FR"/>
        </w:rPr>
      </w:r>
    </w:p>
    <w:p>
      <w:pPr>
        <w:pStyle w:val="Standard"/>
        <w:rPr>
          <w:lang w:val="fr-FR"/>
        </w:rPr>
      </w:pPr>
      <w:r>
        <w:rPr>
          <w:lang w:val="fr-FR"/>
        </w:rPr>
        <w:t>Lettre de candidature dûment remplie et comprenant la déclaration sur l'honneur justifiant qu'il n'entre dans aucun des cas d'interdiction de soumissionner obligatoires prévus aux articles L2141-1 à 11 du Code de la Commande Publique.</w:t>
      </w:r>
    </w:p>
    <w:p>
      <w:pPr>
        <w:pStyle w:val="Standard"/>
        <w:rPr>
          <w:lang w:val="fr-FR"/>
        </w:rPr>
      </w:pPr>
      <w:r>
        <w:rPr>
          <w:lang w:val="fr-FR"/>
        </w:rPr>
      </w:r>
    </w:p>
    <w:p>
      <w:pPr>
        <w:pStyle w:val="Standard"/>
        <w:rPr>
          <w:lang w:val="fr-FR"/>
        </w:rPr>
      </w:pPr>
      <w:r>
        <w:rPr>
          <w:lang w:val="fr-FR"/>
        </w:rPr>
        <w:t>Le cas échéant, en cas de redressement judiciaire, la copie du ou des jugements prononcés à cet effet justifiant que le candidat a bien été habilité à poursuivre son activité pendant la durée prévisible d'exécution du marché.</w:t>
      </w:r>
    </w:p>
    <w:p>
      <w:pPr>
        <w:pStyle w:val="Standard"/>
        <w:rPr>
          <w:lang w:val="fr-FR"/>
        </w:rPr>
      </w:pPr>
      <w:r>
        <w:rPr>
          <w:lang w:val="fr-FR"/>
        </w:rPr>
      </w:r>
    </w:p>
    <w:p>
      <w:pPr>
        <w:pStyle w:val="Standard"/>
        <w:rPr>
          <w:b/>
          <w:b/>
          <w:bCs/>
        </w:rPr>
      </w:pPr>
      <w:r>
        <w:rPr>
          <w:b/>
          <w:bCs/>
          <w:lang w:val="fr-FR"/>
        </w:rPr>
        <w:t>2° - Renseignements concernant la capacité économique et financière de l'entreprise</w:t>
      </w:r>
    </w:p>
    <w:p>
      <w:pPr>
        <w:pStyle w:val="Standard"/>
        <w:keepNext w:val="false"/>
        <w:bidi w:val="0"/>
        <w:jc w:val="left"/>
        <w:rPr>
          <w:lang w:val="fr-FR"/>
        </w:rPr>
      </w:pPr>
      <w:r>
        <w:rPr>
          <w:lang w:val="fr-FR"/>
        </w:rPr>
      </w:r>
    </w:p>
    <w:p>
      <w:pPr>
        <w:pStyle w:val="Standard"/>
        <w:jc w:val="both"/>
        <w:rPr>
          <w:lang w:val="fr-FR"/>
        </w:rPr>
      </w:pPr>
      <w:r>
        <w:rPr>
          <w:lang w:val="fr-FR"/>
        </w:rPr>
        <w:t xml:space="preserve">- déclaration concernant le </w:t>
      </w:r>
      <w:r>
        <w:rPr>
          <w:u w:val="single"/>
          <w:lang w:val="fr-FR"/>
        </w:rPr>
        <w:t>chiffre d'affaires</w:t>
      </w:r>
      <w:r>
        <w:rPr>
          <w:lang w:val="fr-FR"/>
        </w:rPr>
        <w:t xml:space="preserve"> global et le chiffre d'affaires du domaine d'activité faisant l'objet du marché, réalisés au cours des trois derniers exercices disponibles.</w:t>
      </w:r>
    </w:p>
    <w:p>
      <w:pPr>
        <w:pStyle w:val="Standard"/>
        <w:jc w:val="both"/>
        <w:rPr>
          <w:lang w:val="fr-FR"/>
        </w:rPr>
      </w:pPr>
      <w:r>
        <w:rPr>
          <w:lang w:val="fr-FR"/>
        </w:rPr>
      </w:r>
    </w:p>
    <w:p>
      <w:pPr>
        <w:pStyle w:val="Standard"/>
        <w:jc w:val="both"/>
        <w:rPr>
          <w:lang w:val="fr-FR"/>
        </w:rPr>
      </w:pPr>
      <w:r>
        <w:rPr>
          <w:lang w:val="fr-FR"/>
        </w:rPr>
        <w:t xml:space="preserve">Les entreprises nouvellement créées ne pouvant produire les </w:t>
      </w:r>
      <w:r>
        <w:rPr>
          <w:u w:val="single"/>
          <w:lang w:val="fr-FR"/>
        </w:rPr>
        <w:t>chiffres d'affaires</w:t>
      </w:r>
      <w:r>
        <w:rPr>
          <w:lang w:val="fr-FR"/>
        </w:rPr>
        <w:t xml:space="preserve"> des trois derniers exercices devront fournir :</w:t>
      </w:r>
    </w:p>
    <w:p>
      <w:pPr>
        <w:pStyle w:val="Standard"/>
        <w:jc w:val="both"/>
        <w:rPr>
          <w:lang w:val="fr-FR"/>
        </w:rPr>
      </w:pPr>
      <w:r>
        <w:rPr>
          <w:lang w:val="fr-FR"/>
        </w:rPr>
        <w:t>- une copie certifiée du récépissé de dépôt du centre de formalités des entreprises (pour vérifier la date de création de l'entreprise),</w:t>
      </w:r>
    </w:p>
    <w:p>
      <w:pPr>
        <w:pStyle w:val="Standard"/>
        <w:jc w:val="both"/>
        <w:rPr>
          <w:lang w:val="fr-FR"/>
        </w:rPr>
      </w:pPr>
      <w:r>
        <w:rPr>
          <w:lang w:val="fr-FR"/>
        </w:rPr>
        <w:t>- le montant de leur capital social (pour justifier de leurs capacités économiques et financières).</w:t>
      </w:r>
    </w:p>
    <w:p>
      <w:pPr>
        <w:pStyle w:val="Standard"/>
        <w:jc w:val="both"/>
        <w:rPr>
          <w:lang w:val="fr-FR"/>
        </w:rPr>
      </w:pPr>
      <w:r>
        <w:rPr>
          <w:b w:val="false"/>
          <w:bCs w:val="false"/>
          <w:lang w:val="fr-FR"/>
        </w:rPr>
        <w:t>- bilans ou extraits de bilans, concernant les trois dernière</w:t>
      </w:r>
      <w:r>
        <w:rPr>
          <w:bCs w:val="false"/>
          <w:lang w:val="fr-FR"/>
        </w:rPr>
        <w:t>s</w:t>
      </w:r>
      <w:r>
        <w:rPr>
          <w:b w:val="false"/>
          <w:bCs w:val="false"/>
          <w:lang w:val="fr-FR"/>
        </w:rPr>
        <w:t xml:space="preserve"> années, des opérateurs économiques pour lesquels l'établissement des bilans est obligatoire en vertu de la loi.</w:t>
      </w:r>
    </w:p>
    <w:p>
      <w:pPr>
        <w:pStyle w:val="Standard"/>
        <w:keepNext w:val="false"/>
        <w:bidi w:val="0"/>
        <w:jc w:val="left"/>
        <w:rPr>
          <w:b w:val="false"/>
          <w:b w:val="false"/>
          <w:bCs w:val="false"/>
          <w:u w:val="none"/>
          <w:lang w:val="fr-FR"/>
        </w:rPr>
      </w:pPr>
      <w:r>
        <w:rPr>
          <w:b w:val="false"/>
          <w:bCs w:val="false"/>
          <w:u w:val="none"/>
          <w:lang w:val="fr-FR"/>
        </w:rPr>
      </w:r>
    </w:p>
    <w:p>
      <w:pPr>
        <w:pStyle w:val="Standard"/>
        <w:keepNext w:val="false"/>
        <w:keepLines w:val="false"/>
        <w:bidi w:val="0"/>
        <w:jc w:val="both"/>
        <w:rPr/>
      </w:pPr>
      <w:r>
        <w:rPr>
          <w:b/>
          <w:bCs/>
          <w:lang w:val="fr-FR"/>
        </w:rPr>
        <w:t>3° - Renseignements concernant les références professionnelles et la capacité technique du candidat</w:t>
      </w:r>
    </w:p>
    <w:p>
      <w:pPr>
        <w:pStyle w:val="Standard"/>
        <w:keepNext w:val="false"/>
        <w:keepLines w:val="false"/>
        <w:bidi w:val="0"/>
        <w:jc w:val="both"/>
        <w:rPr>
          <w:b w:val="false"/>
          <w:b w:val="false"/>
          <w:i w:val="false"/>
          <w:i w:val="false"/>
          <w:u w:val="none"/>
          <w:lang w:val="fr-FR"/>
        </w:rPr>
      </w:pPr>
      <w:r>
        <w:rPr>
          <w:b w:val="false"/>
          <w:i w:val="false"/>
          <w:u w:val="none"/>
          <w:lang w:val="fr-FR"/>
        </w:rPr>
      </w:r>
    </w:p>
    <w:p>
      <w:pPr>
        <w:pStyle w:val="Standard"/>
        <w:bidi w:val="0"/>
        <w:jc w:val="both"/>
        <w:rPr>
          <w:b w:val="false"/>
          <w:b w:val="false"/>
          <w:i w:val="false"/>
          <w:i w:val="false"/>
          <w:u w:val="none"/>
          <w:lang w:val="fr-FR"/>
        </w:rPr>
      </w:pPr>
      <w:r>
        <w:rPr>
          <w:b w:val="false"/>
          <w:i w:val="false"/>
          <w:u w:val="none"/>
          <w:lang w:val="fr-FR"/>
        </w:rPr>
        <w:t>- description de l‘outillage, du matériel et de l‘équipement technique dont le candidat dispose pour la réalisation de marchés de même nature,</w:t>
      </w:r>
    </w:p>
    <w:p>
      <w:pPr>
        <w:pStyle w:val="Standard"/>
        <w:bidi w:val="0"/>
        <w:jc w:val="both"/>
        <w:rPr>
          <w:b w:val="false"/>
          <w:b w:val="false"/>
          <w:i w:val="false"/>
          <w:i w:val="false"/>
          <w:u w:val="none"/>
          <w:lang w:val="fr-FR"/>
        </w:rPr>
      </w:pPr>
      <w:r>
        <w:rPr>
          <w:b w:val="false"/>
          <w:i w:val="false"/>
          <w:u w:val="none"/>
          <w:lang w:val="fr-FR"/>
        </w:rPr>
      </w:r>
    </w:p>
    <w:p>
      <w:pPr>
        <w:pStyle w:val="Standard"/>
        <w:keepNext w:val="false"/>
        <w:pageBreakBefore w:val="false"/>
        <w:bidi w:val="0"/>
        <w:jc w:val="both"/>
        <w:rPr/>
      </w:pPr>
      <w:r>
        <w:rPr>
          <w:b w:val="false"/>
          <w:i w:val="false"/>
          <w:u w:val="none"/>
          <w:lang w:val="fr-FR"/>
        </w:rPr>
        <w:t xml:space="preserve">- présentation d'une </w:t>
      </w:r>
      <w:r>
        <w:rPr>
          <w:b w:val="false"/>
          <w:i w:val="false"/>
          <w:u w:val="single"/>
          <w:lang w:val="fr-FR"/>
        </w:rPr>
        <w:t>liste des travaux exécutés</w:t>
      </w:r>
      <w:r>
        <w:rPr>
          <w:b w:val="false"/>
          <w:i w:val="false"/>
          <w:u w:val="none"/>
          <w:lang w:val="fr-FR"/>
        </w:rPr>
        <w:t xml:space="preserve"> au cours des cinq dernières années, assortis d’attestations de bonne exécution pour les travaux les plus importants. Ces attestations indiquent le montant, la date et le lieu d‘exécution des travaux et précisent s‘ils ont été effectués selon les règles de l‘art et menés régulièrement à bonne fin.</w:t>
      </w:r>
    </w:p>
    <w:p>
      <w:pPr>
        <w:pStyle w:val="Normal"/>
        <w:keepNext w:val="false"/>
        <w:bidi w:val="0"/>
        <w:spacing w:before="0" w:after="0"/>
        <w:ind w:left="0" w:right="0" w:hanging="0"/>
        <w:jc w:val="both"/>
        <w:textAlignment w:val="center"/>
        <w:rPr>
          <w:u w:val="none"/>
          <w:lang w:val="fr-FR"/>
        </w:rPr>
      </w:pPr>
      <w:r>
        <w:rPr>
          <w:u w:val="none"/>
          <w:lang w:val="fr-FR"/>
        </w:rPr>
      </w:r>
    </w:p>
    <w:p>
      <w:pPr>
        <w:pStyle w:val="Standard"/>
        <w:keepNext w:val="false"/>
        <w:bidi w:val="0"/>
        <w:jc w:val="both"/>
        <w:rPr>
          <w:b/>
          <w:b/>
          <w:u w:val="single"/>
          <w:lang w:val="fr-FR"/>
        </w:rPr>
      </w:pPr>
      <w:r>
        <w:rPr>
          <w:b/>
          <w:u w:val="single"/>
          <w:lang w:val="fr-FR"/>
        </w:rPr>
      </w:r>
      <w:r>
        <w:br w:type="page"/>
      </w:r>
    </w:p>
    <w:p>
      <w:pPr>
        <w:pStyle w:val="Standard"/>
        <w:bidi w:val="0"/>
        <w:jc w:val="both"/>
        <w:rPr/>
      </w:pPr>
      <w:r>
        <w:rPr>
          <w:b/>
          <w:u w:val="single"/>
          <w:lang w:val="fr-FR"/>
        </w:rPr>
        <w:t>Précisions complémentaires</w:t>
      </w:r>
      <w:r>
        <w:rPr>
          <w:i w:val="false"/>
          <w:lang w:val="fr-FR"/>
        </w:rPr>
        <w:t xml:space="preserve">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Lorsque le candidat se présente sous la forme d'un groupement, chaque membre du groupement doit fournir les pièces et documents mentionnés ci-dessus (DC2 et annexes ou DUME).</w:t>
      </w:r>
    </w:p>
    <w:p>
      <w:pPr>
        <w:pStyle w:val="Standard"/>
        <w:keepNext w:val="false"/>
        <w:bidi w:val="0"/>
        <w:jc w:val="both"/>
        <w:rPr>
          <w:lang w:val="fr-FR"/>
        </w:rPr>
      </w:pPr>
      <w:r>
        <w:rPr>
          <w:lang w:val="fr-FR"/>
        </w:rPr>
      </w:r>
    </w:p>
    <w:p>
      <w:pPr>
        <w:pStyle w:val="Standard"/>
        <w:keepNext w:val="false"/>
        <w:bidi w:val="0"/>
        <w:jc w:val="both"/>
        <w:rPr/>
      </w:pPr>
      <w:r>
        <w:rPr>
          <w:b w:val="false"/>
          <w:i w:val="false"/>
          <w:u w:val="none"/>
          <w:lang w:val="fr-F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b w:val="false"/>
          <w:i w:val="false"/>
          <w:u w:val="single"/>
          <w:lang w:val="fr-FR"/>
        </w:rPr>
        <w:t xml:space="preserve"> ainsi qu'un engagement écrit de chacun d'eux justifiant que le titulaire dispose de leurs capacités pour l'exécution des prestations</w:t>
      </w:r>
      <w:r>
        <w:rPr>
          <w:b w:val="false"/>
          <w:i w:val="false"/>
          <w:u w:val="none"/>
          <w:lang w:val="fr-FR"/>
        </w:rPr>
        <w:t>. En cas de déclaration de sous-traitance (formulaire DC4), la signature électronique est facultative à ce stade.</w:t>
      </w:r>
    </w:p>
    <w:p>
      <w:pPr>
        <w:pStyle w:val="Standard"/>
        <w:bidi w:val="0"/>
        <w:jc w:val="both"/>
        <w:rPr>
          <w:b w:val="false"/>
          <w:b w:val="false"/>
          <w:i w:val="false"/>
          <w:i w:val="false"/>
          <w:u w:val="none"/>
          <w:lang w:val="fr-FR"/>
        </w:rPr>
      </w:pPr>
      <w:r>
        <w:rPr>
          <w:b w:val="false"/>
          <w:i w:val="false"/>
          <w:u w:val="none"/>
          <w:lang w:val="fr-FR"/>
        </w:rPr>
      </w:r>
    </w:p>
    <w:p>
      <w:pPr>
        <w:pStyle w:val="Titre2"/>
        <w:pageBreakBefore w:val="false"/>
        <w:tabs>
          <w:tab w:val="clear" w:pos="420"/>
          <w:tab w:val="left" w:pos="-1300" w:leader="none"/>
        </w:tabs>
        <w:bidi w:val="0"/>
        <w:spacing w:before="0" w:after="172"/>
        <w:jc w:val="left"/>
        <w:rPr/>
      </w:pPr>
      <w:bookmarkStart w:id="40" w:name="__RefHeading__1300_181712035"/>
      <w:bookmarkEnd w:id="40"/>
      <w:r>
        <w:rPr>
          <w:lang w:val="fr-FR"/>
        </w:rPr>
        <w:t>4.2</w:t>
        <w:tab/>
        <w:t>Eléments exigés au titre de l’offre</w:t>
      </w:r>
    </w:p>
    <w:p>
      <w:pPr>
        <w:pStyle w:val="Titre3"/>
        <w:keepNext w:val="false"/>
        <w:bidi w:val="0"/>
        <w:snapToGrid w:val="false"/>
        <w:spacing w:before="284" w:after="284"/>
        <w:jc w:val="left"/>
        <w:rPr>
          <w:lang w:val="fr-FR"/>
        </w:rPr>
      </w:pPr>
      <w:bookmarkStart w:id="41" w:name="__RefHeading___Toc5762_503095968"/>
      <w:bookmarkEnd w:id="41"/>
      <w:r>
        <w:rPr>
          <w:lang w:val="fr-FR"/>
        </w:rPr>
        <w:t>4.2.1</w:t>
        <w:tab/>
      </w:r>
      <w:bookmarkStart w:id="42" w:name="Bookmark23"/>
      <w:bookmarkEnd w:id="42"/>
      <w:r>
        <w:rPr>
          <w:lang w:val="fr-FR"/>
        </w:rPr>
        <w:t>Présentation des offres</w:t>
      </w:r>
    </w:p>
    <w:p>
      <w:pPr>
        <w:pStyle w:val="Standard"/>
        <w:keepNext w:val="false"/>
        <w:keepLines w:val="false"/>
        <w:bidi w:val="0"/>
        <w:jc w:val="both"/>
        <w:rPr/>
      </w:pPr>
      <w:r>
        <w:rPr>
          <w:b/>
          <w:bCs/>
          <w:u w:val="single"/>
        </w:rPr>
        <w:t>Pour chacun des lots</w:t>
      </w:r>
      <w:r>
        <w:rPr/>
        <w:t>, l‘offre du candidat comporte les pièces ou documents suivants : :</w:t>
      </w:r>
    </w:p>
    <w:p>
      <w:pPr>
        <w:pStyle w:val="Standard"/>
        <w:keepNext w:val="false"/>
        <w:bidi w:val="0"/>
        <w:jc w:val="left"/>
        <w:rPr/>
      </w:pPr>
      <w:r>
        <w:rPr/>
      </w:r>
    </w:p>
    <w:p>
      <w:pPr>
        <w:pStyle w:val="Standard"/>
        <w:keepNext w:val="false"/>
        <w:numPr>
          <w:ilvl w:val="0"/>
          <w:numId w:val="6"/>
        </w:numPr>
        <w:bidi w:val="0"/>
        <w:spacing w:before="0" w:after="0"/>
        <w:jc w:val="left"/>
        <w:rPr/>
      </w:pPr>
      <w:r>
        <w:rPr>
          <w:b/>
          <w:bCs/>
        </w:rPr>
        <w:t>L'acte d'engagement dûment complété</w:t>
      </w:r>
    </w:p>
    <w:p>
      <w:pPr>
        <w:pStyle w:val="Standard"/>
        <w:keepNext w:val="false"/>
        <w:bidi w:val="0"/>
        <w:jc w:val="both"/>
        <w:rPr/>
      </w:pPr>
      <w:r>
        <w:rPr/>
        <w:t xml:space="preserve">Rappel : </w:t>
      </w:r>
      <w:r>
        <w:rPr>
          <w:b w:val="false"/>
          <w:i w:val="false"/>
          <w:u w:val="none"/>
        </w:rPr>
        <w:t>la signature de l'AE n'est que facultative au moment du dépôt de l'offre, mais sera exigée pour l'attributaire.</w:t>
      </w:r>
    </w:p>
    <w:p>
      <w:pPr>
        <w:pStyle w:val="Standard"/>
        <w:keepNext w:val="false"/>
        <w:numPr>
          <w:ilvl w:val="0"/>
          <w:numId w:val="4"/>
        </w:numPr>
        <w:bidi w:val="0"/>
        <w:jc w:val="both"/>
        <w:rPr/>
      </w:pPr>
      <w:r>
        <w:rPr>
          <w:b/>
          <w:bCs/>
        </w:rPr>
        <w:t xml:space="preserve">Le Bordereau de Prix Unitaires (BPU) </w:t>
      </w:r>
      <w:r>
        <w:rPr>
          <w:b w:val="false"/>
          <w:bCs w:val="false"/>
        </w:rPr>
        <w:t xml:space="preserve">entièrement complété, </w:t>
      </w:r>
    </w:p>
    <w:p>
      <w:pPr>
        <w:pStyle w:val="Standard"/>
        <w:keepNext w:val="false"/>
        <w:numPr>
          <w:ilvl w:val="0"/>
          <w:numId w:val="4"/>
        </w:numPr>
        <w:bidi w:val="0"/>
        <w:jc w:val="both"/>
        <w:rPr/>
      </w:pPr>
      <w:r>
        <w:rPr>
          <w:b/>
        </w:rPr>
        <w:t>Le Détail Quantitatif et Estimatif</w:t>
      </w:r>
      <w:r>
        <w:rPr/>
        <w:t xml:space="preserve"> </w:t>
      </w:r>
      <w:r>
        <w:rPr>
          <w:b/>
          <w:bCs/>
        </w:rPr>
        <w:t>(DQE)</w:t>
      </w:r>
      <w:r>
        <w:rPr/>
        <w:t xml:space="preserve"> entièrement complété </w:t>
      </w:r>
      <w:r>
        <w:rPr>
          <w:b w:val="false"/>
          <w:bCs w:val="false"/>
        </w:rPr>
        <w:t>et à remettre sous format PDF et Excel ou équivalent,</w:t>
      </w:r>
    </w:p>
    <w:p>
      <w:pPr>
        <w:pStyle w:val="Standard"/>
        <w:keepNext w:val="false"/>
        <w:numPr>
          <w:ilvl w:val="0"/>
          <w:numId w:val="5"/>
        </w:numPr>
        <w:bidi w:val="0"/>
        <w:jc w:val="both"/>
        <w:rPr/>
      </w:pPr>
      <w:r>
        <w:rPr>
          <w:b/>
          <w:bCs w:val="false"/>
        </w:rPr>
        <w:t xml:space="preserve">Le </w:t>
      </w:r>
      <w:r>
        <w:rPr>
          <w:b/>
          <w:bCs/>
        </w:rPr>
        <w:t xml:space="preserve">cadre de réponse technique joint, complété intégralement </w:t>
      </w:r>
      <w:r>
        <w:rPr>
          <w:b w:val="false"/>
          <w:bCs w:val="false"/>
        </w:rPr>
        <w:t>décrivant :</w:t>
      </w:r>
    </w:p>
    <w:p>
      <w:pPr>
        <w:pStyle w:val="Standard"/>
        <w:keepNext w:val="false"/>
        <w:numPr>
          <w:ilvl w:val="0"/>
          <w:numId w:val="0"/>
        </w:numPr>
        <w:bidi w:val="0"/>
        <w:ind w:left="720" w:hanging="0"/>
        <w:jc w:val="both"/>
        <w:rPr/>
      </w:pPr>
      <w:r>
        <w:rPr/>
        <w:t>-Une note méthodologique détaillée concernant le procédé d‘exécution mis en oeuvre pour la réalisation du chantier type précisant les règles d‘hygiène et de sécurité liées à ces prestations dans les lieux fréquentés par le public</w:t>
      </w:r>
    </w:p>
    <w:p>
      <w:pPr>
        <w:pStyle w:val="Standard"/>
        <w:numPr>
          <w:ilvl w:val="0"/>
          <w:numId w:val="0"/>
        </w:numPr>
        <w:bidi w:val="0"/>
        <w:ind w:left="720" w:hanging="0"/>
        <w:jc w:val="both"/>
        <w:rPr/>
      </w:pPr>
      <w:r>
        <w:rPr/>
        <w:t>-</w:t>
      </w:r>
      <w:r>
        <w:rPr>
          <w:b w:val="false"/>
          <w:bCs w:val="false"/>
        </w:rPr>
        <w:t>Les moyens humains et matériels qui seront affectés au marché  : le candidat devra indiquer la composition des équipes mobilisables et les fonctions du personnel affecté,</w:t>
      </w:r>
    </w:p>
    <w:p>
      <w:pPr>
        <w:pStyle w:val="Standard"/>
        <w:numPr>
          <w:ilvl w:val="0"/>
          <w:numId w:val="0"/>
        </w:numPr>
        <w:bidi w:val="0"/>
        <w:ind w:left="720" w:hanging="0"/>
        <w:jc w:val="both"/>
        <w:rPr/>
      </w:pPr>
      <w:r>
        <w:rPr>
          <w:b w:val="false"/>
          <w:bCs w:val="false"/>
        </w:rPr>
        <w:t>-Le dispositif, les modalités et le mode opératoire pour traiter les demandes d‘interventions urgentes, à la réception de la demande</w:t>
      </w:r>
    </w:p>
    <w:p>
      <w:pPr>
        <w:pStyle w:val="Standard"/>
        <w:keepNext w:val="false"/>
        <w:numPr>
          <w:ilvl w:val="0"/>
          <w:numId w:val="0"/>
        </w:numPr>
        <w:bidi w:val="0"/>
        <w:ind w:left="709" w:hanging="0"/>
        <w:jc w:val="both"/>
        <w:rPr/>
      </w:pPr>
      <w:r>
        <w:rPr>
          <w:b w:val="false"/>
          <w:bCs w:val="false"/>
          <w:lang w:val="fr-FR"/>
        </w:rPr>
        <w:t>-</w:t>
      </w:r>
      <w:r>
        <w:rPr>
          <w:b/>
          <w:bCs w:val="false"/>
          <w:lang w:val="fr-FR"/>
        </w:rPr>
        <w:t>La performance en matière de développement durable</w:t>
      </w:r>
      <w:r>
        <w:rPr>
          <w:b w:val="false"/>
          <w:bCs w:val="false"/>
          <w:lang w:val="fr-FR"/>
        </w:rPr>
        <w:t xml:space="preserve"> </w:t>
      </w:r>
      <w:bookmarkStart w:id="43" w:name="__DdeLink__2490_3171496693"/>
      <w:r>
        <w:rPr>
          <w:b w:val="false"/>
          <w:bCs w:val="false"/>
          <w:lang w:val="fr-FR"/>
        </w:rPr>
        <w:t>d</w:t>
      </w:r>
      <w:bookmarkEnd w:id="43"/>
      <w:r>
        <w:rPr>
          <w:b w:val="false"/>
          <w:bCs w:val="false"/>
          <w:lang w:val="fr-FR"/>
        </w:rPr>
        <w:t>écrivant notamment la valorisation de matériaux de chantier recyclés et la gestion des déchets.</w:t>
      </w:r>
    </w:p>
    <w:p>
      <w:pPr>
        <w:pStyle w:val="Titre3"/>
        <w:keepNext w:val="false"/>
        <w:bidi w:val="0"/>
        <w:jc w:val="left"/>
        <w:rPr>
          <w:lang w:val="fr-FR"/>
        </w:rPr>
      </w:pPr>
      <w:bookmarkStart w:id="44" w:name="__RefHeading__1306_181712035"/>
      <w:bookmarkEnd w:id="44"/>
      <w:r>
        <w:rPr>
          <w:lang w:val="fr-FR"/>
        </w:rPr>
        <w:t>4.2.2</w:t>
        <w:tab/>
        <w:t>Présentation de variantes</w:t>
      </w:r>
    </w:p>
    <w:p>
      <w:pPr>
        <w:pStyle w:val="Standard"/>
        <w:keepNext w:val="false"/>
        <w:bidi w:val="0"/>
        <w:jc w:val="left"/>
        <w:rPr>
          <w:lang w:val="fr-FR"/>
        </w:rPr>
      </w:pPr>
      <w:r>
        <w:rPr>
          <w:lang w:val="fr-FR"/>
        </w:rPr>
        <w:t>Variantes autorisées – non</w:t>
      </w:r>
    </w:p>
    <w:p>
      <w:pPr>
        <w:pStyle w:val="Standard"/>
        <w:keepNext w:val="false"/>
        <w:bidi w:val="0"/>
        <w:jc w:val="left"/>
        <w:rPr>
          <w:lang w:val="fr-FR"/>
        </w:rPr>
      </w:pPr>
      <w:r>
        <w:rPr>
          <w:lang w:val="fr-FR"/>
        </w:rPr>
      </w:r>
    </w:p>
    <w:p>
      <w:pPr>
        <w:pStyle w:val="Standard"/>
        <w:rPr>
          <w:lang w:val="fr-FR"/>
        </w:rPr>
      </w:pPr>
      <w:r>
        <w:rPr>
          <w:lang w:val="fr-FR"/>
        </w:rPr>
        <w:t>Les candidats ne sont pas autorisés à proposer des variantes de leur propre initiative.</w:t>
      </w:r>
    </w:p>
    <w:p>
      <w:pPr>
        <w:pStyle w:val="Titre2"/>
        <w:rPr>
          <w:lang w:val="fr-FR"/>
        </w:rPr>
      </w:pPr>
      <w:bookmarkStart w:id="45" w:name="__RefHeading___Toc5764_503095968"/>
      <w:bookmarkStart w:id="46" w:name="Bookmark25"/>
      <w:bookmarkEnd w:id="45"/>
      <w:bookmarkEnd w:id="46"/>
      <w:r>
        <w:rPr>
          <w:lang w:val="fr-FR"/>
        </w:rPr>
        <w:t>4.3</w:t>
        <w:tab/>
      </w:r>
      <w:bookmarkStart w:id="47" w:name="Bookmark261"/>
      <w:bookmarkEnd w:id="47"/>
      <w:r>
        <w:rPr>
          <w:lang w:val="fr-FR"/>
        </w:rPr>
        <w:t>Visite sur site</w:t>
      </w:r>
    </w:p>
    <w:p>
      <w:pPr>
        <w:pStyle w:val="Standard"/>
        <w:keepNext w:val="false"/>
        <w:bidi w:val="0"/>
        <w:jc w:val="left"/>
        <w:rPr>
          <w:lang w:val="fr-FR"/>
        </w:rPr>
      </w:pPr>
      <w:r>
        <w:rPr>
          <w:lang w:val="fr-FR"/>
        </w:rPr>
        <w:t>Il n’est pas prévu de visite sur site.</w:t>
      </w:r>
    </w:p>
    <w:p>
      <w:pPr>
        <w:pStyle w:val="Standard"/>
        <w:bidi w:val="0"/>
        <w:jc w:val="left"/>
        <w:rPr>
          <w:lang w:val="fr-FR"/>
        </w:rPr>
      </w:pPr>
      <w:r>
        <w:rPr>
          <w:lang w:val="fr-FR"/>
        </w:rPr>
      </w:r>
    </w:p>
    <w:p>
      <w:pPr>
        <w:pStyle w:val="Standard"/>
        <w:bidi w:val="0"/>
        <w:jc w:val="left"/>
        <w:rPr>
          <w:lang w:val="fr-FR"/>
        </w:rPr>
      </w:pPr>
      <w:r>
        <w:rPr>
          <w:lang w:val="fr-FR"/>
        </w:rPr>
      </w:r>
    </w:p>
    <w:p>
      <w:pPr>
        <w:pStyle w:val="Titre1"/>
        <w:pageBreakBefore w:val="false"/>
        <w:shd w:val="clear" w:fill="CCCCCC"/>
        <w:bidi w:val="0"/>
        <w:spacing w:before="0" w:after="284"/>
        <w:ind w:left="57" w:hanging="0"/>
        <w:jc w:val="left"/>
        <w:rPr>
          <w:lang w:val="fr-FR"/>
        </w:rPr>
      </w:pPr>
      <w:bookmarkStart w:id="48" w:name="__RefHeading__1310_181712035"/>
      <w:bookmarkStart w:id="49" w:name="Bookmark27"/>
      <w:bookmarkEnd w:id="48"/>
      <w:bookmarkEnd w:id="49"/>
      <w:r>
        <w:rPr>
          <w:lang w:val="fr-FR"/>
        </w:rPr>
        <w:t>ARTICLE 5 - REMISE DES PLIS PAR LES CANDIDATS</w:t>
      </w:r>
    </w:p>
    <w:p>
      <w:pPr>
        <w:pStyle w:val="Titre2"/>
        <w:keepNext w:val="false"/>
        <w:bidi w:val="0"/>
        <w:ind w:left="283" w:hanging="0"/>
        <w:jc w:val="left"/>
        <w:rPr>
          <w:lang w:val="fr-FR"/>
        </w:rPr>
      </w:pPr>
      <w:bookmarkStart w:id="50" w:name="__RefHeading__1312_181712035"/>
      <w:bookmarkStart w:id="51" w:name="Bookmark28"/>
      <w:bookmarkEnd w:id="50"/>
      <w:bookmarkEnd w:id="51"/>
      <w:r>
        <w:rPr>
          <w:lang w:val="fr-FR"/>
        </w:rPr>
        <w:t>5.1 Remise électronique</w:t>
      </w:r>
    </w:p>
    <w:p>
      <w:pPr>
        <w:pStyle w:val="Standard"/>
        <w:keepNext w:val="false"/>
        <w:bidi w:val="0"/>
        <w:jc w:val="both"/>
        <w:rPr>
          <w:lang w:val="fr-FR"/>
        </w:rPr>
      </w:pPr>
      <w:r>
        <w:rPr>
          <w:lang w:val="fr-FR"/>
        </w:rPr>
        <w:t>Le pouvoir adjudicateur impose la transmission des plis par voie électronique sur son profil acheteur marchespublics.mairie-marseille.fr. La transmission par voie papier n'est pas autorisée.</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Standard"/>
        <w:keepNext w:val="false"/>
        <w:bidi w:val="0"/>
        <w:jc w:val="both"/>
        <w:rPr>
          <w:lang w:val="fr-FR"/>
        </w:rPr>
      </w:pPr>
      <w:r>
        <w:rPr>
          <w:lang w:val="fr-FR"/>
        </w:rPr>
      </w:r>
    </w:p>
    <w:p>
      <w:pPr>
        <w:pStyle w:val="Standard"/>
        <w:keepNext w:val="false"/>
        <w:bidi w:val="0"/>
        <w:jc w:val="both"/>
        <w:rPr/>
      </w:pPr>
      <w:r>
        <w:rPr>
          <w:lang w:val="fr-FR"/>
        </w:rPr>
        <w:t>Les modalités relatives à la réponse par voie électronique sont détaillées dans l'annexe n°1 au présent RC intitulée Guide de la dématérialisation des marchés publics.</w:t>
      </w:r>
    </w:p>
    <w:p>
      <w:pPr>
        <w:pStyle w:val="Titre2"/>
        <w:keepNext w:val="false"/>
        <w:bidi w:val="0"/>
        <w:ind w:left="283" w:hanging="0"/>
        <w:jc w:val="both"/>
        <w:rPr>
          <w:lang w:val="fr-FR"/>
        </w:rPr>
      </w:pPr>
      <w:bookmarkStart w:id="52" w:name="__RefHeading___Toc5766_503095968"/>
      <w:bookmarkStart w:id="53" w:name="Bookmark29"/>
      <w:bookmarkEnd w:id="52"/>
      <w:bookmarkEnd w:id="53"/>
      <w:r>
        <w:rPr>
          <w:lang w:val="fr-FR"/>
        </w:rPr>
        <w:t>5.2 - Copie de sauvegarde</w:t>
      </w:r>
    </w:p>
    <w:p>
      <w:pPr>
        <w:pStyle w:val="Standard"/>
        <w:rPr>
          <w:lang w:val="fr-FR"/>
        </w:rPr>
      </w:pPr>
      <w:bookmarkStart w:id="54" w:name="__RefHeading___Toc5768_503095968"/>
      <w:bookmarkEnd w:id="54"/>
      <w:r>
        <w:rPr>
          <w:lang w:val="fr-FR"/>
        </w:rPr>
        <w:t xml:space="preserve">Le pli peut être doublé d'une copie de sauvegarde transmise dans les délais impartis, sur support physique électronique ou sur support papier. </w:t>
      </w:r>
    </w:p>
    <w:p>
      <w:pPr>
        <w:pStyle w:val="Standard"/>
        <w:rPr>
          <w:lang w:val="fr-FR"/>
        </w:rPr>
      </w:pPr>
      <w:r>
        <w:rPr>
          <w:lang w:val="fr-FR"/>
        </w:rPr>
      </w:r>
    </w:p>
    <w:p>
      <w:pPr>
        <w:pStyle w:val="Standard"/>
        <w:rPr>
          <w:rFonts w:ascii="Arial" w:hAnsi="Arial"/>
          <w:sz w:val="21"/>
          <w:szCs w:val="21"/>
        </w:rPr>
      </w:pPr>
      <w:bookmarkStart w:id="55" w:name="__RefHeading___Toc5770_503095968"/>
      <w:bookmarkEnd w:id="55"/>
      <w:r>
        <w:rPr>
          <w:lang w:val="fr-FR"/>
        </w:rPr>
        <w:t>Cette copie de sauvegarde devra comporter l’intégralité des éléments exigés au présent Règlement de consultation.</w:t>
      </w:r>
    </w:p>
    <w:p>
      <w:pPr>
        <w:pStyle w:val="Standard"/>
        <w:rPr>
          <w:lang w:val="fr-FR"/>
        </w:rPr>
      </w:pPr>
      <w:r>
        <w:rPr>
          <w:lang w:val="fr-FR"/>
        </w:rPr>
      </w:r>
    </w:p>
    <w:p>
      <w:pPr>
        <w:pStyle w:val="Standard"/>
        <w:rPr>
          <w:rFonts w:ascii="Arial" w:hAnsi="Arial"/>
          <w:b w:val="false"/>
          <w:b w:val="false"/>
          <w:bCs w:val="false"/>
          <w:sz w:val="21"/>
          <w:szCs w:val="21"/>
        </w:rPr>
      </w:pPr>
      <w:bookmarkStart w:id="56" w:name="__RefHeading___Toc5772_503095968"/>
      <w:bookmarkEnd w:id="56"/>
      <w:r>
        <w:rPr>
          <w:lang w:val="fr-FR"/>
        </w:rPr>
        <w:t>Cette copie est transmise sous pli scellé et comporte obligatoirement la mention « copie de sauvegarde » ainsi que le nom du candidat, l’objet et le numéro de la consultation concernée.</w:t>
      </w:r>
    </w:p>
    <w:p>
      <w:pPr>
        <w:pStyle w:val="Standard"/>
        <w:rPr>
          <w:lang w:val="fr-FR"/>
        </w:rPr>
      </w:pPr>
      <w:r>
        <w:rPr>
          <w:lang w:val="fr-FR"/>
        </w:rPr>
      </w:r>
    </w:p>
    <w:p>
      <w:pPr>
        <w:pStyle w:val="Standard"/>
        <w:rPr>
          <w:rFonts w:ascii="Arial" w:hAnsi="Arial"/>
          <w:b w:val="false"/>
          <w:b w:val="false"/>
          <w:bCs w:val="false"/>
          <w:sz w:val="21"/>
          <w:szCs w:val="21"/>
        </w:rPr>
      </w:pPr>
      <w:bookmarkStart w:id="57" w:name="__RefHeading___Toc5774_503095968"/>
      <w:bookmarkEnd w:id="57"/>
      <w:r>
        <w:rPr>
          <w:lang w:val="fr-FR"/>
        </w:rPr>
        <w:t>Les dossiers des candidats sont transmis par tout moyen permettant de déterminer de façon certaine la date et l’heure de leur réception et de garantir la confidentialité.</w:t>
      </w:r>
    </w:p>
    <w:p>
      <w:pPr>
        <w:pStyle w:val="Standard"/>
        <w:keepNext w:val="false"/>
        <w:bidi w:val="0"/>
        <w:jc w:val="both"/>
        <w:rPr>
          <w:u w:val="none"/>
          <w:lang w:val="fr-FR"/>
        </w:rPr>
      </w:pPr>
      <w:r>
        <w:rPr>
          <w:u w:val="none"/>
          <w:lang w:val="fr-FR"/>
        </w:rPr>
      </w:r>
    </w:p>
    <w:p>
      <w:pPr>
        <w:pStyle w:val="Standard"/>
        <w:bidi w:val="0"/>
        <w:jc w:val="both"/>
        <w:rPr>
          <w:lang w:val="fr-FR"/>
        </w:rPr>
      </w:pPr>
      <w:r>
        <w:rPr>
          <w:u w:val="single"/>
          <w:lang w:val="fr-FR"/>
        </w:rPr>
        <w:t>ENVOI POSTAL</w:t>
      </w:r>
    </w:p>
    <w:p>
      <w:pPr>
        <w:pStyle w:val="Standard"/>
        <w:keepNext w:val="false"/>
        <w:bidi w:val="0"/>
        <w:jc w:val="both"/>
        <w:rPr>
          <w:lang w:val="fr-FR"/>
        </w:rPr>
      </w:pPr>
      <w:r>
        <w:rPr>
          <w:lang w:val="fr-FR"/>
        </w:rPr>
        <w:t>En cas d’envoi postal, les plis doivent être adressés à l’adresse suivante :</w:t>
      </w:r>
    </w:p>
    <w:p>
      <w:pPr>
        <w:pStyle w:val="Standard"/>
        <w:keepNext w:val="false"/>
        <w:bidi w:val="0"/>
        <w:jc w:val="both"/>
        <w:rPr>
          <w:lang w:val="fr-FR"/>
        </w:rPr>
      </w:pPr>
      <w:r>
        <w:rPr>
          <w:lang w:val="fr-FR"/>
        </w:rPr>
        <w:t>Ville de Marseille</w:t>
      </w:r>
    </w:p>
    <w:p>
      <w:pPr>
        <w:pStyle w:val="Standard"/>
        <w:keepNext w:val="false"/>
        <w:bidi w:val="0"/>
        <w:jc w:val="both"/>
        <w:rPr>
          <w:lang w:val="fr-FR"/>
        </w:rPr>
      </w:pPr>
      <w:r>
        <w:rPr>
          <w:lang w:val="fr-FR"/>
        </w:rPr>
        <w:t>Direction des marchés et procédures d’achats publics (DGAAJ)</w:t>
      </w:r>
    </w:p>
    <w:p>
      <w:pPr>
        <w:pStyle w:val="Standard"/>
        <w:keepNext w:val="false"/>
        <w:bidi w:val="0"/>
        <w:jc w:val="both"/>
        <w:rPr>
          <w:lang w:val="fr-FR"/>
        </w:rPr>
      </w:pPr>
      <w:r>
        <w:rPr>
          <w:lang w:val="fr-FR"/>
        </w:rPr>
        <w:t>39 bis rue Sainte</w:t>
      </w:r>
    </w:p>
    <w:p>
      <w:pPr>
        <w:pStyle w:val="Standard"/>
        <w:keepNext w:val="false"/>
        <w:bidi w:val="0"/>
        <w:jc w:val="both"/>
        <w:rPr>
          <w:lang w:val="fr-FR"/>
        </w:rPr>
      </w:pPr>
      <w:r>
        <w:rPr>
          <w:lang w:val="fr-FR"/>
        </w:rPr>
        <w:t>13233 Marseille Cedex 20</w:t>
      </w:r>
    </w:p>
    <w:p>
      <w:pPr>
        <w:pStyle w:val="Standard"/>
        <w:keepNext w:val="false"/>
        <w:bidi w:val="0"/>
        <w:jc w:val="both"/>
        <w:rPr>
          <w:lang w:val="fr-FR"/>
        </w:rPr>
      </w:pPr>
      <w:r>
        <w:rPr>
          <w:lang w:val="fr-FR"/>
        </w:rPr>
      </w:r>
    </w:p>
    <w:p>
      <w:pPr>
        <w:pStyle w:val="Standard"/>
        <w:pageBreakBefore w:val="false"/>
        <w:bidi w:val="0"/>
        <w:jc w:val="both"/>
        <w:rPr/>
      </w:pPr>
      <w:r>
        <w:rPr>
          <w:u w:val="single"/>
          <w:lang w:val="fr-FR"/>
        </w:rPr>
        <w:t>REMISE CONTRE RECEPISSE</w:t>
      </w:r>
    </w:p>
    <w:p>
      <w:pPr>
        <w:pStyle w:val="Standard"/>
        <w:keepNext w:val="false"/>
        <w:bidi w:val="0"/>
        <w:jc w:val="both"/>
        <w:rPr>
          <w:lang w:val="fr-FR"/>
        </w:rPr>
      </w:pPr>
      <w:r>
        <w:rPr>
          <w:lang w:val="fr-FR"/>
        </w:rPr>
        <w:t>Les plis peuvent être remis contre récépissé à l’adresse suivante :</w:t>
      </w:r>
    </w:p>
    <w:p>
      <w:pPr>
        <w:pStyle w:val="Standard"/>
        <w:keepNext w:val="false"/>
        <w:bidi w:val="0"/>
        <w:jc w:val="both"/>
        <w:rPr>
          <w:lang w:val="fr-FR"/>
        </w:rPr>
      </w:pPr>
      <w:r>
        <w:rPr>
          <w:lang w:val="fr-FR"/>
        </w:rPr>
        <w:t>Direction des marchés et procédures d’achats publics (DGAAJ)</w:t>
      </w:r>
    </w:p>
    <w:p>
      <w:pPr>
        <w:pStyle w:val="Standard"/>
        <w:keepNext w:val="false"/>
        <w:bidi w:val="0"/>
        <w:jc w:val="both"/>
        <w:rPr>
          <w:lang w:val="fr-FR"/>
        </w:rPr>
      </w:pPr>
      <w:r>
        <w:rPr>
          <w:lang w:val="fr-FR"/>
        </w:rPr>
        <w:t>(anciennement Service des marchés publics – DSJ)</w:t>
      </w:r>
    </w:p>
    <w:p>
      <w:pPr>
        <w:pStyle w:val="Standard"/>
        <w:keepNext w:val="false"/>
        <w:bidi w:val="0"/>
        <w:jc w:val="both"/>
        <w:rPr>
          <w:lang w:val="fr-FR"/>
        </w:rPr>
      </w:pPr>
      <w:r>
        <w:rPr>
          <w:lang w:val="fr-FR"/>
        </w:rPr>
        <w:t>Passage Timon David, rue Sainte (1</w:t>
      </w:r>
      <w:r>
        <w:rPr>
          <w:vertAlign w:val="superscript"/>
          <w:lang w:val="fr-FR"/>
        </w:rPr>
        <w:t>er</w:t>
      </w:r>
      <w:r>
        <w:rPr>
          <w:lang w:val="fr-FR"/>
        </w:rPr>
        <w:t xml:space="preserve"> arrondissement)</w:t>
      </w:r>
    </w:p>
    <w:p>
      <w:pPr>
        <w:pStyle w:val="Standard"/>
        <w:keepNext w:val="false"/>
        <w:bidi w:val="0"/>
        <w:jc w:val="both"/>
        <w:rPr>
          <w:lang w:val="fr-FR"/>
        </w:rPr>
      </w:pPr>
      <w:r>
        <w:rPr>
          <w:lang w:val="fr-FR"/>
        </w:rPr>
        <w:t>13001 Marseille</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Horaires de réception des plis : du lundi au vendredi, de 9h00 à 12h00 et de 13h00 à 16h00, hors jours fériés et chômés.</w:t>
      </w:r>
    </w:p>
    <w:p>
      <w:pPr>
        <w:pStyle w:val="Titre2"/>
        <w:keepNext w:val="false"/>
        <w:bidi w:val="0"/>
        <w:ind w:left="283" w:hanging="0"/>
        <w:jc w:val="left"/>
        <w:rPr>
          <w:lang w:val="fr-FR"/>
        </w:rPr>
      </w:pPr>
      <w:bookmarkStart w:id="58" w:name="__RefHeading__1316_181712035"/>
      <w:bookmarkStart w:id="59" w:name="Bookmark31"/>
      <w:bookmarkEnd w:id="58"/>
      <w:bookmarkEnd w:id="59"/>
      <w:r>
        <w:rPr>
          <w:lang w:val="fr-FR"/>
        </w:rPr>
        <w:t>5.3 – Echantillons, maquettes, prototypes</w:t>
      </w:r>
    </w:p>
    <w:p>
      <w:pPr>
        <w:pStyle w:val="ListParagraph"/>
        <w:keepNext w:val="false"/>
        <w:keepLines/>
        <w:widowControl/>
        <w:suppressAutoHyphens w:val="true"/>
        <w:bidi w:val="0"/>
        <w:ind w:left="0" w:right="0" w:hanging="0"/>
        <w:jc w:val="both"/>
        <w:rPr>
          <w:lang w:val="fr-FR"/>
        </w:rPr>
      </w:pPr>
      <w:r>
        <w:rPr>
          <w:b w:val="false"/>
          <w:bCs w:val="false"/>
          <w:color w:val="00000A"/>
          <w:lang w:val="fr-FR"/>
        </w:rPr>
        <w:t>Sans objet</w:t>
      </w:r>
    </w:p>
    <w:p>
      <w:pPr>
        <w:pStyle w:val="Titre2"/>
        <w:keepNext w:val="false"/>
        <w:bidi w:val="0"/>
        <w:ind w:left="283" w:hanging="0"/>
        <w:jc w:val="both"/>
        <w:rPr>
          <w:lang w:val="fr-FR"/>
        </w:rPr>
      </w:pPr>
      <w:bookmarkStart w:id="60" w:name="__RefHeading__1318_181712035"/>
      <w:bookmarkStart w:id="61" w:name="Bookmark32"/>
      <w:bookmarkEnd w:id="60"/>
      <w:bookmarkEnd w:id="61"/>
      <w:r>
        <w:rPr>
          <w:lang w:val="fr-FR"/>
        </w:rPr>
        <w:t>5.4 – Date et heure limites de remise des plis</w:t>
      </w:r>
    </w:p>
    <w:p>
      <w:pPr>
        <w:pStyle w:val="Standard"/>
        <w:keepNext w:val="false"/>
        <w:bidi w:val="0"/>
        <w:jc w:val="both"/>
        <w:rPr>
          <w:lang w:val="fr-FR"/>
        </w:rPr>
      </w:pPr>
      <w:r>
        <w:rPr>
          <w:lang w:val="fr-FR"/>
        </w:rPr>
        <w:t>Les date et heure limites de réception des plis sont celles indiquées dans l'avis d'appel public à la concurrence, qui valent également pour la transmission des « copies de sauvegarde » des candidats.</w:t>
      </w:r>
    </w:p>
    <w:p>
      <w:pPr>
        <w:pStyle w:val="Titre2"/>
        <w:keepNext w:val="false"/>
        <w:bidi w:val="0"/>
        <w:ind w:left="283" w:hanging="0"/>
        <w:jc w:val="both"/>
        <w:rPr>
          <w:lang w:val="fr-FR"/>
        </w:rPr>
      </w:pPr>
      <w:bookmarkStart w:id="62" w:name="__RefHeading__1320_181712035"/>
      <w:bookmarkStart w:id="63" w:name="Bookmark33"/>
      <w:bookmarkEnd w:id="62"/>
      <w:bookmarkEnd w:id="63"/>
      <w:r>
        <w:rPr>
          <w:lang w:val="fr-FR"/>
        </w:rPr>
        <w:t>5.5 – Délai de validité des offres</w:t>
      </w:r>
    </w:p>
    <w:p>
      <w:pPr>
        <w:pStyle w:val="Standard"/>
        <w:keepNext w:val="false"/>
        <w:bidi w:val="0"/>
        <w:jc w:val="both"/>
        <w:rPr>
          <w:lang w:val="fr-FR"/>
        </w:rPr>
      </w:pPr>
      <w:r>
        <w:rPr>
          <w:lang w:val="fr-FR"/>
        </w:rPr>
        <w:t>Le délai de validité des offres est de 6 mois à compter de la date limite fixée pour la réception des offres.</w:t>
      </w:r>
    </w:p>
    <w:p>
      <w:pPr>
        <w:pStyle w:val="Titre1"/>
        <w:keepNext w:val="false"/>
        <w:shd w:val="clear" w:fill="CCCCCC"/>
        <w:tabs>
          <w:tab w:val="left" w:pos="6859" w:leader="none"/>
          <w:tab w:val="left" w:pos="13610" w:leader="none"/>
        </w:tabs>
        <w:bidi w:val="0"/>
        <w:ind w:left="0" w:hanging="0"/>
        <w:jc w:val="left"/>
        <w:rPr>
          <w:lang w:val="fr-FR"/>
        </w:rPr>
      </w:pPr>
      <w:bookmarkStart w:id="64" w:name="__RefHeading__1322_181712035"/>
      <w:bookmarkStart w:id="65" w:name="Bookmark34"/>
      <w:bookmarkEnd w:id="64"/>
      <w:bookmarkEnd w:id="65"/>
      <w:r>
        <w:rPr>
          <w:lang w:val="fr-FR"/>
        </w:rPr>
        <w:t>ARTICLE 6 – EXAMEN DES PLIS</w:t>
      </w:r>
    </w:p>
    <w:p>
      <w:pPr>
        <w:pStyle w:val="Standard"/>
        <w:keepNext w:val="false"/>
        <w:bidi w:val="0"/>
        <w:jc w:val="both"/>
        <w:rPr/>
      </w:pPr>
      <w:r>
        <w:rPr>
          <w:lang w:val="fr-FR"/>
        </w:rPr>
        <w:t>La présentation telle qu'exposée ci-après ne préjuge en rien de l'ordre dans lequel l'acheteur procédera à l'examen des plis. Ainsi, celui-ci peut, en cas de procédure ouverte, décider d'examiner les offres avant les candidatures.</w:t>
      </w:r>
    </w:p>
    <w:p>
      <w:pPr>
        <w:pStyle w:val="Titre2"/>
        <w:keepNext w:val="false"/>
        <w:bidi w:val="0"/>
        <w:ind w:left="283" w:hanging="0"/>
        <w:jc w:val="left"/>
        <w:rPr>
          <w:lang w:val="fr-FR"/>
        </w:rPr>
      </w:pPr>
      <w:bookmarkStart w:id="66" w:name="__RefHeading__1324_181712035"/>
      <w:bookmarkStart w:id="67" w:name="Bookmark35"/>
      <w:bookmarkEnd w:id="66"/>
      <w:bookmarkEnd w:id="67"/>
      <w:r>
        <w:rPr>
          <w:lang w:val="fr-FR"/>
        </w:rPr>
        <w:t>6.1 Examen des candidatures</w:t>
      </w:r>
    </w:p>
    <w:p>
      <w:pPr>
        <w:pStyle w:val="Standard"/>
        <w:keepNext w:val="false"/>
        <w:bidi w:val="0"/>
        <w:jc w:val="left"/>
        <w:rPr>
          <w:lang w:val="fr-FR"/>
        </w:rPr>
      </w:pPr>
      <w:r>
        <w:rPr>
          <w:lang w:val="fr-F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Standard"/>
        <w:keepNext w:val="false"/>
        <w:bidi w:val="0"/>
        <w:jc w:val="left"/>
        <w:rPr>
          <w:lang w:val="fr-FR"/>
        </w:rPr>
      </w:pPr>
      <w:r>
        <w:rPr>
          <w:lang w:val="fr-FR"/>
        </w:rPr>
      </w:r>
    </w:p>
    <w:p>
      <w:pPr>
        <w:pStyle w:val="Standard"/>
        <w:keepNext w:val="false"/>
        <w:bidi w:val="0"/>
        <w:jc w:val="both"/>
        <w:rPr/>
      </w:pPr>
      <w:r>
        <w:rPr>
          <w:lang w:val="fr-F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Standard"/>
        <w:bidi w:val="0"/>
        <w:jc w:val="both"/>
        <w:rPr>
          <w:lang w:val="fr-FR"/>
        </w:rPr>
      </w:pPr>
      <w:r>
        <w:rPr>
          <w:lang w:val="fr-FR"/>
        </w:rPr>
      </w:r>
    </w:p>
    <w:p>
      <w:pPr>
        <w:pStyle w:val="Normal"/>
        <w:pageBreakBefore w:val="false"/>
        <w:bidi w:val="0"/>
        <w:rPr>
          <w:rFonts w:ascii="Arial" w:hAnsi="Arial"/>
          <w:b/>
          <w:b/>
          <w:sz w:val="21"/>
          <w:shd w:fill="auto" w:val="clear"/>
        </w:rPr>
      </w:pPr>
      <w:r>
        <w:rPr>
          <w:rFonts w:ascii="Arial" w:hAnsi="Arial"/>
          <w:b/>
          <w:sz w:val="21"/>
          <w:shd w:fill="auto" w:val="clear"/>
        </w:rPr>
        <w:t>Exclusions à l'appréciation de l'acheteur</w:t>
      </w:r>
    </w:p>
    <w:p>
      <w:pPr>
        <w:pStyle w:val="Normal"/>
        <w:jc w:val="both"/>
        <w:rPr>
          <w:rFonts w:ascii="Arial" w:hAnsi="Arial"/>
          <w:sz w:val="21"/>
          <w:shd w:fill="auto" w:val="clear"/>
        </w:rPr>
      </w:pPr>
      <w:r>
        <w:rPr>
          <w:rFonts w:ascii="Arial" w:hAnsi="Arial"/>
          <w:sz w:val="21"/>
          <w:shd w:fill="auto" w:val="clear"/>
        </w:rPr>
        <w:t>Le Code de la Commande Publique prévoit différents cas d'exclusion laissés à l'appréciation de la Collectivité, et notamment :</w:t>
      </w:r>
    </w:p>
    <w:p>
      <w:pPr>
        <w:pStyle w:val="Normal"/>
        <w:jc w:val="both"/>
        <w:rPr>
          <w:rFonts w:ascii="Arial" w:hAnsi="Arial"/>
          <w:shd w:fill="auto" w:val="clear"/>
        </w:rPr>
      </w:pPr>
      <w:r>
        <w:rPr>
          <w:rFonts w:ascii="Arial" w:hAnsi="Arial"/>
          <w:sz w:val="21"/>
          <w:shd w:fill="auto" w:val="clear"/>
        </w:rPr>
        <w:t xml:space="preserve">- En application de </w:t>
      </w:r>
      <w:r>
        <w:rPr>
          <w:rFonts w:ascii="Arial" w:hAnsi="Arial"/>
          <w:b/>
          <w:sz w:val="21"/>
          <w:shd w:fill="auto" w:val="clear"/>
        </w:rPr>
        <w:t>l'article L2141-8 du code de la commande publique</w:t>
      </w:r>
      <w:r>
        <w:rPr>
          <w:rFonts w:ascii="Arial" w:hAnsi="Arial"/>
          <w:sz w:val="21"/>
          <w:shd w:fill="auto"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jc w:val="both"/>
        <w:rPr>
          <w:rFonts w:ascii="Arial" w:hAnsi="Arial"/>
          <w:shd w:fill="auto" w:val="clear"/>
        </w:rPr>
      </w:pPr>
      <w:r>
        <w:rPr>
          <w:rFonts w:ascii="Arial" w:hAnsi="Arial"/>
          <w:sz w:val="21"/>
          <w:shd w:fill="auto" w:val="clear"/>
        </w:rPr>
        <w:t xml:space="preserve">- De même, en application de </w:t>
      </w:r>
      <w:r>
        <w:rPr>
          <w:rFonts w:ascii="Arial" w:hAnsi="Arial"/>
          <w:b/>
          <w:sz w:val="21"/>
          <w:shd w:fill="auto" w:val="clear"/>
        </w:rPr>
        <w:t>l'article L2141-10 du code de la commande publique</w:t>
      </w:r>
      <w:r>
        <w:rPr>
          <w:rFonts w:ascii="Arial" w:hAnsi="Arial"/>
          <w:sz w:val="21"/>
          <w:shd w:fill="auto" w:val="clear"/>
        </w:rPr>
        <w:t>, le pouvoir adjudicateur peut exclure de la présente procédure, les opérateurs économiques qui créent une situation de conflit d'intérêts, telle que définie dans ce même article.</w:t>
      </w:r>
    </w:p>
    <w:p>
      <w:pPr>
        <w:pStyle w:val="Normal"/>
        <w:jc w:val="both"/>
        <w:rPr>
          <w:rFonts w:ascii="Arial" w:hAnsi="Arial"/>
          <w:sz w:val="21"/>
          <w:shd w:fill="auto" w:val="clear"/>
        </w:rPr>
      </w:pPr>
      <w:r>
        <w:rPr>
          <w:rFonts w:ascii="Arial" w:hAnsi="Arial"/>
          <w:sz w:val="21"/>
          <w:shd w:fill="auto" w:val="clear"/>
        </w:rPr>
      </w:r>
    </w:p>
    <w:p>
      <w:pPr>
        <w:pStyle w:val="Normal"/>
        <w:bidi w:val="0"/>
        <w:jc w:val="both"/>
        <w:rPr>
          <w:rFonts w:ascii="Arial" w:hAnsi="Arial"/>
          <w:sz w:val="21"/>
          <w:shd w:fill="auto" w:val="clear"/>
        </w:rPr>
      </w:pPr>
      <w:r>
        <w:rPr>
          <w:rFonts w:ascii="Arial" w:hAnsi="Arial"/>
          <w:sz w:val="21"/>
          <w:shd w:fill="auto" w:val="clear"/>
          <w:lang w:val="fr-F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keepNext w:val="false"/>
        <w:bidi w:val="0"/>
        <w:ind w:left="283" w:hanging="0"/>
        <w:jc w:val="left"/>
        <w:rPr>
          <w:lang w:val="fr-FR"/>
        </w:rPr>
      </w:pPr>
      <w:bookmarkStart w:id="68" w:name="__RefHeading___Toc5776_503095968"/>
      <w:bookmarkStart w:id="69" w:name="Bookmark36"/>
      <w:bookmarkEnd w:id="68"/>
      <w:bookmarkEnd w:id="69"/>
      <w:r>
        <w:rPr>
          <w:lang w:val="fr-FR"/>
        </w:rPr>
        <w:t>6.2 Jugement des offres</w:t>
      </w:r>
    </w:p>
    <w:p>
      <w:pPr>
        <w:pStyle w:val="Standard"/>
        <w:keepNext w:val="false"/>
        <w:bidi w:val="0"/>
        <w:jc w:val="both"/>
        <w:rPr>
          <w:lang w:val="fr-FR"/>
        </w:rPr>
      </w:pPr>
      <w:r>
        <w:rPr>
          <w:lang w:val="fr-FR"/>
        </w:rPr>
        <w:t>Le jugement des offres sera effectué dans les conditions prévues aux articles R2152-1 à 12 du Code de la commande publique et donnera lieu à un classement des offres.</w:t>
      </w:r>
    </w:p>
    <w:p>
      <w:pPr>
        <w:pStyle w:val="Standard"/>
        <w:bidi w:val="0"/>
        <w:jc w:val="both"/>
        <w:rPr>
          <w:lang w:val="fr-FR"/>
        </w:rPr>
      </w:pPr>
      <w:r>
        <w:rPr>
          <w:lang w:val="fr-FR"/>
        </w:rPr>
      </w:r>
    </w:p>
    <w:p>
      <w:pPr>
        <w:pStyle w:val="Standard"/>
        <w:pageBreakBefore w:val="false"/>
        <w:bidi w:val="0"/>
        <w:jc w:val="both"/>
        <w:rPr/>
      </w:pPr>
      <w:r>
        <w:rPr>
          <w:u w:val="single"/>
          <w:lang w:val="fr-FR"/>
        </w:rPr>
        <w:t>Pour chacun des lots</w:t>
      </w:r>
      <w:r>
        <w:rPr>
          <w:lang w:val="fr-FR"/>
        </w:rPr>
        <w:t>, le jugement des offres sera effectué sur les critères pondérés suivants :</w:t>
      </w:r>
    </w:p>
    <w:p>
      <w:pPr>
        <w:pStyle w:val="Standard"/>
        <w:keepNext w:val="false"/>
        <w:bidi w:val="0"/>
        <w:jc w:val="both"/>
        <w:rPr>
          <w:b w:val="false"/>
          <w:b w:val="false"/>
          <w:bCs w:val="false"/>
          <w:lang w:val="fr-FR"/>
        </w:rPr>
      </w:pPr>
      <w:r>
        <w:rPr>
          <w:b w:val="false"/>
          <w:bCs w:val="false"/>
          <w:lang w:val="fr-FR"/>
        </w:rPr>
      </w:r>
    </w:p>
    <w:p>
      <w:pPr>
        <w:pStyle w:val="Standard"/>
        <w:keepNext w:val="false"/>
        <w:pageBreakBefore w:val="false"/>
        <w:bidi w:val="0"/>
        <w:jc w:val="both"/>
        <w:rPr>
          <w:b w:val="false"/>
          <w:b w:val="false"/>
          <w:bCs w:val="false"/>
        </w:rPr>
      </w:pPr>
      <w:r>
        <w:rPr>
          <w:b w:val="false"/>
          <w:bCs w:val="false"/>
        </w:rPr>
        <w:t>1°) Prix de l‘offre : 60 %</w:t>
      </w:r>
    </w:p>
    <w:p>
      <w:pPr>
        <w:pStyle w:val="Standard"/>
        <w:keepNext w:val="false"/>
        <w:bidi w:val="0"/>
        <w:jc w:val="both"/>
        <w:rPr>
          <w:b w:val="false"/>
          <w:b w:val="false"/>
          <w:bCs w:val="false"/>
        </w:rPr>
      </w:pPr>
      <w:r>
        <w:rPr>
          <w:b w:val="false"/>
          <w:bCs w:val="false"/>
        </w:rPr>
        <w:t>2°) Valeur technique de l‘offre : 40 %</w:t>
      </w:r>
    </w:p>
    <w:p>
      <w:pPr>
        <w:pStyle w:val="Standard"/>
        <w:keepNext w:val="false"/>
        <w:bidi w:val="0"/>
        <w:jc w:val="both"/>
        <w:rPr>
          <w:b w:val="false"/>
          <w:b w:val="false"/>
          <w:bCs w:val="false"/>
          <w:u w:val="none"/>
          <w:lang w:val="fr-FR"/>
        </w:rPr>
      </w:pPr>
      <w:r>
        <w:rPr>
          <w:b w:val="false"/>
          <w:bCs w:val="false"/>
          <w:u w:val="none"/>
          <w:lang w:val="fr-FR"/>
        </w:rPr>
      </w:r>
    </w:p>
    <w:p>
      <w:pPr>
        <w:pStyle w:val="Standard"/>
        <w:pageBreakBefore w:val="false"/>
        <w:bidi w:val="0"/>
        <w:jc w:val="both"/>
        <w:rPr>
          <w:lang w:val="fr-FR"/>
        </w:rPr>
      </w:pPr>
      <w:r>
        <w:rPr>
          <w:b/>
          <w:bCs/>
          <w:u w:val="single"/>
          <w:lang w:val="fr-FR"/>
        </w:rPr>
        <w:t>Modalités de mise en œuvre de ces critères :</w:t>
      </w:r>
    </w:p>
    <w:p>
      <w:pPr>
        <w:pStyle w:val="Standard"/>
        <w:keepNext w:val="false"/>
        <w:bidi w:val="0"/>
        <w:jc w:val="both"/>
        <w:rPr>
          <w:lang w:val="fr-FR"/>
        </w:rPr>
      </w:pPr>
      <w:r>
        <w:rPr>
          <w:lang w:val="fr-FR"/>
        </w:rPr>
      </w:r>
    </w:p>
    <w:p>
      <w:pPr>
        <w:pStyle w:val="Standard"/>
        <w:keepNext w:val="false"/>
        <w:bidi w:val="0"/>
        <w:jc w:val="both"/>
        <w:rPr>
          <w:lang w:val="fr-FR"/>
        </w:rPr>
      </w:pPr>
      <w:r>
        <w:rPr>
          <w:b/>
          <w:u w:val="single"/>
          <w:lang w:val="fr-FR"/>
        </w:rPr>
        <w:t>1°) Prix de l’offre</w:t>
      </w:r>
    </w:p>
    <w:p>
      <w:pPr>
        <w:pStyle w:val="Standard"/>
        <w:keepNext w:val="false"/>
        <w:bidi w:val="0"/>
        <w:jc w:val="both"/>
        <w:rPr>
          <w:b w:val="false"/>
          <w:b w:val="false"/>
          <w:bCs w:val="false"/>
          <w:u w:val="none"/>
          <w:lang w:val="fr-FR"/>
        </w:rPr>
      </w:pPr>
      <w:r>
        <w:rPr>
          <w:b w:val="false"/>
          <w:bCs w:val="false"/>
          <w:u w:val="none"/>
          <w:lang w:val="fr-FR"/>
        </w:rPr>
      </w:r>
    </w:p>
    <w:p>
      <w:pPr>
        <w:pStyle w:val="Standard"/>
        <w:bidi w:val="0"/>
        <w:jc w:val="both"/>
        <w:rPr/>
      </w:pPr>
      <w:r>
        <w:rPr>
          <w:b w:val="false"/>
          <w:bCs w:val="false"/>
          <w:u w:val="none"/>
        </w:rPr>
        <w:t>Le total des points relatif au prix constituera le prix de l‘offre (P) du candidat, le maximum pouvant être de 60 points</w:t>
      </w:r>
    </w:p>
    <w:p>
      <w:pPr>
        <w:pStyle w:val="Standard"/>
        <w:bidi w:val="0"/>
        <w:jc w:val="both"/>
        <w:rPr>
          <w:b w:val="false"/>
          <w:b w:val="false"/>
          <w:bCs w:val="false"/>
          <w:u w:val="none"/>
        </w:rPr>
      </w:pPr>
      <w:r>
        <w:rPr>
          <w:b w:val="false"/>
          <w:bCs w:val="false"/>
          <w:u w:val="none"/>
        </w:rPr>
      </w:r>
    </w:p>
    <w:p>
      <w:pPr>
        <w:pStyle w:val="Standard"/>
        <w:keepNext w:val="false"/>
        <w:bidi w:val="0"/>
        <w:jc w:val="both"/>
        <w:rPr/>
      </w:pPr>
      <w:r>
        <w:rPr>
          <w:u w:val="single"/>
        </w:rPr>
        <w:t>Analyse du prix de l'offre</w:t>
      </w:r>
      <w:r>
        <w:rPr/>
        <w:t xml:space="preserve"> :</w:t>
      </w:r>
    </w:p>
    <w:p>
      <w:pPr>
        <w:pStyle w:val="Standard"/>
        <w:keepNext w:val="false"/>
        <w:bidi w:val="0"/>
        <w:jc w:val="both"/>
        <w:rPr/>
      </w:pPr>
      <w:r>
        <w:rPr/>
      </w:r>
    </w:p>
    <w:p>
      <w:pPr>
        <w:pStyle w:val="Standard"/>
        <w:keepNext w:val="false"/>
        <w:bidi w:val="0"/>
        <w:jc w:val="both"/>
        <w:rPr/>
      </w:pPr>
      <w:r>
        <w:rPr/>
        <w:t>Les offres doivent obligatoirement être libellées en euros.</w:t>
      </w:r>
    </w:p>
    <w:p>
      <w:pPr>
        <w:pStyle w:val="Standard"/>
        <w:keepNext w:val="false"/>
        <w:bidi w:val="0"/>
        <w:jc w:val="both"/>
        <w:rPr/>
      </w:pPr>
      <w:r>
        <w:rPr/>
      </w:r>
    </w:p>
    <w:p>
      <w:pPr>
        <w:pStyle w:val="Standard"/>
        <w:keepNext w:val="false"/>
        <w:keepLines w:val="false"/>
        <w:bidi w:val="0"/>
        <w:jc w:val="both"/>
        <w:rPr/>
      </w:pPr>
      <w:r>
        <w:rPr>
          <w:b/>
          <w:lang w:val="fr-FR"/>
        </w:rPr>
        <w:t>Prix unitaires :</w:t>
      </w:r>
    </w:p>
    <w:p>
      <w:pPr>
        <w:pStyle w:val="Standard"/>
        <w:bidi w:val="0"/>
        <w:jc w:val="both"/>
        <w:rPr>
          <w:lang w:val="fr-FR"/>
        </w:rPr>
      </w:pPr>
      <w:r>
        <w:rPr>
          <w:lang w:val="fr-FR"/>
        </w:rPr>
      </w:r>
    </w:p>
    <w:p>
      <w:pPr>
        <w:pStyle w:val="Standard"/>
        <w:keepNext w:val="false"/>
        <w:bidi w:val="0"/>
        <w:jc w:val="both"/>
        <w:rPr/>
      </w:pPr>
      <w:r>
        <w:rPr/>
        <w:t>La comparaison des Prix sera effectuée sur la base de 2 (deux) détails quantitatifs estimatifs (DQE), à savoir le DQE P1 complété par le candidat et le DQE P2 masqué.</w:t>
      </w:r>
    </w:p>
    <w:p>
      <w:pPr>
        <w:pStyle w:val="Standard"/>
        <w:bidi w:val="0"/>
        <w:jc w:val="both"/>
        <w:rPr/>
      </w:pPr>
      <w:r>
        <w:rPr/>
      </w:r>
    </w:p>
    <w:p>
      <w:pPr>
        <w:pStyle w:val="Standard"/>
        <w:bidi w:val="0"/>
        <w:jc w:val="both"/>
        <w:rPr/>
      </w:pPr>
      <w:r>
        <w:rPr/>
        <w:t>- P1 est le montant total du DQE aux candidats.</w:t>
      </w:r>
    </w:p>
    <w:p>
      <w:pPr>
        <w:pStyle w:val="Standard"/>
        <w:keepNext w:val="false"/>
        <w:bidi w:val="0"/>
        <w:jc w:val="both"/>
        <w:rPr/>
      </w:pPr>
      <w:r>
        <w:rPr/>
      </w:r>
    </w:p>
    <w:p>
      <w:pPr>
        <w:pStyle w:val="Standard"/>
        <w:keepNext w:val="false"/>
        <w:bidi w:val="0"/>
        <w:jc w:val="both"/>
        <w:rPr/>
      </w:pPr>
      <w:r>
        <w:rPr/>
        <w:t xml:space="preserve">Ce dernier complète le Bordereau de Prix unitaires (BPU) ainsi que le DQE P1 fourni en indiquant les prix unitaires et totaux. Le DQE P1 sert à l‘analyse des prix. </w:t>
      </w:r>
    </w:p>
    <w:p>
      <w:pPr>
        <w:pStyle w:val="Standard"/>
        <w:bidi w:val="0"/>
        <w:jc w:val="both"/>
        <w:rPr/>
      </w:pPr>
      <w:r>
        <w:rPr/>
      </w:r>
    </w:p>
    <w:p>
      <w:pPr>
        <w:pStyle w:val="Standard"/>
        <w:keepNext w:val="false"/>
        <w:keepLines w:val="false"/>
        <w:bidi w:val="0"/>
        <w:jc w:val="both"/>
        <w:rPr/>
      </w:pPr>
      <w:r>
        <w:rPr>
          <w:b w:val="false"/>
          <w:bCs w:val="false"/>
          <w:u w:val="none"/>
        </w:rPr>
        <w:t>Chaque candidat veillera à la concordance entre le BPU et le DQE P1. En cas de discordance entre le BPU et le DQE P1, c‘est le prix unitaire figurant sur le BPU qui prévaudra et le DQE  P1 sera corrigé et recalculé en conséquence.</w:t>
      </w:r>
    </w:p>
    <w:p>
      <w:pPr>
        <w:pStyle w:val="Standard"/>
        <w:bidi w:val="0"/>
        <w:jc w:val="both"/>
        <w:rPr>
          <w:b w:val="false"/>
          <w:b w:val="false"/>
          <w:bCs w:val="false"/>
          <w:u w:val="none"/>
        </w:rPr>
      </w:pPr>
      <w:r>
        <w:rPr>
          <w:b w:val="false"/>
          <w:bCs w:val="false"/>
          <w:u w:val="none"/>
        </w:rPr>
      </w:r>
    </w:p>
    <w:p>
      <w:pPr>
        <w:pStyle w:val="Standard"/>
        <w:keepNext w:val="false"/>
        <w:keepLines w:val="false"/>
        <w:bidi w:val="0"/>
        <w:jc w:val="both"/>
        <w:rPr/>
      </w:pPr>
      <w:r>
        <w:rPr>
          <w:b w:val="false"/>
          <w:bCs w:val="false"/>
          <w:u w:val="none"/>
        </w:rPr>
        <w:t>- P2 est le montant total du DQE masqué.</w:t>
      </w:r>
    </w:p>
    <w:p>
      <w:pPr>
        <w:pStyle w:val="Standard"/>
        <w:keepNext w:val="false"/>
        <w:keepLines w:val="false"/>
        <w:bidi w:val="0"/>
        <w:jc w:val="both"/>
        <w:rPr>
          <w:b w:val="false"/>
          <w:b w:val="false"/>
          <w:bCs w:val="false"/>
          <w:u w:val="none"/>
        </w:rPr>
      </w:pPr>
      <w:r>
        <w:rPr>
          <w:b w:val="false"/>
          <w:bCs w:val="false"/>
          <w:u w:val="none"/>
        </w:rPr>
      </w:r>
    </w:p>
    <w:p>
      <w:pPr>
        <w:pStyle w:val="Standard"/>
        <w:keepNext w:val="false"/>
        <w:keepLines w:val="false"/>
        <w:bidi w:val="0"/>
        <w:jc w:val="both"/>
        <w:rPr/>
      </w:pPr>
      <w:r>
        <w:rPr>
          <w:b w:val="false"/>
          <w:bCs w:val="false"/>
          <w:u w:val="none"/>
        </w:rPr>
        <w:t>Ce DQE masqué, établi par l‘administration, est remis au représentant du pouvoir adjudicateur avant l‘ouverture des plis. Pour effectuer l‘analyse, ce DQE masqué reprend certains prix unitaires du BPU non listés au DQE P1 remis par le candidat, multipliés par des quantités définies préalablement à l‘ouverture des plis pour chaque prestation sélectionnée. Le montant ainsi obtenu sert à l‘analyse des offres.</w:t>
      </w:r>
    </w:p>
    <w:p>
      <w:pPr>
        <w:pStyle w:val="Standard"/>
        <w:bidi w:val="0"/>
        <w:jc w:val="both"/>
        <w:rPr>
          <w:b w:val="false"/>
          <w:b w:val="false"/>
          <w:bCs w:val="false"/>
        </w:rPr>
      </w:pPr>
      <w:r>
        <w:rPr>
          <w:b w:val="false"/>
          <w:bCs w:val="false"/>
          <w:u w:val="none"/>
          <w:lang w:val="fr-FR"/>
        </w:rPr>
        <w:t>La notation de l‘offre du candidat (i) est effectuée à l‘aide de la formule suivante :</w:t>
      </w:r>
    </w:p>
    <w:p>
      <w:pPr>
        <w:pStyle w:val="Standard"/>
        <w:bidi w:val="0"/>
        <w:jc w:val="both"/>
        <w:rPr>
          <w:lang w:val="fr-FR"/>
        </w:rPr>
      </w:pPr>
      <w:r>
        <w:rPr>
          <w:lang w:val="fr-FR"/>
        </w:rPr>
      </w:r>
    </w:p>
    <w:p>
      <w:pPr>
        <w:pStyle w:val="Normal"/>
        <w:bidi w:val="0"/>
        <w:jc w:val="both"/>
        <w:rPr>
          <w:rFonts w:ascii="Arial" w:hAnsi="Arial"/>
          <w:sz w:val="21"/>
          <w:szCs w:val="21"/>
        </w:rPr>
      </w:pPr>
      <w:r>
        <w:rPr>
          <w:rFonts w:ascii="Arial" w:hAnsi="Arial"/>
          <w:b/>
          <w:bCs/>
          <w:sz w:val="21"/>
          <w:szCs w:val="21"/>
          <w:u w:val="none"/>
        </w:rPr>
        <w:t>- NP1(i) = 30 x [P1(m) / P1(i)]</w:t>
      </w:r>
    </w:p>
    <w:p>
      <w:pPr>
        <w:pStyle w:val="Standard"/>
        <w:bidi w:val="0"/>
        <w:jc w:val="both"/>
        <w:rPr/>
      </w:pPr>
      <w:r>
        <w:rPr>
          <w:b w:val="false"/>
          <w:bCs w:val="false"/>
          <w:u w:val="none"/>
        </w:rPr>
        <w:t>dans laquelle :</w:t>
      </w:r>
    </w:p>
    <w:p>
      <w:pPr>
        <w:pStyle w:val="Standard"/>
        <w:bidi w:val="0"/>
        <w:jc w:val="both"/>
        <w:rPr/>
      </w:pPr>
      <w:r>
        <w:rPr>
          <w:b w:val="false"/>
          <w:bCs w:val="false"/>
          <w:u w:val="none"/>
        </w:rPr>
        <w:t>NP1(i) est la note attribuée à l‘offre de prix du DQE P1 du candidat (i)</w:t>
      </w:r>
    </w:p>
    <w:p>
      <w:pPr>
        <w:pStyle w:val="Standard"/>
        <w:bidi w:val="0"/>
        <w:jc w:val="both"/>
        <w:rPr/>
      </w:pPr>
      <w:r>
        <w:rPr>
          <w:b w:val="false"/>
          <w:bCs w:val="false"/>
          <w:u w:val="none"/>
        </w:rPr>
        <w:t>P1(i) est le prix de l‘offre du candidat (i) pour le DQE P1</w:t>
      </w:r>
    </w:p>
    <w:p>
      <w:pPr>
        <w:pStyle w:val="Standard"/>
        <w:bidi w:val="0"/>
        <w:jc w:val="both"/>
        <w:rPr/>
      </w:pPr>
      <w:r>
        <w:rPr>
          <w:b w:val="false"/>
          <w:bCs w:val="false"/>
          <w:u w:val="none"/>
        </w:rPr>
        <w:t>P1(m) est le prix de l‘offre la moins-disante pour le DQE P1</w:t>
      </w:r>
    </w:p>
    <w:p>
      <w:pPr>
        <w:pStyle w:val="Standard"/>
        <w:bidi w:val="0"/>
        <w:jc w:val="both"/>
        <w:rPr>
          <w:b w:val="false"/>
          <w:b w:val="false"/>
          <w:bCs w:val="false"/>
          <w:u w:val="none"/>
        </w:rPr>
      </w:pPr>
      <w:r>
        <w:rPr>
          <w:b w:val="false"/>
          <w:bCs w:val="false"/>
          <w:u w:val="none"/>
        </w:rPr>
      </w:r>
    </w:p>
    <w:p>
      <w:pPr>
        <w:pStyle w:val="Normal"/>
        <w:bidi w:val="0"/>
        <w:jc w:val="both"/>
        <w:rPr/>
      </w:pPr>
      <w:r>
        <w:rPr>
          <w:rFonts w:ascii="Arial" w:hAnsi="Arial"/>
          <w:b/>
          <w:bCs/>
          <w:sz w:val="21"/>
          <w:szCs w:val="21"/>
          <w:u w:val="none"/>
        </w:rPr>
        <w:t>- NP2(i) = 30 x [P2(m) / P2(i)]</w:t>
      </w:r>
    </w:p>
    <w:p>
      <w:pPr>
        <w:pStyle w:val="Standard"/>
        <w:bidi w:val="0"/>
        <w:jc w:val="both"/>
        <w:rPr/>
      </w:pPr>
      <w:r>
        <w:rPr>
          <w:b w:val="false"/>
          <w:bCs w:val="false"/>
          <w:u w:val="none"/>
        </w:rPr>
        <w:t>dans laquelle :</w:t>
      </w:r>
    </w:p>
    <w:p>
      <w:pPr>
        <w:pStyle w:val="Standard"/>
        <w:bidi w:val="0"/>
        <w:jc w:val="both"/>
        <w:rPr/>
      </w:pPr>
      <w:r>
        <w:rPr>
          <w:b w:val="false"/>
          <w:bCs w:val="false"/>
          <w:u w:val="none"/>
        </w:rPr>
        <w:t>NP2(i) est la note attribuée à l‘offre de prix du DQE P2 du candidat (i)</w:t>
      </w:r>
    </w:p>
    <w:p>
      <w:pPr>
        <w:pStyle w:val="Standard"/>
        <w:bidi w:val="0"/>
        <w:jc w:val="both"/>
        <w:rPr/>
      </w:pPr>
      <w:r>
        <w:rPr>
          <w:b w:val="false"/>
          <w:bCs w:val="false"/>
          <w:u w:val="none"/>
        </w:rPr>
        <w:t>P2(i) est le prix de l‘offre du candidat (i) pour le DQE P2</w:t>
      </w:r>
    </w:p>
    <w:p>
      <w:pPr>
        <w:pStyle w:val="Standard"/>
        <w:bidi w:val="0"/>
        <w:jc w:val="both"/>
        <w:rPr/>
      </w:pPr>
      <w:r>
        <w:rPr>
          <w:b w:val="false"/>
          <w:bCs w:val="false"/>
          <w:u w:val="none"/>
        </w:rPr>
        <w:t>P2(m) est le prix de l‘offre la moins-disante pour le DQE P2</w:t>
      </w:r>
    </w:p>
    <w:p>
      <w:pPr>
        <w:pStyle w:val="Standard"/>
        <w:bidi w:val="0"/>
        <w:jc w:val="both"/>
        <w:rPr>
          <w:b w:val="false"/>
          <w:b w:val="false"/>
          <w:bCs w:val="false"/>
          <w:u w:val="none"/>
        </w:rPr>
      </w:pPr>
      <w:r>
        <w:rPr>
          <w:b w:val="false"/>
          <w:bCs w:val="false"/>
          <w:u w:val="none"/>
        </w:rPr>
      </w:r>
    </w:p>
    <w:p>
      <w:pPr>
        <w:pStyle w:val="Standard"/>
        <w:bidi w:val="0"/>
        <w:jc w:val="both"/>
        <w:rPr/>
      </w:pPr>
      <w:r>
        <w:rPr>
          <w:b w:val="false"/>
          <w:bCs w:val="false"/>
          <w:u w:val="none"/>
        </w:rPr>
        <w:t>NP(i) est la note prix attribuée à l‘offre de prix globale du candidat (i) calculée par la formule suivante :</w:t>
      </w:r>
    </w:p>
    <w:p>
      <w:pPr>
        <w:pStyle w:val="Standard"/>
        <w:bidi w:val="0"/>
        <w:jc w:val="both"/>
        <w:rPr>
          <w:b w:val="false"/>
          <w:b w:val="false"/>
          <w:bCs w:val="false"/>
          <w:u w:val="none"/>
        </w:rPr>
      </w:pPr>
      <w:r>
        <w:rPr>
          <w:b w:val="false"/>
          <w:bCs w:val="false"/>
          <w:u w:val="none"/>
        </w:rPr>
      </w:r>
    </w:p>
    <w:p>
      <w:pPr>
        <w:pStyle w:val="Normal"/>
        <w:bidi w:val="0"/>
        <w:jc w:val="both"/>
        <w:rPr/>
      </w:pPr>
      <w:r>
        <w:rPr>
          <w:rFonts w:ascii="Arial" w:hAnsi="Arial"/>
          <w:b/>
          <w:bCs/>
          <w:sz w:val="21"/>
          <w:szCs w:val="21"/>
          <w:u w:val="none"/>
        </w:rPr>
        <w:tab/>
        <w:t>NP(i) = NP1(i) + NP2(i)</w:t>
      </w:r>
    </w:p>
    <w:p>
      <w:pPr>
        <w:pStyle w:val="Standard"/>
        <w:bidi w:val="0"/>
        <w:jc w:val="both"/>
        <w:rPr/>
      </w:pPr>
      <w:r>
        <w:rPr>
          <w:b w:val="false"/>
          <w:bCs w:val="false"/>
          <w:u w:val="none"/>
        </w:rPr>
        <w:t>dans laquelle :</w:t>
      </w:r>
    </w:p>
    <w:p>
      <w:pPr>
        <w:pStyle w:val="Standard"/>
        <w:bidi w:val="0"/>
        <w:jc w:val="both"/>
        <w:rPr/>
      </w:pPr>
      <w:bookmarkStart w:id="70" w:name="__DdeLink__851_1086836789"/>
      <w:bookmarkEnd w:id="70"/>
      <w:r>
        <w:rPr>
          <w:b w:val="false"/>
          <w:bCs w:val="false"/>
          <w:u w:val="none"/>
        </w:rPr>
        <w:t>NP1(i) est la note attribuée à l‘offre de prix du DQE P1 du candidat (i)</w:t>
      </w:r>
    </w:p>
    <w:p>
      <w:pPr>
        <w:pStyle w:val="Standard"/>
        <w:bidi w:val="0"/>
        <w:jc w:val="both"/>
        <w:rPr/>
      </w:pPr>
      <w:r>
        <w:rPr>
          <w:b w:val="false"/>
          <w:bCs w:val="false"/>
          <w:u w:val="none"/>
        </w:rPr>
        <w:t>NP2(i) est la note attribuée à l‘offre de prix du DQE P2 du candidat (i)</w:t>
      </w:r>
    </w:p>
    <w:p>
      <w:pPr>
        <w:pStyle w:val="Standard"/>
        <w:bidi w:val="0"/>
        <w:jc w:val="both"/>
        <w:rPr>
          <w:b w:val="false"/>
          <w:b w:val="false"/>
          <w:bCs w:val="false"/>
          <w:u w:val="none"/>
        </w:rPr>
      </w:pPr>
      <w:r>
        <w:rPr>
          <w:b w:val="false"/>
          <w:bCs w:val="false"/>
          <w:u w:val="none"/>
        </w:rPr>
      </w:r>
    </w:p>
    <w:p>
      <w:pPr>
        <w:pStyle w:val="Standard"/>
        <w:keepNext w:val="false"/>
        <w:bidi w:val="0"/>
        <w:jc w:val="both"/>
        <w:rPr/>
      </w:pPr>
      <w:r>
        <w:rPr/>
        <w:t>Après élimination des offres anormalement basses, la notation de l'offre du candidat (i) sera effectuée à l'aide de la formule suivante :</w:t>
      </w:r>
    </w:p>
    <w:p>
      <w:pPr>
        <w:pStyle w:val="Standard"/>
        <w:bidi w:val="0"/>
        <w:jc w:val="both"/>
        <w:rPr/>
      </w:pPr>
      <w:r>
        <w:rPr/>
      </w:r>
    </w:p>
    <w:p>
      <w:pPr>
        <w:pStyle w:val="Standard"/>
        <w:bidi w:val="0"/>
        <w:jc w:val="both"/>
        <w:rPr/>
      </w:pPr>
      <w:r>
        <w:rPr/>
        <w:tab/>
      </w:r>
      <w:r>
        <w:rPr>
          <w:b/>
          <w:bCs/>
        </w:rPr>
        <w:t>NPF(i) = 60 * [(NP(i) / NP(m)]</w:t>
      </w:r>
    </w:p>
    <w:p>
      <w:pPr>
        <w:pStyle w:val="Standard"/>
        <w:bidi w:val="0"/>
        <w:jc w:val="both"/>
        <w:rPr/>
      </w:pPr>
      <w:r>
        <w:rPr/>
        <w:t>Dans laquelle :</w:t>
      </w:r>
    </w:p>
    <w:p>
      <w:pPr>
        <w:pStyle w:val="Standard"/>
        <w:keepNext w:val="false"/>
        <w:bidi w:val="0"/>
        <w:jc w:val="both"/>
        <w:rPr/>
      </w:pPr>
      <w:r>
        <w:rPr/>
        <w:t>NPF(i) est la note de prix finale attribuée à l‘offre de prix globale du candidat (i)</w:t>
      </w:r>
    </w:p>
    <w:p>
      <w:pPr>
        <w:pStyle w:val="Standard"/>
        <w:keepNext w:val="false"/>
        <w:bidi w:val="0"/>
        <w:jc w:val="both"/>
        <w:rPr/>
      </w:pPr>
      <w:r>
        <w:rPr/>
        <w:t>NP(i) est la note attribuée à l‘offre de prix globale du candidat (i)</w:t>
      </w:r>
    </w:p>
    <w:p>
      <w:pPr>
        <w:pStyle w:val="Standard"/>
        <w:keepNext w:val="false"/>
        <w:bidi w:val="0"/>
        <w:spacing w:before="0" w:after="0"/>
        <w:jc w:val="both"/>
        <w:rPr>
          <w:b w:val="false"/>
          <w:b w:val="false"/>
          <w:bCs w:val="false"/>
        </w:rPr>
      </w:pPr>
      <w:r>
        <w:rPr>
          <w:b w:val="false"/>
          <w:bCs w:val="false"/>
          <w:lang w:val="fr-FR"/>
        </w:rPr>
        <w:t>NP(m) est la meilleure note de prix globale attribuée</w:t>
      </w:r>
    </w:p>
    <w:p>
      <w:pPr>
        <w:pStyle w:val="Standard"/>
        <w:bidi w:val="0"/>
        <w:jc w:val="both"/>
        <w:rPr>
          <w:b w:val="false"/>
          <w:b w:val="false"/>
          <w:bCs w:val="false"/>
          <w:u w:val="none"/>
          <w:lang w:val="fr-FR"/>
        </w:rPr>
      </w:pPr>
      <w:r>
        <w:rPr>
          <w:b w:val="false"/>
          <w:bCs w:val="false"/>
          <w:u w:val="none"/>
          <w:lang w:val="fr-FR"/>
        </w:rPr>
      </w:r>
    </w:p>
    <w:p>
      <w:pPr>
        <w:pStyle w:val="Standard"/>
        <w:bidi w:val="0"/>
        <w:jc w:val="both"/>
        <w:rPr/>
      </w:pPr>
      <w:r>
        <w:rPr>
          <w:b/>
          <w:u w:val="single"/>
        </w:rPr>
        <w:t>2°) Valeur technique de l’offre</w:t>
      </w:r>
    </w:p>
    <w:p>
      <w:pPr>
        <w:pStyle w:val="Standard"/>
        <w:keepNext w:val="false"/>
        <w:bidi w:val="0"/>
        <w:jc w:val="both"/>
        <w:rPr>
          <w:b/>
          <w:b/>
        </w:rPr>
      </w:pPr>
      <w:r>
        <w:rPr>
          <w:b/>
        </w:rPr>
      </w:r>
    </w:p>
    <w:p>
      <w:pPr>
        <w:pStyle w:val="Standard"/>
        <w:keepNext w:val="false"/>
        <w:bidi w:val="0"/>
        <w:jc w:val="both"/>
        <w:rPr/>
      </w:pPr>
      <w:bookmarkStart w:id="71" w:name="__DdeLink__3362_2236234767"/>
      <w:bookmarkEnd w:id="71"/>
      <w:r>
        <w:rPr>
          <w:b w:val="false"/>
          <w:bCs w:val="false"/>
          <w:color w:val="00000A"/>
        </w:rPr>
        <w:t>La valeur technique est appréciée à partir des informations qui figureront dans le cadre de mémoire technique.</w:t>
      </w:r>
    </w:p>
    <w:p>
      <w:pPr>
        <w:pStyle w:val="Standard"/>
        <w:keepNext w:val="false"/>
        <w:bidi w:val="0"/>
        <w:jc w:val="both"/>
        <w:rPr>
          <w:b w:val="false"/>
          <w:b w:val="false"/>
          <w:bCs w:val="false"/>
          <w:color w:val="00000A"/>
        </w:rPr>
      </w:pPr>
      <w:r>
        <w:rPr>
          <w:b w:val="false"/>
          <w:bCs w:val="false"/>
          <w:color w:val="00000A"/>
        </w:rPr>
      </w:r>
    </w:p>
    <w:p>
      <w:pPr>
        <w:pStyle w:val="Standard"/>
        <w:keepNext w:val="false"/>
        <w:keepLines w:val="false"/>
        <w:bidi w:val="0"/>
        <w:jc w:val="both"/>
        <w:rPr/>
      </w:pPr>
      <w:r>
        <w:rPr/>
        <w:t>Les sous critères de pondération pour évaluer la valeur technique sont les suivants :</w:t>
      </w:r>
    </w:p>
    <w:p>
      <w:pPr>
        <w:pStyle w:val="Standard"/>
        <w:keepNext w:val="false"/>
        <w:keepLines w:val="false"/>
        <w:bidi w:val="0"/>
        <w:jc w:val="both"/>
        <w:rPr/>
      </w:pPr>
      <w:r>
        <w:rPr/>
      </w:r>
    </w:p>
    <w:p>
      <w:pPr>
        <w:pStyle w:val="ListParagraph"/>
        <w:keepNext w:val="false"/>
        <w:keepLines w:val="false"/>
        <w:numPr>
          <w:ilvl w:val="0"/>
          <w:numId w:val="2"/>
        </w:numPr>
        <w:bidi w:val="0"/>
        <w:jc w:val="both"/>
        <w:rPr/>
      </w:pPr>
      <w:r>
        <w:rPr/>
        <w:t xml:space="preserve">Qualité du procédé d‘exécution mis en oeuvre pour la réalisation du chantier type précisant les règles d‘hygiène et de sécurité liées à ces prestations dans les lieux fréquentés par le public (15 points) </w:t>
      </w:r>
    </w:p>
    <w:p>
      <w:pPr>
        <w:pStyle w:val="ListParagraph"/>
        <w:keepNext w:val="false"/>
        <w:keepLines w:val="false"/>
        <w:numPr>
          <w:ilvl w:val="0"/>
          <w:numId w:val="2"/>
        </w:numPr>
        <w:bidi w:val="0"/>
        <w:jc w:val="both"/>
        <w:rPr/>
      </w:pPr>
      <w:bookmarkStart w:id="72" w:name="__DdeLink__12870_3218606203"/>
      <w:r>
        <w:rPr/>
        <w:t xml:space="preserve">Qualité des </w:t>
      </w:r>
      <w:bookmarkEnd w:id="72"/>
      <w:r>
        <w:rPr/>
        <w:t>moyens humains (composition des équipes mobilisables et fonctions affectées à l‘exécution des prestations) et matériels (10 points)</w:t>
      </w:r>
    </w:p>
    <w:p>
      <w:pPr>
        <w:pStyle w:val="ListParagraph"/>
        <w:keepNext w:val="false"/>
        <w:keepLines w:val="false"/>
        <w:numPr>
          <w:ilvl w:val="0"/>
          <w:numId w:val="2"/>
        </w:numPr>
        <w:bidi w:val="0"/>
        <w:jc w:val="both"/>
        <w:rPr/>
      </w:pPr>
      <w:r>
        <w:rPr/>
        <w:t>Performance du dispositif pour traiter les demandes d‘interventions urgentes (10 points)</w:t>
      </w:r>
    </w:p>
    <w:p>
      <w:pPr>
        <w:pStyle w:val="ListParagraph"/>
        <w:keepNext w:val="false"/>
        <w:keepLines w:val="false"/>
        <w:numPr>
          <w:ilvl w:val="0"/>
          <w:numId w:val="1"/>
        </w:numPr>
        <w:bidi w:val="0"/>
        <w:jc w:val="both"/>
        <w:rPr/>
      </w:pPr>
      <w:r>
        <w:rPr/>
        <w:t xml:space="preserve">Performance en matière de développement durable </w:t>
      </w:r>
      <w:bookmarkStart w:id="73" w:name="__DdeLink__2490_317149669311"/>
      <w:r>
        <w:rPr/>
        <w:t>d</w:t>
      </w:r>
      <w:bookmarkEnd w:id="73"/>
      <w:r>
        <w:rPr/>
        <w:t>écrivant notamment la valorisation de matériaux de chantier recyclés et la gestion des déchets pour l‘exécution des prestations (5 points)</w:t>
      </w:r>
    </w:p>
    <w:p>
      <w:pPr>
        <w:pStyle w:val="Standard"/>
        <w:keepNext w:val="false"/>
        <w:keepLines w:val="false"/>
        <w:bidi w:val="0"/>
        <w:jc w:val="both"/>
        <w:rPr/>
      </w:pPr>
      <w:r>
        <w:rPr/>
      </w:r>
    </w:p>
    <w:p>
      <w:pPr>
        <w:pStyle w:val="Standard"/>
        <w:keepNext w:val="false"/>
        <w:keepLines w:val="false"/>
        <w:bidi w:val="0"/>
        <w:jc w:val="both"/>
        <w:rPr/>
      </w:pPr>
      <w:bookmarkStart w:id="74" w:name="__DdeLink__12522_298562555"/>
      <w:bookmarkEnd w:id="74"/>
      <w:r>
        <w:rPr>
          <w:b w:val="false"/>
          <w:bCs w:val="false"/>
          <w:color w:val="00000A"/>
          <w:u w:val="none"/>
          <w:lang w:val="fr-FR"/>
        </w:rPr>
        <w:t>Le total des points relatif à la valeur technique constituera la valeur technique (VT) du candidat, le maximum pouvant être de 40 points.</w:t>
      </w:r>
    </w:p>
    <w:p>
      <w:pPr>
        <w:pStyle w:val="Standard"/>
        <w:keepNext w:val="false"/>
        <w:keepLines w:val="false"/>
        <w:bidi w:val="0"/>
        <w:jc w:val="both"/>
        <w:rPr>
          <w:b w:val="false"/>
          <w:b w:val="false"/>
          <w:bCs w:val="false"/>
          <w:color w:val="00000A"/>
          <w:u w:val="none"/>
          <w:lang w:val="fr-FR"/>
        </w:rPr>
      </w:pPr>
      <w:r>
        <w:rPr>
          <w:b w:val="false"/>
          <w:bCs w:val="false"/>
          <w:color w:val="00000A"/>
          <w:u w:val="none"/>
          <w:lang w:val="fr-FR"/>
        </w:rPr>
      </w:r>
    </w:p>
    <w:p>
      <w:pPr>
        <w:pStyle w:val="Standard"/>
        <w:keepNext w:val="false"/>
        <w:bidi w:val="0"/>
        <w:jc w:val="left"/>
        <w:rPr/>
      </w:pPr>
      <w:r>
        <w:rPr/>
        <w:t>Le total des points attribués à chaque sous-critère, constituera la valeur technique initiale V (i) du candidat.</w:t>
      </w:r>
    </w:p>
    <w:p>
      <w:pPr>
        <w:pStyle w:val="Standard"/>
        <w:bidi w:val="0"/>
        <w:jc w:val="left"/>
        <w:rPr/>
      </w:pPr>
      <w:r>
        <w:rPr/>
        <w:t>Après élimination éventuelle des offres irrégulières ou inappropriées, la notation de l'offre du candidat (i) sera effectuée à l'aide de la formule suivante :</w:t>
      </w:r>
    </w:p>
    <w:p>
      <w:pPr>
        <w:pStyle w:val="Standard"/>
        <w:bidi w:val="0"/>
        <w:jc w:val="left"/>
        <w:rPr/>
      </w:pPr>
      <w:r>
        <w:rPr/>
      </w:r>
    </w:p>
    <w:p>
      <w:pPr>
        <w:pStyle w:val="Standard"/>
        <w:keepNext w:val="false"/>
        <w:bidi w:val="0"/>
        <w:jc w:val="left"/>
        <w:rPr/>
      </w:pPr>
      <w:r>
        <w:rPr/>
        <w:t>VT = 40 * (VT(i)/VT(m))</w:t>
      </w:r>
    </w:p>
    <w:p>
      <w:pPr>
        <w:pStyle w:val="Standard"/>
        <w:bidi w:val="0"/>
        <w:jc w:val="left"/>
        <w:rPr/>
      </w:pPr>
      <w:r>
        <w:rPr/>
        <w:t>Dans laquelle :</w:t>
      </w:r>
    </w:p>
    <w:p>
      <w:pPr>
        <w:pStyle w:val="Standard"/>
        <w:keepNext w:val="false"/>
        <w:bidi w:val="0"/>
        <w:jc w:val="left"/>
        <w:rPr/>
      </w:pPr>
      <w:r>
        <w:rPr/>
        <w:t>VT est la note finale attribuée à la valeur technique du candidat (i)</w:t>
      </w:r>
    </w:p>
    <w:p>
      <w:pPr>
        <w:pStyle w:val="Standard"/>
        <w:keepNext w:val="false"/>
        <w:bidi w:val="0"/>
        <w:jc w:val="left"/>
        <w:rPr/>
      </w:pPr>
      <w:r>
        <w:rPr/>
        <w:t>VT (i) est la valeur technique initiale obtenue par le candidat (i)</w:t>
      </w:r>
    </w:p>
    <w:p>
      <w:pPr>
        <w:pStyle w:val="Standard"/>
        <w:keepNext w:val="false"/>
        <w:keepLines w:val="false"/>
        <w:bidi w:val="0"/>
        <w:jc w:val="left"/>
        <w:rPr/>
      </w:pPr>
      <w:r>
        <w:rPr>
          <w:b w:val="false"/>
          <w:bCs w:val="false"/>
          <w:color w:val="00000A"/>
          <w:u w:val="none"/>
          <w:lang w:val="fr-FR"/>
        </w:rPr>
        <w:t>VT (m) est la valeur technique initiale obtenue par le candidat ayant la meilleure offre.</w:t>
      </w:r>
    </w:p>
    <w:p>
      <w:pPr>
        <w:pStyle w:val="Standard"/>
        <w:bidi w:val="0"/>
        <w:jc w:val="both"/>
        <w:rPr>
          <w:lang w:val="fr-FR"/>
        </w:rPr>
      </w:pPr>
      <w:r>
        <w:rPr>
          <w:lang w:val="fr-FR"/>
        </w:rPr>
      </w:r>
    </w:p>
    <w:p>
      <w:pPr>
        <w:pStyle w:val="Standard"/>
        <w:keepNext w:val="false"/>
        <w:bidi w:val="0"/>
        <w:jc w:val="both"/>
        <w:rPr/>
      </w:pPr>
      <w:r>
        <w:rPr/>
        <w:t>* Evaluation finale :</w:t>
      </w:r>
    </w:p>
    <w:p>
      <w:pPr>
        <w:pStyle w:val="Standard"/>
        <w:keepNext w:val="false"/>
        <w:bidi w:val="0"/>
        <w:jc w:val="both"/>
        <w:rPr/>
      </w:pPr>
      <w:r>
        <w:rPr/>
        <w:t>Les offres sont classées suivant la valeur de la note N correspondant à la note définitive. L'entreprise classée première est celle ayant la note la plus élevée.</w:t>
      </w:r>
    </w:p>
    <w:p>
      <w:pPr>
        <w:pStyle w:val="Standard"/>
        <w:keepNext w:val="false"/>
        <w:bidi w:val="0"/>
        <w:jc w:val="both"/>
        <w:rPr/>
      </w:pPr>
      <w:r>
        <w:rPr/>
      </w:r>
    </w:p>
    <w:p>
      <w:pPr>
        <w:pStyle w:val="Standard"/>
        <w:keepNext w:val="false"/>
        <w:bidi w:val="0"/>
        <w:jc w:val="both"/>
        <w:rPr/>
      </w:pPr>
      <w:r>
        <w:rPr/>
        <w:t>La pondération s'effectuera sur la base de : 60% pour le prix, 40% pour la valeur technique, en fonction de la formule suivante :</w:t>
      </w:r>
    </w:p>
    <w:p>
      <w:pPr>
        <w:pStyle w:val="Standard"/>
        <w:keepNext w:val="false"/>
        <w:bidi w:val="0"/>
        <w:jc w:val="both"/>
        <w:rPr/>
      </w:pPr>
      <w:r>
        <w:rPr/>
        <w:t>N(note définitive) = N(i) + VT</w:t>
      </w:r>
    </w:p>
    <w:p>
      <w:pPr>
        <w:pStyle w:val="Standard"/>
        <w:keepNext w:val="false"/>
        <w:bidi w:val="0"/>
        <w:jc w:val="both"/>
        <w:rPr/>
      </w:pPr>
      <w:r>
        <w:rPr/>
      </w:r>
    </w:p>
    <w:p>
      <w:pPr>
        <w:pStyle w:val="Standard"/>
        <w:keepNext w:val="false"/>
        <w:bidi w:val="0"/>
        <w:jc w:val="both"/>
        <w:rPr/>
      </w:pPr>
      <w:r>
        <w:rPr>
          <w:lang w:val="fr-FR"/>
        </w:rPr>
        <w:t>Le pouvoir adjudicateur peut ne pas donner suite à la consultation.</w:t>
      </w:r>
    </w:p>
    <w:p>
      <w:pPr>
        <w:pStyle w:val="Titre1"/>
        <w:keepNext w:val="false"/>
        <w:shd w:val="clear" w:fill="CCCCCC"/>
        <w:bidi w:val="0"/>
        <w:ind w:left="57" w:hanging="0"/>
        <w:jc w:val="left"/>
        <w:rPr>
          <w:lang w:val="fr-FR"/>
        </w:rPr>
      </w:pPr>
      <w:bookmarkStart w:id="75" w:name="__RefHeading__1328_181712035"/>
      <w:bookmarkStart w:id="76" w:name="Bookmark37"/>
      <w:bookmarkEnd w:id="75"/>
      <w:bookmarkEnd w:id="76"/>
      <w:r>
        <w:rPr>
          <w:lang w:val="fr-FR"/>
        </w:rPr>
        <w:t>Article 7 - PIECES A REMETTRE PAR LE(S) CANDIDAT(S) RETENU(S)</w:t>
      </w:r>
    </w:p>
    <w:p>
      <w:pPr>
        <w:pStyle w:val="Standard"/>
        <w:keepNext w:val="false"/>
        <w:bidi w:val="0"/>
        <w:jc w:val="both"/>
        <w:rPr>
          <w:lang w:val="fr-FR"/>
        </w:rPr>
      </w:pPr>
      <w:r>
        <w:rPr>
          <w:lang w:val="fr-FR"/>
        </w:rPr>
        <w:t>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Standard"/>
        <w:keepNext w:val="false"/>
        <w:keepLines w:val="false"/>
        <w:bidi w:val="0"/>
        <w:jc w:val="both"/>
        <w:rPr>
          <w:b w:val="false"/>
          <w:b w:val="false"/>
          <w:bCs w:val="false"/>
          <w:i w:val="false"/>
          <w:i w:val="false"/>
          <w:iCs w:val="false"/>
          <w:lang w:val="fr-FR"/>
        </w:rPr>
      </w:pPr>
      <w:r>
        <w:rPr>
          <w:b w:val="false"/>
          <w:bCs w:val="false"/>
          <w:i w:val="false"/>
          <w:iCs w:val="false"/>
          <w:lang w:val="fr-FR"/>
        </w:rPr>
      </w:r>
    </w:p>
    <w:p>
      <w:pPr>
        <w:pStyle w:val="Standard"/>
        <w:keepNext w:val="false"/>
        <w:keepLines w:val="false"/>
        <w:bidi w:val="0"/>
        <w:jc w:val="both"/>
        <w:rPr>
          <w:lang w:val="fr-FR"/>
        </w:rPr>
      </w:pPr>
      <w:r>
        <w:rPr>
          <w:lang w:val="fr-F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Si le candidat retenu est un groupement, la demande du pouvoir adjudicateur sera adressée au mandataire qui devra présenter les pièces exigées pour l'ensemble des membres du groupement dans le délai indiqué au présent article.</w:t>
      </w:r>
    </w:p>
    <w:p>
      <w:pPr>
        <w:pStyle w:val="Standard"/>
        <w:keepNext w:val="false"/>
        <w:bidi w:val="0"/>
        <w:jc w:val="left"/>
        <w:rPr>
          <w:lang w:val="fr-FR"/>
        </w:rPr>
      </w:pPr>
      <w:r>
        <w:rPr>
          <w:lang w:val="fr-FR"/>
        </w:rPr>
      </w:r>
    </w:p>
    <w:p>
      <w:pPr>
        <w:pStyle w:val="Standard"/>
        <w:keepNext w:val="false"/>
        <w:bidi w:val="0"/>
        <w:jc w:val="both"/>
        <w:rPr>
          <w:lang w:val="fr-FR"/>
        </w:rPr>
      </w:pPr>
      <w:r>
        <w:rPr>
          <w:lang w:val="fr-F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Standard"/>
        <w:keepNext w:val="false"/>
        <w:bidi w:val="0"/>
        <w:jc w:val="both"/>
        <w:rPr>
          <w:lang w:val="fr-FR"/>
        </w:rPr>
      </w:pPr>
      <w:r>
        <w:rPr>
          <w:lang w:val="fr-FR"/>
        </w:rPr>
      </w:r>
    </w:p>
    <w:p>
      <w:pPr>
        <w:pStyle w:val="Standard"/>
        <w:keepNext w:val="false"/>
        <w:bidi w:val="0"/>
        <w:jc w:val="both"/>
        <w:rPr/>
      </w:pPr>
      <w:r>
        <w:rPr>
          <w:lang w:val="fr-FR"/>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3">
        <w:r>
          <w:rPr>
            <w:rStyle w:val="LienInternet"/>
            <w:lang w:val="fr-FR"/>
          </w:rPr>
          <w:t>http://www.e-attestations.com/</w:t>
        </w:r>
      </w:hyperlink>
    </w:p>
    <w:p>
      <w:pPr>
        <w:pStyle w:val="Titre1"/>
        <w:keepNext w:val="false"/>
        <w:shd w:val="clear" w:fill="CCCCCC"/>
        <w:bidi w:val="0"/>
        <w:ind w:left="0" w:hanging="0"/>
        <w:jc w:val="left"/>
        <w:rPr>
          <w:lang w:val="fr-FR"/>
        </w:rPr>
      </w:pPr>
      <w:bookmarkStart w:id="77" w:name="__RefHeading__1330_181712035"/>
      <w:bookmarkStart w:id="78" w:name="Bookmark38"/>
      <w:bookmarkEnd w:id="77"/>
      <w:bookmarkEnd w:id="78"/>
      <w:r>
        <w:rPr>
          <w:lang w:val="fr-FR"/>
        </w:rPr>
        <w:t>Article 8 - MODALITES RELATIVES AUX COMMUNICATIONS ET AUX ECHANGES D’INFORMATION</w:t>
      </w:r>
    </w:p>
    <w:p>
      <w:pPr>
        <w:pStyle w:val="Titre2"/>
        <w:keepNext w:val="false"/>
        <w:tabs>
          <w:tab w:val="clear" w:pos="420"/>
          <w:tab w:val="left" w:pos="284" w:leader="none"/>
        </w:tabs>
        <w:bidi w:val="0"/>
        <w:jc w:val="left"/>
        <w:rPr>
          <w:lang w:val="fr-FR"/>
        </w:rPr>
      </w:pPr>
      <w:bookmarkStart w:id="79" w:name="__RefHeading__1332_181712035"/>
      <w:bookmarkStart w:id="80" w:name="Bookmark39"/>
      <w:bookmarkEnd w:id="79"/>
      <w:bookmarkEnd w:id="80"/>
      <w:r>
        <w:rPr>
          <w:lang w:val="fr-FR"/>
        </w:rPr>
        <w:t>8.1</w:t>
        <w:tab/>
        <w:t>Règles liées aux échanges électroniques</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lang w:val="fr-F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Standard"/>
        <w:keepNext w:val="false"/>
        <w:keepLines w:val="false"/>
        <w:bidi w:val="0"/>
        <w:jc w:val="both"/>
        <w:rPr>
          <w:lang w:val="fr-FR"/>
        </w:rPr>
      </w:pPr>
      <w:r>
        <w:rPr>
          <w:lang w:val="fr-FR"/>
        </w:rPr>
      </w:r>
    </w:p>
    <w:p>
      <w:pPr>
        <w:pStyle w:val="Textbody"/>
        <w:keepNext w:val="false"/>
        <w:keepLines w:val="false"/>
        <w:bidi w:val="0"/>
        <w:jc w:val="both"/>
        <w:rPr>
          <w:lang w:val="fr-FR"/>
        </w:rPr>
      </w:pPr>
      <w:r>
        <w:rPr>
          <w:lang w:val="fr-F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keepNext w:val="false"/>
        <w:tabs>
          <w:tab w:val="clear" w:pos="420"/>
          <w:tab w:val="left" w:pos="284" w:leader="none"/>
        </w:tabs>
        <w:bidi w:val="0"/>
        <w:jc w:val="left"/>
        <w:rPr>
          <w:lang w:val="fr-FR"/>
        </w:rPr>
      </w:pPr>
      <w:bookmarkStart w:id="81" w:name="__RefHeading__1334_181712035"/>
      <w:bookmarkStart w:id="82" w:name="Bookmark40"/>
      <w:bookmarkEnd w:id="81"/>
      <w:bookmarkEnd w:id="82"/>
      <w:r>
        <w:rPr>
          <w:lang w:val="fr-FR"/>
        </w:rPr>
        <w:t>8.2</w:t>
        <w:tab/>
        <w:t>Demandes de renseignements en cours de consultation</w:t>
      </w:r>
    </w:p>
    <w:p>
      <w:pPr>
        <w:pStyle w:val="Standard"/>
        <w:rPr>
          <w:lang w:val="fr-FR"/>
        </w:rPr>
      </w:pPr>
      <w:r>
        <w:rPr>
          <w:lang w:val="fr-FR"/>
        </w:rPr>
        <w:t xml:space="preserve">Les soumissionnaires peuvent déposer des demandes de renseignements complémentaires sous forme de questions, par exemple, et obtenir des réponses à ces questions ou tout autre renseignement via le profil d'acheteur dont l'adresse internet est </w:t>
      </w:r>
      <w:r>
        <w:rPr>
          <w:b/>
          <w:bCs/>
          <w:lang w:val="fr-FR"/>
        </w:rPr>
        <w:t>marchespublics.mairie-marseille.fr</w:t>
      </w:r>
    </w:p>
    <w:p>
      <w:pPr>
        <w:pStyle w:val="Standard"/>
        <w:rPr>
          <w:lang w:val="fr-FR"/>
        </w:rPr>
      </w:pPr>
      <w:r>
        <w:rPr>
          <w:lang w:val="fr-FR"/>
        </w:rPr>
      </w:r>
    </w:p>
    <w:p>
      <w:pPr>
        <w:pStyle w:val="Standard"/>
        <w:rPr/>
      </w:pPr>
      <w:r>
        <w:rPr>
          <w:lang w:val="fr-FR"/>
        </w:rPr>
        <w:t xml:space="preserve">Ces demandes peuvent être adressées au représentant du Pouvoir Adjudicateur, par écrit, au plus tard </w:t>
      </w:r>
      <w:r>
        <w:rPr>
          <w:b/>
          <w:color w:val="000000"/>
          <w:lang w:val="fr-FR"/>
        </w:rPr>
        <w:t>10 (dix)</w:t>
      </w:r>
      <w:r>
        <w:rPr>
          <w:b w:val="false"/>
          <w:i w:val="false"/>
          <w:color w:val="000000"/>
          <w:u w:val="none"/>
          <w:lang w:val="fr-FR"/>
        </w:rPr>
        <w:t xml:space="preserve"> jours calendaires avant la date limite de remise des plis. Une réponse sera alors adressée au plus tard</w:t>
      </w:r>
      <w:r>
        <w:rPr>
          <w:b/>
          <w:i w:val="false"/>
          <w:color w:val="0000FF"/>
          <w:u w:val="none"/>
          <w:lang w:val="fr-FR"/>
        </w:rPr>
        <w:t xml:space="preserve"> </w:t>
      </w:r>
      <w:r>
        <w:rPr>
          <w:b/>
          <w:i w:val="false"/>
          <w:color w:val="000000"/>
          <w:u w:val="none"/>
          <w:lang w:val="fr-FR"/>
        </w:rPr>
        <w:t>7 (sept)</w:t>
      </w:r>
      <w:r>
        <w:rPr>
          <w:b w:val="false"/>
          <w:i w:val="false"/>
          <w:color w:val="000000"/>
          <w:u w:val="none"/>
          <w:lang w:val="fr-FR"/>
        </w:rPr>
        <w:t xml:space="preserve"> jours calendaires avant la date limite de remise des plis, à tous les candidats ayant retiré un dossier de consultation.</w:t>
      </w:r>
    </w:p>
    <w:sectPr>
      <w:footerReference w:type="default" r:id="rId4"/>
      <w:type w:val="nextPage"/>
      <w:pgSz w:w="11906" w:h="16838"/>
      <w:pgMar w:left="1803" w:right="1808" w:gutter="0" w:header="0" w:top="1418" w:footer="714" w:bottom="1239"/>
      <w:pgNumType w:fmt="decimal"/>
      <w:formProt w:val="false"/>
      <w:textDirection w:val="lrTb"/>
      <w:docGrid w:type="default" w:linePitch="249"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Trebuchet MS">
    <w:charset w:val="00"/>
    <w:family w:val="roman"/>
    <w:pitch w:val="variable"/>
  </w:font>
  <w:font w:name="Segoe UI">
    <w:charset w:val="00"/>
    <w:family w:val="roman"/>
    <w:pitch w:val="variable"/>
  </w:font>
  <w:font w:name="Wingdings 3">
    <w:charset w:val="00"/>
    <w:family w:val="roman"/>
    <w:pitch w:val="variable"/>
  </w:font>
  <w:font w:name="Wingdings 2">
    <w:charset w:val="00"/>
    <w:family w:val="roman"/>
    <w:pitch w:val="variable"/>
  </w:font>
  <w:font w:name="Liberation Sans">
    <w:altName w:val="Arial"/>
    <w:charset w:val="00"/>
    <w:family w:val="roman"/>
    <w:pitch w:val="variable"/>
  </w:font>
  <w:font w:name="Calibri Light">
    <w:charset w:val="00"/>
    <w:family w:val="roman"/>
    <w:pitch w:val="variable"/>
  </w:font>
  <w:font w:name="Arial Unicode M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lvl w:ilvl="0">
      <w:start w:val="1"/>
      <w:numFmt w:val="bullet"/>
      <w:suff w:val="nothing"/>
      <w:lvlText w:val=""/>
      <w:lvlJc w:val="left"/>
      <w:pPr>
        <w:tabs>
          <w:tab w:val="num" w:pos="0"/>
        </w:tabs>
        <w:ind w:left="0" w:hanging="0"/>
      </w:pPr>
      <w:rPr>
        <w:rFonts w:ascii="Wingdings" w:hAnsi="Wingdings" w:cs="Wingdings"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before="0" w:after="0"/>
      <w:jc w:val="left"/>
      <w:textAlignment w:val="baseline"/>
    </w:pPr>
    <w:rPr>
      <w:rFonts w:ascii="Times New Roman" w:hAnsi="Times New Roman" w:eastAsia="Times New Roman" w:cs="Times New Roman"/>
      <w:color w:val="00000A"/>
      <w:kern w:val="0"/>
      <w:sz w:val="20"/>
      <w:szCs w:val="20"/>
      <w:lang w:val="fr-FR" w:eastAsia="fr-FR" w:bidi="ar-SA"/>
    </w:rPr>
  </w:style>
  <w:style w:type="paragraph" w:styleId="Titre1">
    <w:name w:val="Heading 1"/>
    <w:basedOn w:val="Normal"/>
    <w:qFormat/>
    <w:pPr>
      <w:widowControl w:val="false"/>
      <w:pBdr>
        <w:top w:val="single" w:sz="8" w:space="1" w:color="C0C0C0"/>
        <w:left w:val="single" w:sz="8" w:space="1" w:color="C0C0C0"/>
        <w:bottom w:val="single" w:sz="8" w:space="1" w:color="C0C0C0"/>
        <w:right w:val="single" w:sz="8" w:space="1" w:color="C0C0C0"/>
      </w:pBdr>
      <w:shd w:val="clear" w:color="auto" w:fill="CCCCCC"/>
      <w:tabs>
        <w:tab w:val="clear" w:pos="420"/>
        <w:tab w:val="left" w:pos="13610" w:leader="none"/>
      </w:tabs>
      <w:bidi w:val="0"/>
      <w:spacing w:before="567" w:after="283"/>
      <w:ind w:left="6805" w:hanging="0"/>
      <w:jc w:val="left"/>
      <w:outlineLvl w:val="0"/>
    </w:pPr>
    <w:rPr>
      <w:rFonts w:ascii="Times New Roman" w:hAnsi="Times New Roman" w:eastAsia="MS PMincho" w:cs="Tahoma"/>
      <w:b/>
      <w:bCs/>
      <w:color w:val="00000A"/>
      <w:sz w:val="24"/>
      <w:szCs w:val="48"/>
      <w:lang w:eastAsia="fr-FR" w:bidi="ar-SA"/>
    </w:rPr>
  </w:style>
  <w:style w:type="paragraph" w:styleId="Titre2">
    <w:name w:val="Heading 2"/>
    <w:basedOn w:val="Normal"/>
    <w:qFormat/>
    <w:pPr>
      <w:widowControl w:val="false"/>
      <w:bidi w:val="0"/>
      <w:spacing w:before="283" w:after="170"/>
      <w:ind w:left="283" w:hanging="0"/>
      <w:jc w:val="left"/>
      <w:outlineLvl w:val="1"/>
    </w:pPr>
    <w:rPr>
      <w:rFonts w:ascii="Times New Roman" w:hAnsi="Times New Roman" w:eastAsia="MS PMincho" w:cs="Tahoma"/>
      <w:b/>
      <w:bCs/>
      <w:color w:val="00000A"/>
      <w:sz w:val="24"/>
      <w:szCs w:val="36"/>
      <w:lang w:eastAsia="fr-FR" w:bidi="ar-SA"/>
    </w:rPr>
  </w:style>
  <w:style w:type="paragraph" w:styleId="Titre3">
    <w:name w:val="Heading 3"/>
    <w:basedOn w:val="Normal"/>
    <w:qFormat/>
    <w:pPr>
      <w:widowControl w:val="false"/>
      <w:bidi w:val="0"/>
      <w:spacing w:before="283" w:after="113"/>
      <w:jc w:val="left"/>
      <w:outlineLvl w:val="2"/>
    </w:pPr>
    <w:rPr>
      <w:rFonts w:ascii="Times New Roman" w:hAnsi="Times New Roman" w:eastAsia="MS PMincho" w:cs="Tahoma"/>
      <w:b/>
      <w:bCs/>
      <w:color w:val="00000A"/>
      <w:sz w:val="22"/>
      <w:szCs w:val="28"/>
      <w:lang w:eastAsia="fr-FR" w:bidi="ar-SA"/>
    </w:rPr>
  </w:style>
  <w:style w:type="paragraph" w:styleId="Titre4">
    <w:name w:val="Heading 4"/>
    <w:basedOn w:val="Normal"/>
    <w:qFormat/>
    <w:pPr>
      <w:widowControl w:val="false"/>
      <w:bidi w:val="0"/>
      <w:spacing w:before="283" w:after="57"/>
      <w:jc w:val="left"/>
      <w:outlineLvl w:val="3"/>
    </w:pPr>
    <w:rPr>
      <w:rFonts w:ascii="Times New Roman" w:hAnsi="Times New Roman" w:eastAsia="Times New Roman" w:cs="Times New Roman"/>
      <w:bCs/>
      <w:iCs/>
      <w:color w:val="00000A"/>
      <w:sz w:val="24"/>
      <w:szCs w:val="20"/>
      <w:lang w:eastAsia="fr-FR" w:bidi="ar-SA"/>
    </w:rPr>
  </w:style>
  <w:style w:type="paragraph" w:styleId="Titre5">
    <w:name w:val="Heading 5"/>
    <w:basedOn w:val="Normal"/>
    <w:qFormat/>
    <w:pPr>
      <w:widowControl w:val="false"/>
      <w:bidi w:val="0"/>
      <w:spacing w:before="283" w:after="57"/>
      <w:jc w:val="left"/>
      <w:outlineLvl w:val="4"/>
    </w:pPr>
    <w:rPr>
      <w:rFonts w:ascii="Times New Roman" w:hAnsi="Times New Roman" w:eastAsia="Times New Roman" w:cs="Times New Roman"/>
      <w:bCs/>
      <w:i/>
      <w:color w:val="00000A"/>
      <w:sz w:val="22"/>
      <w:szCs w:val="20"/>
      <w:lang w:eastAsia="fr-FR" w:bidi="ar-SA"/>
    </w:rPr>
  </w:style>
  <w:style w:type="paragraph" w:styleId="Titre6">
    <w:name w:val="Heading 6"/>
    <w:basedOn w:val="Normal"/>
    <w:qFormat/>
    <w:pPr>
      <w:widowControl/>
      <w:suppressAutoHyphens w:val="true"/>
      <w:bidi w:val="0"/>
      <w:jc w:val="left"/>
      <w:outlineLvl w:val="5"/>
    </w:pPr>
    <w:rPr>
      <w:bCs/>
      <w:sz w:val="24"/>
      <w:szCs w:val="21"/>
    </w:rPr>
  </w:style>
  <w:style w:type="paragraph" w:styleId="Titre7">
    <w:name w:val="Heading 7"/>
    <w:basedOn w:val="Normal"/>
    <w:qFormat/>
    <w:pPr>
      <w:widowControl/>
      <w:suppressAutoHyphens w:val="true"/>
      <w:bidi w:val="0"/>
      <w:jc w:val="left"/>
      <w:outlineLvl w:val="6"/>
    </w:pPr>
    <w:rPr>
      <w:bCs/>
      <w:sz w:val="24"/>
      <w:szCs w:val="21"/>
    </w:rPr>
  </w:style>
  <w:style w:type="paragraph" w:styleId="Titre8">
    <w:name w:val="Heading 8"/>
    <w:basedOn w:val="Normal"/>
    <w:qFormat/>
    <w:pPr>
      <w:widowControl/>
      <w:suppressAutoHyphens w:val="true"/>
      <w:bidi w:val="0"/>
      <w:jc w:val="left"/>
      <w:outlineLvl w:val="7"/>
    </w:pPr>
    <w:rPr>
      <w:bCs/>
      <w:sz w:val="24"/>
      <w:szCs w:val="21"/>
    </w:rPr>
  </w:style>
  <w:style w:type="paragraph" w:styleId="Titre9">
    <w:name w:val="Heading 9"/>
    <w:basedOn w:val="Normal"/>
    <w:qFormat/>
    <w:pPr>
      <w:widowControl/>
      <w:suppressAutoHyphens w:val="true"/>
      <w:bidi w:val="0"/>
      <w:jc w:val="left"/>
      <w:outlineLvl w:val="8"/>
    </w:pPr>
    <w:rPr>
      <w:bCs/>
      <w:sz w:val="24"/>
      <w:szCs w:val="21"/>
    </w:rPr>
  </w:style>
  <w:style w:type="character" w:styleId="DefaultParagraphFont" w:default="1">
    <w:name w:val="Default Paragraph Font"/>
    <w:uiPriority w:val="1"/>
    <w:semiHidden/>
    <w:unhideWhenUsed/>
    <w:qFormat/>
    <w:rPr/>
  </w:style>
  <w:style w:type="character" w:styleId="LienInternet" w:customStyle="1">
    <w:name w:val="Lien Internet"/>
    <w:uiPriority w:val="99"/>
    <w:rsid w:val="001d7b90"/>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color w:val="808080"/>
      <w:sz w:val="24"/>
      <w:szCs w:val="24"/>
    </w:rPr>
  </w:style>
  <w:style w:type="character" w:styleId="Titre2Car" w:customStyle="1">
    <w:name w:val="Titre 2 Car"/>
    <w:qFormat/>
    <w:rPr>
      <w:rFonts w:ascii="Arial" w:hAnsi="Arial" w:eastAsia="Arial" w:cs="Arial"/>
      <w:b/>
      <w:bCs/>
      <w:i/>
      <w:iCs/>
      <w:sz w:val="28"/>
      <w:szCs w:val="28"/>
    </w:rPr>
  </w:style>
  <w:style w:type="character" w:styleId="Titre3Car" w:customStyle="1">
    <w:name w:val="Titre 3 Car"/>
    <w:qFormat/>
    <w:rPr>
      <w:rFonts w:ascii="Arial" w:hAnsi="Arial" w:eastAsia="Arial" w:cs="Arial"/>
      <w:b/>
      <w:bCs/>
      <w:sz w:val="26"/>
      <w:szCs w:val="26"/>
    </w:rPr>
  </w:style>
  <w:style w:type="character" w:styleId="CorpsdetexteCar" w:customStyle="1">
    <w:name w:val="Corps de texte Car"/>
    <w:qFormat/>
    <w:rPr>
      <w:rFonts w:ascii="Arial" w:hAnsi="Arial" w:eastAsia="Arial" w:cs="Arial"/>
      <w:b/>
      <w:bCs/>
      <w:sz w:val="24"/>
      <w:szCs w:val="24"/>
    </w:rPr>
  </w:style>
  <w:style w:type="character" w:styleId="EntteCar" w:customStyle="1">
    <w:name w:val="En-tête Car"/>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Accentuationforte" w:customStyle="1">
    <w:name w:val="Accentuation forte"/>
    <w:qFormat/>
    <w:rPr>
      <w:b/>
      <w:bCs/>
    </w:rPr>
  </w:style>
  <w:style w:type="character" w:styleId="Pagenumber">
    <w:name w:val="page number"/>
    <w:basedOn w:val="Policepardfaut1"/>
    <w:qFormat/>
    <w:rPr/>
  </w:style>
  <w:style w:type="character" w:styleId="Style1Char" w:customStyle="1">
    <w:name w:val="Style 1 Char"/>
    <w:qFormat/>
    <w:rPr>
      <w:rFonts w:ascii="Trebuchet MS" w:hAnsi="Trebuchet MS" w:eastAsia="SimSun"/>
      <w:b/>
      <w:szCs w:val="24"/>
      <w:lang w:eastAsia="ar-SA" w:bidi="ar-SA"/>
    </w:rPr>
  </w:style>
  <w:style w:type="character" w:styleId="WW8Num2z0" w:customStyle="1">
    <w:name w:val="WW8Num2z0"/>
    <w:qFormat/>
    <w:rPr>
      <w:rFonts w:ascii="Trebuchet MS" w:hAnsi="Trebuchet MS"/>
    </w:rPr>
  </w:style>
  <w:style w:type="character" w:styleId="WW8Num1z0" w:customStyle="1">
    <w:name w:val="WW8Num1z0"/>
    <w:qFormat/>
    <w:rPr>
      <w:rFonts w:ascii="Trebuchet MS" w:hAnsi="Trebuchet MS"/>
    </w:rPr>
  </w:style>
  <w:style w:type="character" w:styleId="Annotationreference">
    <w:name w:val="annotation reference"/>
    <w:qFormat/>
    <w:rPr>
      <w:sz w:val="16"/>
      <w:szCs w:val="16"/>
    </w:rPr>
  </w:style>
  <w:style w:type="character" w:styleId="CommentaireCar" w:customStyle="1">
    <w:name w:val="Commentaire Car"/>
    <w:qFormat/>
    <w:rPr>
      <w:rFonts w:ascii="Arial" w:hAnsi="Arial" w:eastAsia="SimSun"/>
    </w:rPr>
  </w:style>
  <w:style w:type="character" w:styleId="ObjetducommentaireCar" w:customStyle="1">
    <w:name w:val="Objet du commentaire Car"/>
    <w:qFormat/>
    <w:rPr>
      <w:rFonts w:ascii="Arial" w:hAnsi="Arial" w:eastAsia="SimSun"/>
      <w:b/>
      <w:bCs/>
    </w:rPr>
  </w:style>
  <w:style w:type="character" w:styleId="TextedebullesCar" w:customStyle="1">
    <w:name w:val="Texte de bulles Car"/>
    <w:qFormat/>
    <w:rPr>
      <w:rFonts w:ascii="Segoe UI" w:hAnsi="Segoe UI" w:eastAsia="SimSun" w:cs="Segoe UI"/>
      <w:sz w:val="18"/>
      <w:szCs w:val="18"/>
    </w:rPr>
  </w:style>
  <w:style w:type="character" w:styleId="Accentuation">
    <w:name w:val="Accentuation"/>
    <w:basedOn w:val="DefaultParagraphFont"/>
    <w:qFormat/>
    <w:rPr>
      <w:i/>
      <w:iCs/>
    </w:rPr>
  </w:style>
  <w:style w:type="character" w:styleId="Sautdindex">
    <w:name w:val="Saut d'index"/>
    <w:qFormat/>
    <w:rPr/>
  </w:style>
  <w:style w:type="character" w:styleId="Caractresdenumrotation">
    <w:name w:val="Caractères de numérotation"/>
    <w:qFormat/>
    <w:rPr/>
  </w:style>
  <w:style w:type="character" w:styleId="Policepardfaut">
    <w:name w:val="Police par défaut"/>
    <w:qFormat/>
    <w:rPr/>
  </w:style>
  <w:style w:type="character" w:styleId="WWCharLFO25LVL9">
    <w:name w:val="WW_CharLFO25LVL9"/>
    <w:qFormat/>
    <w:rPr>
      <w:rFonts w:ascii="Wingdings" w:hAnsi="Wingdings"/>
    </w:rPr>
  </w:style>
  <w:style w:type="character" w:styleId="WWCharLFO25LVL8">
    <w:name w:val="WW_CharLFO25LVL8"/>
    <w:qFormat/>
    <w:rPr>
      <w:rFonts w:ascii="Courier New" w:hAnsi="Courier New" w:cs="Courier New"/>
    </w:rPr>
  </w:style>
  <w:style w:type="character" w:styleId="WWCharLFO25LVL7">
    <w:name w:val="WW_CharLFO25LVL7"/>
    <w:qFormat/>
    <w:rPr>
      <w:rFonts w:ascii="Symbol" w:hAnsi="Symbol"/>
    </w:rPr>
  </w:style>
  <w:style w:type="character" w:styleId="WWCharLFO25LVL6">
    <w:name w:val="WW_CharLFO25LVL6"/>
    <w:qFormat/>
    <w:rPr>
      <w:rFonts w:ascii="Wingdings" w:hAnsi="Wingdings"/>
    </w:rPr>
  </w:style>
  <w:style w:type="character" w:styleId="WWCharLFO25LVL5">
    <w:name w:val="WW_CharLFO25LVL5"/>
    <w:qFormat/>
    <w:rPr>
      <w:rFonts w:ascii="Courier New" w:hAnsi="Courier New" w:cs="Courier New"/>
    </w:rPr>
  </w:style>
  <w:style w:type="character" w:styleId="WWCharLFO25LVL4">
    <w:name w:val="WW_CharLFO25LVL4"/>
    <w:qFormat/>
    <w:rPr>
      <w:rFonts w:ascii="Symbol" w:hAnsi="Symbol"/>
    </w:rPr>
  </w:style>
  <w:style w:type="character" w:styleId="WWCharLFO25LVL3">
    <w:name w:val="WW_CharLFO25LVL3"/>
    <w:qFormat/>
    <w:rPr>
      <w:rFonts w:ascii="Wingdings" w:hAnsi="Wingdings"/>
    </w:rPr>
  </w:style>
  <w:style w:type="character" w:styleId="WWCharLFO25LVL2">
    <w:name w:val="WW_CharLFO25LVL2"/>
    <w:qFormat/>
    <w:rPr>
      <w:rFonts w:ascii="Courier New" w:hAnsi="Courier New" w:cs="Courier New"/>
    </w:rPr>
  </w:style>
  <w:style w:type="character" w:styleId="WWCharLFO25LVL1">
    <w:name w:val="WW_CharLFO25LVL1"/>
    <w:qFormat/>
    <w:rPr>
      <w:rFonts w:ascii="Symbol" w:hAnsi="Symbol"/>
    </w:rPr>
  </w:style>
  <w:style w:type="character" w:styleId="WWCharLFO24LVL9">
    <w:name w:val="WW_CharLFO24LVL9"/>
    <w:qFormat/>
    <w:rPr>
      <w:rFonts w:ascii="Wingdings" w:hAnsi="Wingdings"/>
    </w:rPr>
  </w:style>
  <w:style w:type="character" w:styleId="WWCharLFO24LVL8">
    <w:name w:val="WW_CharLFO24LVL8"/>
    <w:qFormat/>
    <w:rPr>
      <w:rFonts w:ascii="Courier New" w:hAnsi="Courier New" w:cs="Courier New"/>
    </w:rPr>
  </w:style>
  <w:style w:type="character" w:styleId="WWCharLFO24LVL7">
    <w:name w:val="WW_CharLFO24LVL7"/>
    <w:qFormat/>
    <w:rPr>
      <w:rFonts w:ascii="Symbol" w:hAnsi="Symbol"/>
    </w:rPr>
  </w:style>
  <w:style w:type="character" w:styleId="WWCharLFO24LVL6">
    <w:name w:val="WW_CharLFO24LVL6"/>
    <w:qFormat/>
    <w:rPr>
      <w:rFonts w:ascii="Wingdings" w:hAnsi="Wingdings"/>
    </w:rPr>
  </w:style>
  <w:style w:type="character" w:styleId="WWCharLFO24LVL5">
    <w:name w:val="WW_CharLFO24LVL5"/>
    <w:qFormat/>
    <w:rPr>
      <w:rFonts w:ascii="Courier New" w:hAnsi="Courier New" w:cs="Courier New"/>
    </w:rPr>
  </w:style>
  <w:style w:type="character" w:styleId="WWCharLFO24LVL4">
    <w:name w:val="WW_CharLFO24LVL4"/>
    <w:qFormat/>
    <w:rPr>
      <w:rFonts w:ascii="Symbol" w:hAnsi="Symbol"/>
    </w:rPr>
  </w:style>
  <w:style w:type="character" w:styleId="WWCharLFO24LVL3">
    <w:name w:val="WW_CharLFO24LVL3"/>
    <w:qFormat/>
    <w:rPr>
      <w:rFonts w:ascii="Wingdings" w:hAnsi="Wingdings"/>
    </w:rPr>
  </w:style>
  <w:style w:type="character" w:styleId="WWCharLFO24LVL2">
    <w:name w:val="WW_CharLFO24LVL2"/>
    <w:qFormat/>
    <w:rPr>
      <w:rFonts w:ascii="Courier New" w:hAnsi="Courier New" w:cs="Courier New"/>
    </w:rPr>
  </w:style>
  <w:style w:type="character" w:styleId="WWCharLFO24LVL1">
    <w:name w:val="WW_CharLFO24LVL1"/>
    <w:qFormat/>
    <w:rPr>
      <w:rFonts w:ascii="Arial" w:hAnsi="Arial" w:eastAsia="SimSun" w:cs="Arial"/>
    </w:rPr>
  </w:style>
  <w:style w:type="character" w:styleId="WWCharLFO23LVL9">
    <w:name w:val="WW_CharLFO23LVL9"/>
    <w:qFormat/>
    <w:rPr>
      <w:rFonts w:ascii="Arial" w:hAnsi="Arial" w:eastAsia="Times New Roman" w:cs="Arial"/>
    </w:rPr>
  </w:style>
  <w:style w:type="character" w:styleId="WWCharLFO23LVL8">
    <w:name w:val="WW_CharLFO23LVL8"/>
    <w:qFormat/>
    <w:rPr>
      <w:rFonts w:ascii="Arial" w:hAnsi="Arial" w:eastAsia="Times New Roman" w:cs="Arial"/>
    </w:rPr>
  </w:style>
  <w:style w:type="character" w:styleId="WWCharLFO23LVL7">
    <w:name w:val="WW_CharLFO23LVL7"/>
    <w:qFormat/>
    <w:rPr>
      <w:rFonts w:ascii="Arial" w:hAnsi="Arial" w:eastAsia="Times New Roman" w:cs="Arial"/>
    </w:rPr>
  </w:style>
  <w:style w:type="character" w:styleId="WWCharLFO23LVL6">
    <w:name w:val="WW_CharLFO23LVL6"/>
    <w:qFormat/>
    <w:rPr>
      <w:rFonts w:ascii="Arial" w:hAnsi="Arial" w:eastAsia="Times New Roman" w:cs="Arial"/>
    </w:rPr>
  </w:style>
  <w:style w:type="character" w:styleId="WWCharLFO23LVL5">
    <w:name w:val="WW_CharLFO23LVL5"/>
    <w:qFormat/>
    <w:rPr>
      <w:rFonts w:ascii="Arial" w:hAnsi="Arial" w:eastAsia="Times New Roman" w:cs="Arial"/>
    </w:rPr>
  </w:style>
  <w:style w:type="character" w:styleId="WWCharLFO23LVL4">
    <w:name w:val="WW_CharLFO23LVL4"/>
    <w:qFormat/>
    <w:rPr>
      <w:rFonts w:ascii="Arial" w:hAnsi="Arial" w:eastAsia="Times New Roman" w:cs="Arial"/>
    </w:rPr>
  </w:style>
  <w:style w:type="character" w:styleId="WWCharLFO23LVL3">
    <w:name w:val="WW_CharLFO23LVL3"/>
    <w:qFormat/>
    <w:rPr>
      <w:rFonts w:ascii="Arial" w:hAnsi="Arial" w:eastAsia="Times New Roman" w:cs="Arial"/>
    </w:rPr>
  </w:style>
  <w:style w:type="character" w:styleId="WWCharLFO23LVL2">
    <w:name w:val="WW_CharLFO23LVL2"/>
    <w:qFormat/>
    <w:rPr>
      <w:rFonts w:ascii="Arial" w:hAnsi="Arial" w:eastAsia="Times New Roman" w:cs="Arial"/>
    </w:rPr>
  </w:style>
  <w:style w:type="character" w:styleId="WWCharLFO23LVL1">
    <w:name w:val="WW_CharLFO23LVL1"/>
    <w:qFormat/>
    <w:rPr>
      <w:rFonts w:ascii="Arial" w:hAnsi="Arial" w:eastAsia="Times New Roman" w:cs="Arial"/>
    </w:rPr>
  </w:style>
  <w:style w:type="character" w:styleId="WWCharLFO20LVL9">
    <w:name w:val="WW_CharLFO20LVL9"/>
    <w:qFormat/>
    <w:rPr>
      <w:rFonts w:ascii="Symbol" w:hAnsi="Symbol" w:cs="OpenSymbol"/>
    </w:rPr>
  </w:style>
  <w:style w:type="character" w:styleId="WWCharLFO20LVL8">
    <w:name w:val="WW_CharLFO20LVL8"/>
    <w:qFormat/>
    <w:rPr>
      <w:rFonts w:ascii="Symbol" w:hAnsi="Symbol" w:cs="OpenSymbol"/>
    </w:rPr>
  </w:style>
  <w:style w:type="character" w:styleId="WWCharLFO20LVL7">
    <w:name w:val="WW_CharLFO20LVL7"/>
    <w:qFormat/>
    <w:rPr>
      <w:rFonts w:ascii="Symbol" w:hAnsi="Symbol" w:cs="OpenSymbol"/>
    </w:rPr>
  </w:style>
  <w:style w:type="character" w:styleId="WWCharLFO20LVL6">
    <w:name w:val="WW_CharLFO20LVL6"/>
    <w:qFormat/>
    <w:rPr>
      <w:rFonts w:ascii="Symbol" w:hAnsi="Symbol" w:cs="OpenSymbol"/>
    </w:rPr>
  </w:style>
  <w:style w:type="character" w:styleId="WWCharLFO20LVL5">
    <w:name w:val="WW_CharLFO20LVL5"/>
    <w:qFormat/>
    <w:rPr>
      <w:rFonts w:ascii="Symbol" w:hAnsi="Symbol" w:cs="OpenSymbol"/>
    </w:rPr>
  </w:style>
  <w:style w:type="character" w:styleId="WWCharLFO20LVL4">
    <w:name w:val="WW_CharLFO20LVL4"/>
    <w:qFormat/>
    <w:rPr>
      <w:rFonts w:ascii="Symbol" w:hAnsi="Symbol" w:cs="OpenSymbol"/>
    </w:rPr>
  </w:style>
  <w:style w:type="character" w:styleId="WWCharLFO20LVL3">
    <w:name w:val="WW_CharLFO20LVL3"/>
    <w:qFormat/>
    <w:rPr>
      <w:rFonts w:ascii="Symbol" w:hAnsi="Symbol" w:cs="OpenSymbol"/>
    </w:rPr>
  </w:style>
  <w:style w:type="character" w:styleId="WWCharLFO20LVL2">
    <w:name w:val="WW_CharLFO20LVL2"/>
    <w:qFormat/>
    <w:rPr>
      <w:rFonts w:ascii="Symbol" w:hAnsi="Symbol" w:cs="OpenSymbol"/>
    </w:rPr>
  </w:style>
  <w:style w:type="character" w:styleId="WWCharLFO20LVL1">
    <w:name w:val="WW_CharLFO20LVL1"/>
    <w:qFormat/>
    <w:rPr>
      <w:rFonts w:ascii="Symbol" w:hAnsi="Symbol" w:cs="OpenSymbol"/>
    </w:rPr>
  </w:style>
  <w:style w:type="character" w:styleId="WWCharLFO18LVL9">
    <w:name w:val="WW_CharLFO18LVL9"/>
    <w:qFormat/>
    <w:rPr>
      <w:rFonts w:ascii="Wingdings" w:hAnsi="Wingdings" w:cs="Wingdings"/>
    </w:rPr>
  </w:style>
  <w:style w:type="character" w:styleId="WWCharLFO18LVL8">
    <w:name w:val="WW_CharLFO18LVL8"/>
    <w:qFormat/>
    <w:rPr>
      <w:rFonts w:ascii="Courier New" w:hAnsi="Courier New" w:cs="Courier New"/>
    </w:rPr>
  </w:style>
  <w:style w:type="character" w:styleId="WWCharLFO18LVL7">
    <w:name w:val="WW_CharLFO18LVL7"/>
    <w:qFormat/>
    <w:rPr>
      <w:rFonts w:ascii="Symbol" w:hAnsi="Symbol" w:cs="Symbol"/>
    </w:rPr>
  </w:style>
  <w:style w:type="character" w:styleId="WWCharLFO18LVL6">
    <w:name w:val="WW_CharLFO18LVL6"/>
    <w:qFormat/>
    <w:rPr>
      <w:rFonts w:ascii="Wingdings" w:hAnsi="Wingdings" w:cs="Wingdings"/>
    </w:rPr>
  </w:style>
  <w:style w:type="character" w:styleId="WWCharLFO18LVL5">
    <w:name w:val="WW_CharLFO18LVL5"/>
    <w:qFormat/>
    <w:rPr>
      <w:rFonts w:ascii="Courier New" w:hAnsi="Courier New" w:cs="Courier New"/>
    </w:rPr>
  </w:style>
  <w:style w:type="character" w:styleId="WWCharLFO18LVL4">
    <w:name w:val="WW_CharLFO18LVL4"/>
    <w:qFormat/>
    <w:rPr>
      <w:rFonts w:ascii="Symbol" w:hAnsi="Symbol" w:cs="Symbol"/>
    </w:rPr>
  </w:style>
  <w:style w:type="character" w:styleId="WWCharLFO18LVL3">
    <w:name w:val="WW_CharLFO18LVL3"/>
    <w:qFormat/>
    <w:rPr>
      <w:rFonts w:ascii="Wingdings" w:hAnsi="Wingdings" w:cs="Wingdings"/>
    </w:rPr>
  </w:style>
  <w:style w:type="character" w:styleId="WWCharLFO18LVL2">
    <w:name w:val="WW_CharLFO18LVL2"/>
    <w:qFormat/>
    <w:rPr>
      <w:rFonts w:ascii="Courier New" w:hAnsi="Courier New" w:cs="Courier New"/>
    </w:rPr>
  </w:style>
  <w:style w:type="character" w:styleId="WWCharLFO18LVL1">
    <w:name w:val="WW_CharLFO18LVL1"/>
    <w:qFormat/>
    <w:rPr>
      <w:rFonts w:ascii="Times New Roman" w:hAnsi="Times New Roman" w:cs="Times New Roman"/>
      <w:color w:val="000000"/>
    </w:rPr>
  </w:style>
  <w:style w:type="character" w:styleId="WWCharLFO16LVL9">
    <w:name w:val="WW_CharLFO16LVL9"/>
    <w:qFormat/>
    <w:rPr>
      <w:rFonts w:ascii="Wingdings" w:hAnsi="Wingdings" w:eastAsia="Wingdings" w:cs="Wingdings"/>
    </w:rPr>
  </w:style>
  <w:style w:type="character" w:styleId="WWCharLFO16LVL8">
    <w:name w:val="WW_CharLFO16LVL8"/>
    <w:qFormat/>
    <w:rPr>
      <w:rFonts w:ascii="Courier New" w:hAnsi="Courier New" w:eastAsia="Courier New" w:cs="Courier New"/>
    </w:rPr>
  </w:style>
  <w:style w:type="character" w:styleId="WWCharLFO16LVL7">
    <w:name w:val="WW_CharLFO16LVL7"/>
    <w:qFormat/>
    <w:rPr>
      <w:rFonts w:ascii="Symbol" w:hAnsi="Symbol" w:eastAsia="Symbol" w:cs="Symbol"/>
    </w:rPr>
  </w:style>
  <w:style w:type="character" w:styleId="WWCharLFO16LVL6">
    <w:name w:val="WW_CharLFO16LVL6"/>
    <w:qFormat/>
    <w:rPr>
      <w:rFonts w:ascii="Wingdings" w:hAnsi="Wingdings" w:eastAsia="Wingdings" w:cs="Wingdings"/>
    </w:rPr>
  </w:style>
  <w:style w:type="character" w:styleId="WWCharLFO16LVL5">
    <w:name w:val="WW_CharLFO16LVL5"/>
    <w:qFormat/>
    <w:rPr>
      <w:rFonts w:ascii="Courier New" w:hAnsi="Courier New" w:eastAsia="Courier New" w:cs="Courier New"/>
    </w:rPr>
  </w:style>
  <w:style w:type="character" w:styleId="WWCharLFO16LVL4">
    <w:name w:val="WW_CharLFO16LVL4"/>
    <w:qFormat/>
    <w:rPr>
      <w:rFonts w:ascii="Symbol" w:hAnsi="Symbol" w:eastAsia="Symbol" w:cs="Symbol"/>
    </w:rPr>
  </w:style>
  <w:style w:type="character" w:styleId="WWCharLFO16LVL3">
    <w:name w:val="WW_CharLFO16LVL3"/>
    <w:qFormat/>
    <w:rPr>
      <w:rFonts w:ascii="Wingdings" w:hAnsi="Wingdings" w:eastAsia="Wingdings" w:cs="Wingdings"/>
    </w:rPr>
  </w:style>
  <w:style w:type="character" w:styleId="WWCharLFO16LVL2">
    <w:name w:val="WW_CharLFO16LVL2"/>
    <w:qFormat/>
    <w:rPr>
      <w:rFonts w:ascii="Courier New" w:hAnsi="Courier New" w:eastAsia="Courier New" w:cs="Courier New"/>
    </w:rPr>
  </w:style>
  <w:style w:type="character" w:styleId="WWCharLFO16LVL1">
    <w:name w:val="WW_CharLFO16LVL1"/>
    <w:qFormat/>
    <w:rPr>
      <w:rFonts w:ascii="Wingdings" w:hAnsi="Wingdings" w:eastAsia="Wingdings" w:cs="Wingdings"/>
      <w:sz w:val="20"/>
      <w:szCs w:val="20"/>
    </w:rPr>
  </w:style>
  <w:style w:type="character" w:styleId="WWCharLFO15LVL9">
    <w:name w:val="WW_CharLFO15LVL9"/>
    <w:qFormat/>
    <w:rPr>
      <w:rFonts w:cs="Times New Roman"/>
    </w:rPr>
  </w:style>
  <w:style w:type="character" w:styleId="WWCharLFO15LVL8">
    <w:name w:val="WW_CharLFO15LVL8"/>
    <w:qFormat/>
    <w:rPr>
      <w:rFonts w:cs="Times New Roman"/>
    </w:rPr>
  </w:style>
  <w:style w:type="character" w:styleId="WWCharLFO15LVL7">
    <w:name w:val="WW_CharLFO15LVL7"/>
    <w:qFormat/>
    <w:rPr>
      <w:rFonts w:cs="Times New Roman"/>
    </w:rPr>
  </w:style>
  <w:style w:type="character" w:styleId="WWCharLFO15LVL6">
    <w:name w:val="WW_CharLFO15LVL6"/>
    <w:qFormat/>
    <w:rPr>
      <w:rFonts w:cs="Times New Roman"/>
    </w:rPr>
  </w:style>
  <w:style w:type="character" w:styleId="WWCharLFO15LVL5">
    <w:name w:val="WW_CharLFO15LVL5"/>
    <w:qFormat/>
    <w:rPr>
      <w:rFonts w:cs="Times New Roman"/>
    </w:rPr>
  </w:style>
  <w:style w:type="character" w:styleId="WWCharLFO15LVL4">
    <w:name w:val="WW_CharLFO15LVL4"/>
    <w:qFormat/>
    <w:rPr>
      <w:rFonts w:cs="Times New Roman"/>
    </w:rPr>
  </w:style>
  <w:style w:type="character" w:styleId="WWCharLFO15LVL3">
    <w:name w:val="WW_CharLFO15LVL3"/>
    <w:qFormat/>
    <w:rPr>
      <w:rFonts w:cs="Times New Roman"/>
    </w:rPr>
  </w:style>
  <w:style w:type="character" w:styleId="WWCharLFO15LVL2">
    <w:name w:val="WW_CharLFO15LVL2"/>
    <w:qFormat/>
    <w:rPr>
      <w:rFonts w:cs="Times New Roman"/>
    </w:rPr>
  </w:style>
  <w:style w:type="character" w:styleId="WWCharLFO15LVL1">
    <w:name w:val="WW_CharLFO15LVL1"/>
    <w:qFormat/>
    <w:rPr>
      <w:rFonts w:cs="Times New Roman"/>
    </w:rPr>
  </w:style>
  <w:style w:type="character" w:styleId="WWCharLFO14LVL9">
    <w:name w:val="WW_CharLFO14LVL9"/>
    <w:qFormat/>
    <w:rPr>
      <w:rFonts w:ascii="Wingdings" w:hAnsi="Wingdings" w:eastAsia="Wingdings" w:cs="Wingdings"/>
    </w:rPr>
  </w:style>
  <w:style w:type="character" w:styleId="WWCharLFO14LVL8">
    <w:name w:val="WW_CharLFO14LVL8"/>
    <w:qFormat/>
    <w:rPr>
      <w:rFonts w:ascii="Wingdings" w:hAnsi="Wingdings" w:eastAsia="Wingdings" w:cs="Wingdings"/>
    </w:rPr>
  </w:style>
  <w:style w:type="character" w:styleId="WWCharLFO14LVL7">
    <w:name w:val="WW_CharLFO14LVL7"/>
    <w:qFormat/>
    <w:rPr>
      <w:rFonts w:ascii="Wingdings" w:hAnsi="Wingdings" w:eastAsia="Wingdings" w:cs="Wingdings"/>
    </w:rPr>
  </w:style>
  <w:style w:type="character" w:styleId="WWCharLFO14LVL6">
    <w:name w:val="WW_CharLFO14LVL6"/>
    <w:qFormat/>
    <w:rPr>
      <w:rFonts w:ascii="Wingdings" w:hAnsi="Wingdings" w:eastAsia="Wingdings" w:cs="Wingdings"/>
    </w:rPr>
  </w:style>
  <w:style w:type="character" w:styleId="WWCharLFO14LVL5">
    <w:name w:val="WW_CharLFO14LVL5"/>
    <w:qFormat/>
    <w:rPr>
      <w:rFonts w:ascii="Wingdings" w:hAnsi="Wingdings" w:eastAsia="Wingdings" w:cs="Wingdings"/>
    </w:rPr>
  </w:style>
  <w:style w:type="character" w:styleId="WWCharLFO14LVL4">
    <w:name w:val="WW_CharLFO14LVL4"/>
    <w:qFormat/>
    <w:rPr>
      <w:rFonts w:ascii="Wingdings" w:hAnsi="Wingdings" w:eastAsia="Wingdings" w:cs="Wingdings"/>
    </w:rPr>
  </w:style>
  <w:style w:type="character" w:styleId="WWCharLFO14LVL3">
    <w:name w:val="WW_CharLFO14LVL3"/>
    <w:qFormat/>
    <w:rPr>
      <w:rFonts w:ascii="Wingdings" w:hAnsi="Wingdings" w:eastAsia="Wingdings" w:cs="Wingdings"/>
    </w:rPr>
  </w:style>
  <w:style w:type="character" w:styleId="WWCharLFO14LVL2">
    <w:name w:val="WW_CharLFO14LVL2"/>
    <w:qFormat/>
    <w:rPr>
      <w:rFonts w:ascii="Wingdings" w:hAnsi="Wingdings" w:eastAsia="Wingdings" w:cs="Wingdings"/>
    </w:rPr>
  </w:style>
  <w:style w:type="character" w:styleId="WWCharLFO14LVL1">
    <w:name w:val="WW_CharLFO14LVL1"/>
    <w:qFormat/>
    <w:rPr>
      <w:rFonts w:ascii="Wingdings" w:hAnsi="Wingdings" w:eastAsia="Wingdings" w:cs="Wingdings"/>
    </w:rPr>
  </w:style>
  <w:style w:type="character" w:styleId="WWCharLFO13LVL9">
    <w:name w:val="WW_CharLFO13LVL9"/>
    <w:qFormat/>
    <w:rPr>
      <w:rFonts w:ascii="OpenSymbol" w:hAnsi="OpenSymbol"/>
    </w:rPr>
  </w:style>
  <w:style w:type="character" w:styleId="WWCharLFO13LVL8">
    <w:name w:val="WW_CharLFO13LVL8"/>
    <w:qFormat/>
    <w:rPr>
      <w:rFonts w:ascii="OpenSymbol" w:hAnsi="OpenSymbol"/>
    </w:rPr>
  </w:style>
  <w:style w:type="character" w:styleId="WWCharLFO13LVL7">
    <w:name w:val="WW_CharLFO13LVL7"/>
    <w:qFormat/>
    <w:rPr>
      <w:rFonts w:ascii="OpenSymbol" w:hAnsi="OpenSymbol"/>
    </w:rPr>
  </w:style>
  <w:style w:type="character" w:styleId="WWCharLFO13LVL6">
    <w:name w:val="WW_CharLFO13LVL6"/>
    <w:qFormat/>
    <w:rPr>
      <w:rFonts w:ascii="OpenSymbol" w:hAnsi="OpenSymbol"/>
    </w:rPr>
  </w:style>
  <w:style w:type="character" w:styleId="WWCharLFO13LVL5">
    <w:name w:val="WW_CharLFO13LVL5"/>
    <w:qFormat/>
    <w:rPr>
      <w:rFonts w:ascii="OpenSymbol" w:hAnsi="OpenSymbol"/>
    </w:rPr>
  </w:style>
  <w:style w:type="character" w:styleId="WWCharLFO13LVL4">
    <w:name w:val="WW_CharLFO13LVL4"/>
    <w:qFormat/>
    <w:rPr>
      <w:rFonts w:ascii="OpenSymbol" w:hAnsi="OpenSymbol"/>
    </w:rPr>
  </w:style>
  <w:style w:type="character" w:styleId="WWCharLFO8LVL9">
    <w:name w:val="WW_CharLFO8LVL9"/>
    <w:qFormat/>
    <w:rPr>
      <w:rFonts w:ascii="OpenSymbol" w:hAnsi="OpenSymbol"/>
    </w:rPr>
  </w:style>
  <w:style w:type="character" w:styleId="WWCharLFO8LVL8">
    <w:name w:val="WW_CharLFO8LVL8"/>
    <w:qFormat/>
    <w:rPr>
      <w:rFonts w:ascii="OpenSymbol" w:hAnsi="OpenSymbol"/>
    </w:rPr>
  </w:style>
  <w:style w:type="character" w:styleId="WWCharLFO8LVL7">
    <w:name w:val="WW_CharLFO8LVL7"/>
    <w:qFormat/>
    <w:rPr>
      <w:rFonts w:ascii="OpenSymbol" w:hAnsi="OpenSymbol"/>
    </w:rPr>
  </w:style>
  <w:style w:type="character" w:styleId="WWCharLFO8LVL6">
    <w:name w:val="WW_CharLFO8LVL6"/>
    <w:qFormat/>
    <w:rPr>
      <w:rFonts w:ascii="OpenSymbol" w:hAnsi="OpenSymbol"/>
    </w:rPr>
  </w:style>
  <w:style w:type="character" w:styleId="WWCharLFO8LVL5">
    <w:name w:val="WW_CharLFO8LVL5"/>
    <w:qFormat/>
    <w:rPr>
      <w:rFonts w:ascii="OpenSymbol" w:hAnsi="OpenSymbol"/>
    </w:rPr>
  </w:style>
  <w:style w:type="character" w:styleId="WWCharLFO8LVL4">
    <w:name w:val="WW_CharLFO8LVL4"/>
    <w:qFormat/>
    <w:rPr>
      <w:rFonts w:ascii="OpenSymbol" w:hAnsi="OpenSymbol"/>
    </w:rPr>
  </w:style>
  <w:style w:type="character" w:styleId="WWCharLFO8LVL3">
    <w:name w:val="WW_CharLFO8LVL3"/>
    <w:qFormat/>
    <w:rPr>
      <w:rFonts w:ascii="OpenSymbol" w:hAnsi="OpenSymbol"/>
    </w:rPr>
  </w:style>
  <w:style w:type="character" w:styleId="WWCharLFO8LVL2">
    <w:name w:val="WW_CharLFO8LVL2"/>
    <w:qFormat/>
    <w:rPr>
      <w:rFonts w:ascii="OpenSymbol" w:hAnsi="OpenSymbol"/>
    </w:rPr>
  </w:style>
  <w:style w:type="character" w:styleId="WWCharLFO8LVL1">
    <w:name w:val="WW_CharLFO8LVL1"/>
    <w:qFormat/>
    <w:rPr>
      <w:rFonts w:ascii="OpenSymbol" w:hAnsi="OpenSymbol"/>
    </w:rPr>
  </w:style>
  <w:style w:type="character" w:styleId="WWCharLFO7LVL9">
    <w:name w:val="WW_CharLFO7LVL9"/>
    <w:qFormat/>
    <w:rPr>
      <w:rFonts w:ascii="OpenSymbol" w:hAnsi="OpenSymbol"/>
    </w:rPr>
  </w:style>
  <w:style w:type="character" w:styleId="WWCharLFO7LVL8">
    <w:name w:val="WW_CharLFO7LVL8"/>
    <w:qFormat/>
    <w:rPr>
      <w:rFonts w:ascii="OpenSymbol" w:hAnsi="OpenSymbol"/>
    </w:rPr>
  </w:style>
  <w:style w:type="character" w:styleId="WWCharLFO7LVL7">
    <w:name w:val="WW_CharLFO7LVL7"/>
    <w:qFormat/>
    <w:rPr>
      <w:rFonts w:ascii="OpenSymbol" w:hAnsi="OpenSymbol"/>
    </w:rPr>
  </w:style>
  <w:style w:type="character" w:styleId="WWCharLFO7LVL6">
    <w:name w:val="WW_CharLFO7LVL6"/>
    <w:qFormat/>
    <w:rPr>
      <w:rFonts w:ascii="OpenSymbol" w:hAnsi="OpenSymbol"/>
    </w:rPr>
  </w:style>
  <w:style w:type="character" w:styleId="WWCharLFO7LVL5">
    <w:name w:val="WW_CharLFO7LVL5"/>
    <w:qFormat/>
    <w:rPr>
      <w:rFonts w:ascii="OpenSymbol" w:hAnsi="OpenSymbol"/>
    </w:rPr>
  </w:style>
  <w:style w:type="character" w:styleId="WWCharLFO7LVL4">
    <w:name w:val="WW_CharLFO7LVL4"/>
    <w:qFormat/>
    <w:rPr>
      <w:rFonts w:ascii="OpenSymbol" w:hAnsi="OpenSymbol"/>
    </w:rPr>
  </w:style>
  <w:style w:type="character" w:styleId="WWCharLFO7LVL3">
    <w:name w:val="WW_CharLFO7LVL3"/>
    <w:qFormat/>
    <w:rPr>
      <w:rFonts w:ascii="OpenSymbol" w:hAnsi="OpenSymbol"/>
    </w:rPr>
  </w:style>
  <w:style w:type="character" w:styleId="WWCharLFO7LVL2">
    <w:name w:val="WW_CharLFO7LVL2"/>
    <w:qFormat/>
    <w:rPr>
      <w:rFonts w:ascii="OpenSymbol" w:hAnsi="OpenSymbol"/>
    </w:rPr>
  </w:style>
  <w:style w:type="character" w:styleId="WWCharLFO7LVL1">
    <w:name w:val="WW_CharLFO7LVL1"/>
    <w:qFormat/>
    <w:rPr>
      <w:rFonts w:ascii="OpenSymbol" w:hAnsi="OpenSymbol"/>
    </w:rPr>
  </w:style>
  <w:style w:type="character" w:styleId="WWCharLFO6LVL9">
    <w:name w:val="WW_CharLFO6LVL9"/>
    <w:qFormat/>
    <w:rPr>
      <w:rFonts w:ascii="OpenSymbol" w:hAnsi="OpenSymbol"/>
    </w:rPr>
  </w:style>
  <w:style w:type="character" w:styleId="WWCharLFO6LVL8">
    <w:name w:val="WW_CharLFO6LVL8"/>
    <w:qFormat/>
    <w:rPr>
      <w:rFonts w:ascii="OpenSymbol" w:hAnsi="OpenSymbol"/>
    </w:rPr>
  </w:style>
  <w:style w:type="character" w:styleId="WWCharLFO6LVL7">
    <w:name w:val="WW_CharLFO6LVL7"/>
    <w:qFormat/>
    <w:rPr>
      <w:rFonts w:ascii="OpenSymbol" w:hAnsi="OpenSymbol"/>
    </w:rPr>
  </w:style>
  <w:style w:type="character" w:styleId="WWCharLFO6LVL6">
    <w:name w:val="WW_CharLFO6LVL6"/>
    <w:qFormat/>
    <w:rPr>
      <w:rFonts w:ascii="OpenSymbol" w:hAnsi="OpenSymbol"/>
    </w:rPr>
  </w:style>
  <w:style w:type="character" w:styleId="WWCharLFO6LVL5">
    <w:name w:val="WW_CharLFO6LVL5"/>
    <w:qFormat/>
    <w:rPr>
      <w:rFonts w:ascii="OpenSymbol" w:hAnsi="OpenSymbol"/>
    </w:rPr>
  </w:style>
  <w:style w:type="character" w:styleId="WWCharLFO6LVL4">
    <w:name w:val="WW_CharLFO6LVL4"/>
    <w:qFormat/>
    <w:rPr>
      <w:rFonts w:ascii="OpenSymbol" w:hAnsi="OpenSymbol"/>
    </w:rPr>
  </w:style>
  <w:style w:type="character" w:styleId="WWCharLFO6LVL3">
    <w:name w:val="WW_CharLFO6LVL3"/>
    <w:qFormat/>
    <w:rPr>
      <w:rFonts w:ascii="OpenSymbol" w:hAnsi="OpenSymbol"/>
    </w:rPr>
  </w:style>
  <w:style w:type="character" w:styleId="WWCharLFO6LVL2">
    <w:name w:val="WW_CharLFO6LVL2"/>
    <w:qFormat/>
    <w:rPr>
      <w:rFonts w:ascii="OpenSymbol" w:hAnsi="OpenSymbol"/>
    </w:rPr>
  </w:style>
  <w:style w:type="character" w:styleId="WWCharLFO6LVL1">
    <w:name w:val="WW_CharLFO6LVL1"/>
    <w:qFormat/>
    <w:rPr>
      <w:rFonts w:ascii="OpenSymbol" w:hAnsi="OpenSymbol"/>
    </w:rPr>
  </w:style>
  <w:style w:type="character" w:styleId="WWCharLFO5LVL9">
    <w:name w:val="WW_CharLFO5LVL9"/>
    <w:qFormat/>
    <w:rPr>
      <w:rFonts w:ascii="OpenSymbol" w:hAnsi="OpenSymbol" w:eastAsia="OpenSymbol" w:cs="OpenSymbol"/>
    </w:rPr>
  </w:style>
  <w:style w:type="character" w:styleId="WWCharLFO5LVL8">
    <w:name w:val="WW_CharLFO5LVL8"/>
    <w:qFormat/>
    <w:rPr>
      <w:rFonts w:ascii="OpenSymbol" w:hAnsi="OpenSymbol" w:eastAsia="OpenSymbol" w:cs="OpenSymbol"/>
    </w:rPr>
  </w:style>
  <w:style w:type="character" w:styleId="WWCharLFO5LVL7">
    <w:name w:val="WW_CharLFO5LVL7"/>
    <w:qFormat/>
    <w:rPr>
      <w:rFonts w:ascii="OpenSymbol" w:hAnsi="OpenSymbol" w:eastAsia="OpenSymbol" w:cs="OpenSymbol"/>
    </w:rPr>
  </w:style>
  <w:style w:type="character" w:styleId="WWCharLFO5LVL6">
    <w:name w:val="WW_CharLFO5LVL6"/>
    <w:qFormat/>
    <w:rPr>
      <w:rFonts w:ascii="OpenSymbol" w:hAnsi="OpenSymbol" w:eastAsia="OpenSymbol" w:cs="OpenSymbol"/>
    </w:rPr>
  </w:style>
  <w:style w:type="character" w:styleId="WWCharLFO5LVL5">
    <w:name w:val="WW_CharLFO5LVL5"/>
    <w:qFormat/>
    <w:rPr>
      <w:rFonts w:ascii="OpenSymbol" w:hAnsi="OpenSymbol" w:eastAsia="OpenSymbol" w:cs="OpenSymbol"/>
    </w:rPr>
  </w:style>
  <w:style w:type="character" w:styleId="WWCharLFO5LVL4">
    <w:name w:val="WW_CharLFO5LVL4"/>
    <w:qFormat/>
    <w:rPr>
      <w:rFonts w:ascii="OpenSymbol" w:hAnsi="OpenSymbol" w:eastAsia="OpenSymbol" w:cs="OpenSymbol"/>
    </w:rPr>
  </w:style>
  <w:style w:type="character" w:styleId="WWCharLFO5LVL3">
    <w:name w:val="WW_CharLFO5LVL3"/>
    <w:qFormat/>
    <w:rPr>
      <w:rFonts w:ascii="OpenSymbol" w:hAnsi="OpenSymbol" w:eastAsia="OpenSymbol" w:cs="OpenSymbol"/>
    </w:rPr>
  </w:style>
  <w:style w:type="character" w:styleId="WWCharLFO5LVL2">
    <w:name w:val="WW_CharLFO5LVL2"/>
    <w:qFormat/>
    <w:rPr>
      <w:rFonts w:ascii="OpenSymbol" w:hAnsi="OpenSymbol" w:eastAsia="OpenSymbol" w:cs="OpenSymbol"/>
    </w:rPr>
  </w:style>
  <w:style w:type="character" w:styleId="WWCharLFO5LVL1">
    <w:name w:val="WW_CharLFO5LVL1"/>
    <w:qFormat/>
    <w:rPr>
      <w:rFonts w:ascii="OpenSymbol" w:hAnsi="OpenSymbol" w:eastAsia="OpenSymbol" w:cs="OpenSymbol"/>
    </w:rPr>
  </w:style>
  <w:style w:type="character" w:styleId="WWCharLFO4LVL9">
    <w:name w:val="WW_CharLFO4LVL9"/>
    <w:qFormat/>
    <w:rPr>
      <w:rFonts w:ascii="Segoe UI" w:hAnsi="Segoe UI" w:eastAsia="OpenSymbol" w:cs="OpenSymbol"/>
    </w:rPr>
  </w:style>
  <w:style w:type="character" w:styleId="WWCharLFO4LVL8">
    <w:name w:val="WW_CharLFO4LVL8"/>
    <w:qFormat/>
    <w:rPr>
      <w:rFonts w:ascii="Segoe UI" w:hAnsi="Segoe UI" w:eastAsia="OpenSymbol" w:cs="OpenSymbol"/>
    </w:rPr>
  </w:style>
  <w:style w:type="character" w:styleId="WWCharLFO4LVL7">
    <w:name w:val="WW_CharLFO4LVL7"/>
    <w:qFormat/>
    <w:rPr>
      <w:rFonts w:ascii="Segoe UI" w:hAnsi="Segoe UI" w:eastAsia="OpenSymbol" w:cs="OpenSymbol"/>
    </w:rPr>
  </w:style>
  <w:style w:type="character" w:styleId="WWCharLFO4LVL6">
    <w:name w:val="WW_CharLFO4LVL6"/>
    <w:qFormat/>
    <w:rPr>
      <w:rFonts w:ascii="Segoe UI" w:hAnsi="Segoe UI" w:eastAsia="OpenSymbol" w:cs="OpenSymbol"/>
    </w:rPr>
  </w:style>
  <w:style w:type="character" w:styleId="WWCharLFO4LVL5">
    <w:name w:val="WW_CharLFO4LVL5"/>
    <w:qFormat/>
    <w:rPr>
      <w:rFonts w:ascii="Segoe UI" w:hAnsi="Segoe UI" w:eastAsia="OpenSymbol" w:cs="OpenSymbol"/>
    </w:rPr>
  </w:style>
  <w:style w:type="character" w:styleId="WWCharLFO4LVL4">
    <w:name w:val="WW_CharLFO4LVL4"/>
    <w:qFormat/>
    <w:rPr>
      <w:rFonts w:ascii="Arial" w:hAnsi="Arial" w:eastAsia="OpenSymbol" w:cs="OpenSymbol"/>
    </w:rPr>
  </w:style>
  <w:style w:type="character" w:styleId="WWCharLFO4LVL3">
    <w:name w:val="WW_CharLFO4LVL3"/>
    <w:qFormat/>
    <w:rPr>
      <w:rFonts w:ascii="Wingdings 3" w:hAnsi="Wingdings 3" w:eastAsia="OpenSymbol" w:cs="OpenSymbol"/>
    </w:rPr>
  </w:style>
  <w:style w:type="character" w:styleId="WWCharLFO4LVL2">
    <w:name w:val="WW_CharLFO4LVL2"/>
    <w:qFormat/>
    <w:rPr>
      <w:rFonts w:ascii="Arial" w:hAnsi="Arial" w:eastAsia="OpenSymbol" w:cs="OpenSymbol"/>
    </w:rPr>
  </w:style>
  <w:style w:type="character" w:styleId="WWCharLFO4LVL1">
    <w:name w:val="WW_CharLFO4LVL1"/>
    <w:qFormat/>
    <w:rPr>
      <w:rFonts w:ascii="Wingdings 2" w:hAnsi="Wingdings 2" w:eastAsia="OpenSymbol" w:cs="OpenSymbol"/>
    </w:rPr>
  </w:style>
  <w:style w:type="character" w:styleId="CorpsdetexteCar1">
    <w:name w:val="Corps de texte Car1"/>
    <w:basedOn w:val="Policepardfaut"/>
    <w:qFormat/>
    <w:rPr>
      <w:rFonts w:cs="Mangal"/>
      <w:szCs w:val="21"/>
    </w:rPr>
  </w:style>
  <w:style w:type="character" w:styleId="Marquedecommentaire">
    <w:name w:val="Marque de commentaire"/>
    <w:basedOn w:val="Policepardfaut"/>
    <w:qFormat/>
    <w:rPr>
      <w:sz w:val="16"/>
      <w:szCs w:val="16"/>
    </w:rPr>
  </w:style>
  <w:style w:type="character" w:styleId="Ancredenotedefin">
    <w:name w:val="Ancre de note de fin"/>
    <w:rPr>
      <w:sz w:val="16"/>
    </w:rPr>
  </w:style>
  <w:style w:type="character" w:styleId="Caractresdenotedefin">
    <w:name w:val="Caractères de note de fin"/>
    <w:qFormat/>
    <w:rPr/>
  </w:style>
  <w:style w:type="character" w:styleId="Ancredenotedebasdepage">
    <w:name w:val="Ancre de note de bas de page"/>
    <w:rPr>
      <w:sz w:val="16"/>
    </w:rPr>
  </w:style>
  <w:style w:type="character" w:styleId="Caractresdenotedebasdepage">
    <w:name w:val="Caractères de note de bas de pag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rFonts w:ascii="Courier New" w:hAnsi="Courier New" w:eastAsia="Courier New" w:cs="Courier New"/>
    </w:rPr>
  </w:style>
  <w:style w:type="character" w:styleId="WW8Num2z2">
    <w:name w:val="WW8Num2z2"/>
    <w:qFormat/>
    <w:rPr>
      <w:rFonts w:ascii="Wingdings" w:hAnsi="Wingdings" w:eastAsia="Wingdings" w:cs="Wingdings"/>
    </w:rPr>
  </w:style>
  <w:style w:type="character" w:styleId="WW8Num2z3">
    <w:name w:val="WW8Num2z3"/>
    <w:qFormat/>
    <w:rPr>
      <w:rFonts w:ascii="Symbol" w:hAnsi="Symbol" w:eastAsia="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eastAsia="Symbol" w:cs="Open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8Num6z0">
    <w:name w:val="WW8Num6z0"/>
    <w:qFormat/>
    <w:rPr>
      <w:rFonts w:ascii="Symbol" w:hAnsi="Symbol" w:eastAsia="Symbol" w:cs="OpenSymbol"/>
    </w:rPr>
  </w:style>
  <w:style w:type="character" w:styleId="Policepardfaut2">
    <w:name w:val="Police par défaut2"/>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Textenonproportionnel">
    <w:name w:val="Texte non proportionnel"/>
    <w:qFormat/>
    <w:rPr>
      <w:rFonts w:ascii="Courier New" w:hAnsi="Courier New" w:eastAsia="Courier New" w:cs="Courier New"/>
    </w:rPr>
  </w:style>
  <w:style w:type="character" w:styleId="WW8Num10z0">
    <w:name w:val="WW8Num10z0"/>
    <w:qFormat/>
    <w:rPr>
      <w:rFonts w:ascii="Arial" w:hAnsi="Arial" w:eastAsia="Times New Roman" w:cs="Arial"/>
    </w:rPr>
  </w:style>
  <w:style w:type="character" w:styleId="Numrodepage">
    <w:name w:val="Numéro de page"/>
    <w:basedOn w:val="Policepardfaut"/>
    <w:rPr/>
  </w:style>
  <w:style w:type="paragraph" w:styleId="Titre" w:customStyle="1">
    <w:name w:val="Titre"/>
    <w:basedOn w:val="Normal"/>
    <w:next w:val="Corpsdetexte"/>
    <w:qFormat/>
    <w:pPr>
      <w:widowControl w:val="false"/>
      <w:bidi w:val="0"/>
      <w:spacing w:before="240" w:after="120"/>
      <w:jc w:val="left"/>
    </w:pPr>
    <w:rPr>
      <w:rFonts w:ascii="Liberation Sans" w:hAnsi="Liberation Sans" w:eastAsia="Microsoft YaHei" w:cs="Times New Roman"/>
      <w:color w:val="00000A"/>
      <w:sz w:val="28"/>
      <w:szCs w:val="28"/>
      <w:lang w:eastAsia="fr-FR" w:bidi="ar-SA"/>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Times New Roman" w:cs="Tahoma"/>
      <w:color w:val="00000A"/>
      <w:sz w:val="20"/>
      <w:szCs w:val="20"/>
      <w:lang w:eastAsia="fr-FR" w:bidi="ar-S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imes New Roman" w:cs="Tahoma"/>
      <w:color w:val="00000A"/>
      <w:sz w:val="20"/>
      <w:szCs w:val="20"/>
      <w:lang w:eastAsia="fr-FR" w:bidi="ar-SA"/>
    </w:rPr>
  </w:style>
  <w:style w:type="paragraph" w:styleId="Standard" w:customStyle="1">
    <w:name w:val="Standard"/>
    <w:qFormat/>
    <w:pPr>
      <w:keepNext w:val="true"/>
      <w:keepLines/>
      <w:widowControl/>
      <w:suppressAutoHyphens w:val="true"/>
      <w:overflowPunct w:val="true"/>
      <w:bidi w:val="0"/>
      <w:spacing w:before="0" w:after="0"/>
      <w:jc w:val="both"/>
      <w:textAlignment w:val="baseline"/>
    </w:pPr>
    <w:rPr>
      <w:rFonts w:ascii="Arial" w:hAnsi="Arial" w:eastAsia="Arial" w:cs="Arial"/>
      <w:color w:val="00000A"/>
      <w:kern w:val="0"/>
      <w:sz w:val="21"/>
      <w:szCs w:val="24"/>
      <w:lang w:val="fr-FR" w:eastAsia="ja-JP" w:bidi="fa-IR"/>
    </w:rPr>
  </w:style>
  <w:style w:type="paragraph" w:styleId="Textbody" w:customStyle="1">
    <w:name w:val="Text body"/>
    <w:basedOn w:val="Standard"/>
    <w:qFormat/>
    <w:pPr/>
    <w:rPr/>
  </w:style>
  <w:style w:type="paragraph" w:styleId="Caption">
    <w:name w:val="caption"/>
    <w:basedOn w:val="Standard"/>
    <w:qFormat/>
    <w:pPr>
      <w:suppressLineNumbers/>
      <w:spacing w:before="120" w:after="120"/>
    </w:pPr>
    <w:rPr>
      <w:i/>
      <w:iCs/>
      <w:sz w:val="24"/>
    </w:rPr>
  </w:style>
  <w:style w:type="paragraph" w:styleId="Titre21" w:customStyle="1">
    <w:name w:val="Titre2"/>
    <w:basedOn w:val="Standard"/>
    <w:qFormat/>
    <w:pPr>
      <w:pBdr>
        <w:top w:val="single" w:sz="18" w:space="1" w:color="808080"/>
        <w:left w:val="single" w:sz="18" w:space="1" w:color="808080"/>
        <w:bottom w:val="single" w:sz="18" w:space="1" w:color="808080"/>
        <w:right w:val="single" w:sz="18" w:space="1" w:color="808080"/>
      </w:pBdr>
      <w:spacing w:before="567" w:after="567"/>
      <w:jc w:val="center"/>
    </w:pPr>
    <w:rPr>
      <w:rFonts w:eastAsia="Andale Sans UI" w:cs="Tahoma"/>
      <w:b/>
      <w:sz w:val="32"/>
      <w:szCs w:val="28"/>
    </w:rPr>
  </w:style>
  <w:style w:type="paragraph" w:styleId="Lgende1" w:customStyle="1">
    <w:name w:val="Légende1"/>
    <w:basedOn w:val="Standard"/>
    <w:qFormat/>
    <w:pPr>
      <w:suppressLineNumbers/>
      <w:spacing w:before="120" w:after="120"/>
    </w:pPr>
    <w:rPr>
      <w:rFonts w:ascii="Trebuchet MS" w:hAnsi="Trebuchet MS" w:cs="Tahoma"/>
      <w:i/>
      <w:iCs/>
      <w:sz w:val="24"/>
    </w:rPr>
  </w:style>
  <w:style w:type="paragraph" w:styleId="Contenudetableau" w:customStyle="1">
    <w:name w:val="Contenu de tableau"/>
    <w:basedOn w:val="Standard"/>
    <w:qFormat/>
    <w:pPr>
      <w:suppressLineNumbers/>
    </w:pPr>
    <w:rPr>
      <w:rFonts w:ascii="Trebuchet MS" w:hAnsi="Trebuchet MS"/>
    </w:rPr>
  </w:style>
  <w:style w:type="paragraph" w:styleId="Titredetableau" w:customStyle="1">
    <w:name w:val="Titre de tableau"/>
    <w:basedOn w:val="Contenudetableau"/>
    <w:qFormat/>
    <w:pPr>
      <w:jc w:val="center"/>
    </w:pPr>
    <w:rPr>
      <w:b/>
      <w:bCs/>
    </w:rPr>
  </w:style>
  <w:style w:type="paragraph" w:styleId="Titre11" w:customStyle="1">
    <w:name w:val="Titre 11"/>
    <w:basedOn w:val="Standard"/>
    <w:qFormat/>
    <w:pPr/>
    <w:rPr>
      <w:rFonts w:ascii="Trebuchet MS" w:hAnsi="Trebuchet MS"/>
      <w:color w:val="808080"/>
      <w:sz w:val="36"/>
      <w:szCs w:val="36"/>
    </w:rPr>
  </w:style>
  <w:style w:type="paragraph" w:styleId="Titre211" w:customStyle="1">
    <w:name w:val="Titre 21"/>
    <w:basedOn w:val="Standard"/>
    <w:qFormat/>
    <w:pPr>
      <w:spacing w:before="240" w:after="60"/>
    </w:pPr>
    <w:rPr>
      <w:rFonts w:ascii="Trebuchet MS" w:hAnsi="Trebuchet MS"/>
      <w:b/>
      <w:bCs/>
      <w:i/>
      <w:iCs/>
      <w:sz w:val="28"/>
      <w:szCs w:val="28"/>
    </w:rPr>
  </w:style>
  <w:style w:type="paragraph" w:styleId="Titre31" w:customStyle="1">
    <w:name w:val="Titre 31"/>
    <w:basedOn w:val="Standard"/>
    <w:qFormat/>
    <w:pPr>
      <w:spacing w:before="240" w:after="60"/>
    </w:pPr>
    <w:rPr>
      <w:rFonts w:ascii="Trebuchet MS" w:hAnsi="Trebuchet MS"/>
      <w:b/>
      <w:bCs/>
      <w:sz w:val="26"/>
      <w:szCs w:val="26"/>
    </w:rPr>
  </w:style>
  <w:style w:type="paragraph" w:styleId="Entte1" w:customStyle="1">
    <w:name w:val="En-tête1"/>
    <w:basedOn w:val="Standard"/>
    <w:qFormat/>
    <w:pPr>
      <w:tabs>
        <w:tab w:val="clear" w:pos="420"/>
        <w:tab w:val="center" w:pos="4536" w:leader="none"/>
        <w:tab w:val="right" w:pos="9072" w:leader="none"/>
      </w:tabs>
    </w:pPr>
    <w:rPr>
      <w:rFonts w:ascii="Trebuchet MS" w:hAnsi="Trebuchet MS"/>
    </w:rPr>
  </w:style>
  <w:style w:type="paragraph" w:styleId="Numration1lamarge" w:customStyle="1">
    <w:name w:val="énumération 1  à la marge"/>
    <w:basedOn w:val="Standard"/>
    <w:qFormat/>
    <w:pPr>
      <w:tabs>
        <w:tab w:val="clear" w:pos="420"/>
        <w:tab w:val="left" w:pos="360" w:leader="none"/>
      </w:tabs>
      <w:spacing w:before="0" w:after="120"/>
      <w:ind w:left="360" w:hanging="360"/>
    </w:pPr>
    <w:rPr>
      <w:rFonts w:ascii="Trebuchet MS" w:hAnsi="Trebuchet MS"/>
    </w:rPr>
  </w:style>
  <w:style w:type="paragraph" w:styleId="Entteetpieddepage">
    <w:name w:val="En-tête et pied de page"/>
    <w:basedOn w:val="Normal"/>
    <w:qFormat/>
    <w:pPr>
      <w:suppressLineNumbers/>
      <w:tabs>
        <w:tab w:val="clear" w:pos="420"/>
        <w:tab w:val="center" w:pos="4819" w:leader="none"/>
        <w:tab w:val="right" w:pos="9638" w:leader="none"/>
      </w:tabs>
      <w:suppressAutoHyphens w:val="true"/>
    </w:pPr>
    <w:rPr/>
  </w:style>
  <w:style w:type="paragraph" w:styleId="Entte">
    <w:name w:val="Header"/>
    <w:basedOn w:val="Standard"/>
    <w:pPr>
      <w:suppressLineNumbers/>
      <w:tabs>
        <w:tab w:val="clear" w:pos="420"/>
        <w:tab w:val="center" w:pos="4818" w:leader="none"/>
        <w:tab w:val="right" w:pos="9637" w:leader="none"/>
      </w:tabs>
    </w:pPr>
    <w:rPr>
      <w:rFonts w:ascii="Trebuchet MS" w:hAnsi="Trebuchet MS"/>
    </w:rPr>
  </w:style>
  <w:style w:type="paragraph" w:styleId="Toaheading">
    <w:name w:val="toa heading"/>
    <w:basedOn w:val="Titre21"/>
    <w:qFormat/>
    <w:pPr>
      <w:suppressLineNumbers/>
      <w:spacing w:before="0" w:after="283"/>
    </w:pPr>
    <w:rPr>
      <w:rFonts w:ascii="Trebuchet MS" w:hAnsi="Trebuchet MS"/>
      <w:bCs/>
      <w:szCs w:val="32"/>
    </w:rPr>
  </w:style>
  <w:style w:type="paragraph" w:styleId="Contents1" w:customStyle="1">
    <w:name w:val="Contents 1"/>
    <w:basedOn w:val="Index"/>
    <w:qFormat/>
    <w:pPr>
      <w:tabs>
        <w:tab w:val="clear" w:pos="420"/>
        <w:tab w:val="right" w:pos="9637" w:leader="dot"/>
      </w:tabs>
      <w:spacing w:lineRule="atLeast" w:line="100" w:before="170" w:after="113"/>
    </w:pPr>
    <w:rPr/>
  </w:style>
  <w:style w:type="paragraph" w:styleId="Contents2" w:customStyle="1">
    <w:name w:val="Contents 2"/>
    <w:basedOn w:val="Index"/>
    <w:qFormat/>
    <w:pPr>
      <w:tabs>
        <w:tab w:val="clear" w:pos="420"/>
        <w:tab w:val="right" w:pos="9638" w:leader="dot"/>
      </w:tabs>
      <w:spacing w:before="57" w:after="57"/>
      <w:ind w:left="283" w:hanging="0"/>
    </w:pPr>
    <w:rPr/>
  </w:style>
  <w:style w:type="paragraph" w:styleId="Contents3" w:customStyle="1">
    <w:name w:val="Contents 3"/>
    <w:basedOn w:val="Index"/>
    <w:qFormat/>
    <w:pPr>
      <w:tabs>
        <w:tab w:val="clear" w:pos="420"/>
        <w:tab w:val="right" w:pos="9241" w:leader="dot"/>
      </w:tabs>
      <w:spacing w:before="57" w:after="57"/>
      <w:ind w:left="170" w:hanging="0"/>
    </w:pPr>
    <w:rPr/>
  </w:style>
  <w:style w:type="paragraph" w:styleId="Contents4" w:customStyle="1">
    <w:name w:val="Contents 4"/>
    <w:basedOn w:val="Index"/>
    <w:qFormat/>
    <w:pPr>
      <w:tabs>
        <w:tab w:val="clear" w:pos="420"/>
        <w:tab w:val="right" w:pos="9128" w:leader="dot"/>
      </w:tabs>
      <w:spacing w:before="57" w:after="57"/>
      <w:ind w:left="340" w:hanging="0"/>
    </w:pPr>
    <w:rPr/>
  </w:style>
  <w:style w:type="paragraph" w:styleId="Contents5" w:customStyle="1">
    <w:name w:val="Contents 5"/>
    <w:basedOn w:val="Index"/>
    <w:qFormat/>
    <w:pPr>
      <w:tabs>
        <w:tab w:val="clear" w:pos="420"/>
        <w:tab w:val="right" w:pos="9015" w:leader="dot"/>
      </w:tabs>
      <w:spacing w:before="57" w:after="57"/>
      <w:ind w:left="510" w:hanging="0"/>
    </w:pPr>
    <w:rPr/>
  </w:style>
  <w:style w:type="paragraph" w:styleId="Indexpersonnalis1" w:customStyle="1">
    <w:name w:val="Index personnalisé 1"/>
    <w:basedOn w:val="Index"/>
    <w:qFormat/>
    <w:pPr>
      <w:tabs>
        <w:tab w:val="clear" w:pos="420"/>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lear" w:pos="420"/>
        <w:tab w:val="center" w:pos="4818" w:leader="none"/>
        <w:tab w:val="right" w:pos="9637" w:leader="none"/>
      </w:tabs>
    </w:pPr>
    <w:rPr>
      <w:rFonts w:ascii="Trebuchet MS" w:hAnsi="Trebuchet MS"/>
      <w:sz w:val="20"/>
    </w:rPr>
  </w:style>
  <w:style w:type="paragraph" w:styleId="Pieddepagegauche" w:customStyle="1">
    <w:name w:val="Pied de page gauche"/>
    <w:basedOn w:val="Standard"/>
    <w:qFormat/>
    <w:pPr>
      <w:suppressLineNumbers/>
      <w:tabs>
        <w:tab w:val="clear" w:pos="420"/>
        <w:tab w:val="center" w:pos="4818" w:leader="none"/>
        <w:tab w:val="right" w:pos="9637" w:leader="none"/>
      </w:tabs>
    </w:pPr>
    <w:rPr>
      <w:rFonts w:ascii="Trebuchet MS" w:hAnsi="Trebuchet MS"/>
      <w:sz w:val="20"/>
    </w:rPr>
  </w:style>
  <w:style w:type="paragraph" w:styleId="Pieddepagedroit" w:customStyle="1">
    <w:name w:val="Pied de page droit"/>
    <w:basedOn w:val="Standard"/>
    <w:qFormat/>
    <w:pPr>
      <w:suppressLineNumbers/>
      <w:tabs>
        <w:tab w:val="clear" w:pos="420"/>
        <w:tab w:val="center" w:pos="4818" w:leader="none"/>
        <w:tab w:val="right" w:pos="9637" w:leader="none"/>
      </w:tabs>
    </w:pPr>
    <w:rPr>
      <w:rFonts w:ascii="Trebuchet MS" w:hAnsi="Trebuchet MS"/>
      <w:sz w:val="20"/>
    </w:rPr>
  </w:style>
  <w:style w:type="paragraph" w:styleId="Titre10" w:customStyle="1">
    <w:name w:val="Titre 10"/>
    <w:basedOn w:val="Titre21"/>
    <w:qFormat/>
    <w:pPr>
      <w:tabs>
        <w:tab w:val="clear" w:pos="420"/>
        <w:tab w:val="left" w:pos="3168" w:leader="none"/>
      </w:tabs>
      <w:ind w:left="1584" w:hanging="1584"/>
    </w:pPr>
    <w:rPr>
      <w:bCs/>
      <w:sz w:val="24"/>
      <w:szCs w:val="21"/>
    </w:rPr>
  </w:style>
  <w:style w:type="paragraph" w:styleId="Standard20" w:customStyle="1">
    <w:name w:val="Standard 20"/>
    <w:basedOn w:val="Standard"/>
    <w:qFormat/>
    <w:pPr/>
    <w:rPr>
      <w:sz w:val="40"/>
      <w:szCs w:val="40"/>
    </w:rPr>
  </w:style>
  <w:style w:type="paragraph" w:styleId="Titre12" w:customStyle="1">
    <w:name w:val="Titre1"/>
    <w:basedOn w:val="Standard"/>
    <w:qFormat/>
    <w:pPr>
      <w:jc w:val="center"/>
    </w:pPr>
    <w:rPr>
      <w:b/>
      <w:sz w:val="40"/>
    </w:rPr>
  </w:style>
  <w:style w:type="paragraph" w:styleId="Tabledesmatiresniveau10" w:customStyle="1">
    <w:name w:val="Table des matières niveau 10"/>
    <w:basedOn w:val="Index"/>
    <w:qFormat/>
    <w:pPr>
      <w:tabs>
        <w:tab w:val="clear" w:pos="420"/>
        <w:tab w:val="right" w:pos="8300" w:leader="dot"/>
      </w:tabs>
      <w:ind w:left="2547" w:hanging="0"/>
    </w:pPr>
    <w:rPr/>
  </w:style>
  <w:style w:type="paragraph" w:styleId="Contents6" w:customStyle="1">
    <w:name w:val="Contents 6"/>
    <w:basedOn w:val="Index"/>
    <w:qFormat/>
    <w:pPr>
      <w:tabs>
        <w:tab w:val="clear" w:pos="420"/>
        <w:tab w:val="right" w:pos="8300" w:leader="dot"/>
      </w:tabs>
      <w:ind w:left="1415" w:hanging="0"/>
    </w:pPr>
    <w:rPr/>
  </w:style>
  <w:style w:type="paragraph" w:styleId="Contents7" w:customStyle="1">
    <w:name w:val="Contents 7"/>
    <w:basedOn w:val="Index"/>
    <w:qFormat/>
    <w:pPr>
      <w:tabs>
        <w:tab w:val="clear" w:pos="420"/>
        <w:tab w:val="right" w:pos="8300" w:leader="dot"/>
      </w:tabs>
      <w:ind w:left="1698" w:hanging="0"/>
    </w:pPr>
    <w:rPr/>
  </w:style>
  <w:style w:type="paragraph" w:styleId="Contents8" w:customStyle="1">
    <w:name w:val="Contents 8"/>
    <w:basedOn w:val="Index"/>
    <w:qFormat/>
    <w:pPr>
      <w:tabs>
        <w:tab w:val="clear" w:pos="420"/>
        <w:tab w:val="right" w:pos="8300" w:leader="dot"/>
      </w:tabs>
      <w:ind w:left="1981" w:hanging="0"/>
    </w:pPr>
    <w:rPr/>
  </w:style>
  <w:style w:type="paragraph" w:styleId="Contents9" w:customStyle="1">
    <w:name w:val="Contents 9"/>
    <w:basedOn w:val="Index"/>
    <w:qFormat/>
    <w:pPr>
      <w:tabs>
        <w:tab w:val="clear" w:pos="420"/>
        <w:tab w:val="right" w:pos="8300" w:leader="dot"/>
      </w:tabs>
      <w:ind w:left="2264" w:hanging="0"/>
    </w:pPr>
    <w:rPr/>
  </w:style>
  <w:style w:type="paragraph" w:styleId="Textbodyindent" w:customStyle="1">
    <w:name w:val="Text body indent"/>
    <w:basedOn w:val="Textbody"/>
    <w:qFormat/>
    <w:pPr>
      <w:ind w:left="283" w:firstLine="283"/>
    </w:pPr>
    <w:rPr/>
  </w:style>
  <w:style w:type="paragraph" w:styleId="Alinangatif" w:customStyle="1">
    <w:name w:val="Alinéa négatif"/>
    <w:basedOn w:val="Textbody"/>
    <w:qFormat/>
    <w:pPr>
      <w:tabs>
        <w:tab w:val="clear" w:pos="420"/>
        <w:tab w:val="left" w:pos="567" w:leader="none"/>
      </w:tabs>
      <w:ind w:left="567" w:hanging="283"/>
    </w:pPr>
    <w:rPr/>
  </w:style>
  <w:style w:type="paragraph" w:styleId="Intitule" w:customStyle="1">
    <w:name w:val="Intitule"/>
    <w:basedOn w:val="Standard"/>
    <w:qFormat/>
    <w:pPr>
      <w:pBdr>
        <w:top w:val="single" w:sz="18" w:space="1" w:color="000001"/>
        <w:left w:val="single" w:sz="18" w:space="4" w:color="000001"/>
        <w:bottom w:val="single" w:sz="18" w:space="1" w:color="000001"/>
        <w:right w:val="single" w:sz="18" w:space="16" w:color="000001"/>
      </w:pBdr>
      <w:tabs>
        <w:tab w:val="clear" w:pos="420"/>
        <w:tab w:val="left" w:pos="0" w:leader="none"/>
      </w:tabs>
      <w:jc w:val="center"/>
    </w:pPr>
    <w:rPr>
      <w:b/>
      <w:color w:val="000000"/>
      <w:sz w:val="36"/>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2"/>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clear" w:pos="420"/>
        <w:tab w:val="left" w:pos="3600" w:leader="none"/>
      </w:tabs>
      <w:ind w:left="3600" w:hanging="3600"/>
      <w:jc w:val="center"/>
    </w:pPr>
    <w:rPr>
      <w:b/>
      <w:color w:val="000000"/>
      <w:sz w:val="24"/>
      <w:szCs w:val="20"/>
    </w:rPr>
  </w:style>
  <w:style w:type="paragraph" w:styleId="Procedure" w:customStyle="1">
    <w:name w:val="Procedure"/>
    <w:basedOn w:val="Standard"/>
    <w:qFormat/>
    <w:pPr>
      <w:tabs>
        <w:tab w:val="clear" w:pos="420"/>
        <w:tab w:val="left" w:pos="3600" w:leader="none"/>
      </w:tabs>
      <w:ind w:left="3600" w:hanging="3600"/>
      <w:jc w:val="center"/>
    </w:pPr>
    <w:rPr>
      <w:b/>
      <w:color w:val="000000"/>
      <w:sz w:val="24"/>
      <w:szCs w:val="20"/>
    </w:rPr>
  </w:style>
  <w:style w:type="paragraph" w:styleId="DateLimite" w:customStyle="1">
    <w:name w:val="DateLimite"/>
    <w:basedOn w:val="Standard"/>
    <w:qFormat/>
    <w:pPr>
      <w:tabs>
        <w:tab w:val="clear" w:pos="420"/>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tyle>
  <w:style w:type="paragraph" w:styleId="Tableau" w:customStyle="1">
    <w:name w:val="Tableau"/>
    <w:basedOn w:val="Lgende1"/>
    <w:qFormat/>
    <w:pPr/>
    <w:rPr>
      <w:rFonts w:ascii="Arial" w:hAnsi="Arial"/>
      <w:i w:val="false"/>
      <w:sz w:val="21"/>
    </w:rPr>
  </w:style>
  <w:style w:type="paragraph" w:styleId="Appniv1" w:customStyle="1">
    <w:name w:val="App niv 1"/>
    <w:basedOn w:val="Standard"/>
    <w:qFormat/>
    <w:pPr/>
    <w:rPr>
      <w:rFonts w:ascii="Trebuchet MS" w:hAnsi="Trebuchet MS"/>
      <w:b/>
      <w:sz w:val="24"/>
    </w:rPr>
  </w:style>
  <w:style w:type="paragraph" w:styleId="Style31" w:customStyle="1">
    <w:name w:val="Style 3"/>
    <w:basedOn w:val="Titre12"/>
    <w:qFormat/>
    <w:pPr>
      <w:pBdr>
        <w:top w:val="single" w:sz="4" w:space="1" w:color="000001"/>
        <w:left w:val="single" w:sz="4" w:space="4" w:color="000001"/>
        <w:bottom w:val="single" w:sz="4" w:space="1" w:color="000001"/>
        <w:right w:val="single" w:sz="4" w:space="4" w:color="000001"/>
      </w:pBdr>
    </w:pPr>
    <w:rPr/>
  </w:style>
  <w:style w:type="paragraph" w:styleId="Style21" w:customStyle="1">
    <w:name w:val="Style 2"/>
    <w:basedOn w:val="Standard"/>
    <w:qFormat/>
    <w:pPr>
      <w:jc w:val="right"/>
    </w:pPr>
    <w:rPr/>
  </w:style>
  <w:style w:type="paragraph" w:styleId="Style11" w:customStyle="1">
    <w:name w:val="Style 1"/>
    <w:basedOn w:val="Standard"/>
    <w:qFormat/>
    <w:pPr/>
    <w:rPr>
      <w:b/>
    </w:rPr>
  </w:style>
  <w:style w:type="paragraph" w:styleId="Contenudecadre" w:customStyle="1">
    <w:name w:val="Contenu de cadre"/>
    <w:basedOn w:val="Textbody"/>
    <w:qFormat/>
    <w:pPr/>
    <w:rPr/>
  </w:style>
  <w:style w:type="paragraph" w:styleId="ListBullet4">
    <w:name w:val="List Bullet 4"/>
    <w:basedOn w:val="Liste"/>
    <w:qFormat/>
    <w:pPr>
      <w:spacing w:before="0" w:after="120"/>
    </w:pPr>
    <w:rPr/>
  </w:style>
  <w:style w:type="paragraph" w:styleId="Default" w:customStyle="1">
    <w:name w:val="Default"/>
    <w:qFormat/>
    <w:pPr>
      <w:widowControl/>
      <w:suppressAutoHyphens w:val="true"/>
      <w:overflowPunct w:val="true"/>
      <w:bidi w:val="0"/>
      <w:spacing w:before="0" w:after="0"/>
      <w:jc w:val="left"/>
      <w:textAlignment w:val="baseline"/>
    </w:pPr>
    <w:rPr>
      <w:rFonts w:ascii="Arial" w:hAnsi="Arial" w:eastAsia="Calibri" w:cs="Arial"/>
      <w:color w:val="000000"/>
      <w:kern w:val="0"/>
      <w:sz w:val="24"/>
      <w:szCs w:val="24"/>
      <w:lang w:val="fr-FR" w:eastAsia="fr-FR" w:bidi="ar-SA"/>
    </w:rPr>
  </w:style>
  <w:style w:type="paragraph" w:styleId="Annotationtext">
    <w:name w:val="annotation text"/>
    <w:basedOn w:val="Standard"/>
    <w:qFormat/>
    <w:pPr/>
    <w:rPr>
      <w:sz w:val="20"/>
      <w:szCs w:val="20"/>
    </w:rPr>
  </w:style>
  <w:style w:type="paragraph" w:styleId="Annotationsubject">
    <w:name w:val="annotation subject"/>
    <w:basedOn w:val="Annotationtext"/>
    <w:qFormat/>
    <w:pPr/>
    <w:rPr>
      <w:b/>
      <w:bCs/>
    </w:rPr>
  </w:style>
  <w:style w:type="paragraph" w:styleId="BalloonText">
    <w:name w:val="Balloon Text"/>
    <w:basedOn w:val="Standard"/>
    <w:qFormat/>
    <w:pPr/>
    <w:rPr>
      <w:rFonts w:ascii="Segoe UI" w:hAnsi="Segoe UI" w:cs="Segoe UI"/>
      <w:sz w:val="18"/>
      <w:szCs w:val="18"/>
    </w:rPr>
  </w:style>
  <w:style w:type="paragraph" w:styleId="ListParagraph">
    <w:name w:val="List Paragraph"/>
    <w:basedOn w:val="Standard"/>
    <w:qFormat/>
    <w:pPr>
      <w:ind w:left="720" w:hanging="0"/>
    </w:pPr>
    <w:rPr/>
  </w:style>
  <w:style w:type="paragraph" w:styleId="Revision">
    <w:name w:val="Revision"/>
    <w:qFormat/>
    <w:pPr>
      <w:widowControl/>
      <w:suppressAutoHyphens w:val="true"/>
      <w:overflowPunct w:val="true"/>
      <w:bidi w:val="0"/>
      <w:spacing w:before="0" w:after="0"/>
      <w:jc w:val="left"/>
      <w:textAlignment w:val="baseline"/>
    </w:pPr>
    <w:rPr>
      <w:rFonts w:ascii="Arial" w:hAnsi="Arial" w:eastAsia="SimSun" w:cs="Times New Roman"/>
      <w:color w:val="00000A"/>
      <w:kern w:val="0"/>
      <w:sz w:val="21"/>
      <w:szCs w:val="24"/>
      <w:lang w:val="fr-FR" w:eastAsia="fr-FR" w:bidi="ar-SA"/>
    </w:rPr>
  </w:style>
  <w:style w:type="paragraph" w:styleId="ContentsHeading" w:customStyle="1">
    <w:name w:val="Contents Heading"/>
    <w:basedOn w:val="Titre1"/>
    <w:qFormat/>
    <w:pPr>
      <w:widowControl/>
      <w:suppressLineNumbers/>
      <w:shd w:val="clear" w:color="auto" w:fill="FFFFFF"/>
      <w:suppressAutoHyphens w:val="false"/>
      <w:spacing w:lineRule="auto" w:line="252" w:before="240" w:after="0"/>
      <w:outlineLvl w:val="9"/>
    </w:pPr>
    <w:rPr>
      <w:rFonts w:ascii="Calibri Light" w:hAnsi="Calibri Light" w:eastAsia="F" w:cs="F"/>
      <w:b w:val="false"/>
      <w:bCs w:val="false"/>
      <w:color w:val="2E74B5"/>
      <w:sz w:val="32"/>
      <w:szCs w:val="32"/>
    </w:rPr>
  </w:style>
  <w:style w:type="paragraph" w:styleId="ListBullet">
    <w:name w:val="List Bullet"/>
    <w:basedOn w:val="Standard"/>
    <w:qFormat/>
    <w:pPr/>
    <w:rPr/>
  </w:style>
  <w:style w:type="paragraph" w:styleId="Tabledesmatiresniveau1">
    <w:name w:val="TOC 1"/>
    <w:basedOn w:val="Index"/>
    <w:pPr/>
    <w:rPr/>
  </w:style>
  <w:style w:type="paragraph" w:styleId="Tabledesmatiresniveau2">
    <w:name w:val="TOC 2"/>
    <w:basedOn w:val="Index"/>
    <w:pPr/>
    <w:rPr/>
  </w:style>
  <w:style w:type="paragraph" w:styleId="Tabledesmatiresniveau3">
    <w:name w:val="TOC 3"/>
    <w:basedOn w:val="Index"/>
    <w:pPr/>
    <w:rPr/>
  </w:style>
  <w:style w:type="paragraph" w:styleId="Paragraphedeliste">
    <w:name w:val="Paragraphe de liste"/>
    <w:basedOn w:val="LONormal1"/>
    <w:qFormat/>
    <w:pPr>
      <w:suppressAutoHyphens w:val="true"/>
      <w:ind w:left="720" w:right="0" w:hanging="0"/>
    </w:pPr>
    <w:rPr>
      <w:rFonts w:cs="Mangal"/>
      <w:szCs w:val="21"/>
    </w:rPr>
  </w:style>
  <w:style w:type="paragraph" w:styleId="TM3">
    <w:name w:val="TM 3"/>
    <w:basedOn w:val="LONormal1"/>
    <w:qFormat/>
    <w:pPr>
      <w:tabs>
        <w:tab w:val="clear" w:pos="420"/>
        <w:tab w:val="right" w:pos="7810" w:leader="dot"/>
      </w:tabs>
      <w:suppressAutoHyphens w:val="true"/>
      <w:spacing w:before="0" w:after="100"/>
      <w:ind w:left="480" w:right="0" w:hanging="0"/>
    </w:pPr>
    <w:rPr>
      <w:rFonts w:ascii="Arial" w:hAnsi="Arial"/>
      <w:sz w:val="20"/>
      <w:szCs w:val="20"/>
    </w:rPr>
  </w:style>
  <w:style w:type="paragraph" w:styleId="TM2">
    <w:name w:val="TM 2"/>
    <w:basedOn w:val="LONormal1"/>
    <w:qFormat/>
    <w:pPr>
      <w:tabs>
        <w:tab w:val="clear" w:pos="420"/>
        <w:tab w:val="right" w:pos="8050" w:leader="dot"/>
      </w:tabs>
      <w:suppressAutoHyphens w:val="true"/>
      <w:spacing w:before="0" w:after="100"/>
      <w:ind w:left="240" w:right="0" w:hanging="0"/>
    </w:pPr>
    <w:rPr>
      <w:rFonts w:ascii="Arial" w:hAnsi="Arial"/>
      <w:sz w:val="20"/>
      <w:szCs w:val="20"/>
    </w:rPr>
  </w:style>
  <w:style w:type="paragraph" w:styleId="TM1">
    <w:name w:val="TM 1"/>
    <w:basedOn w:val="LONormal1"/>
    <w:qFormat/>
    <w:pPr>
      <w:tabs>
        <w:tab w:val="clear" w:pos="420"/>
        <w:tab w:val="right" w:pos="8290" w:leader="dot"/>
      </w:tabs>
      <w:suppressAutoHyphens w:val="true"/>
      <w:spacing w:before="0" w:after="100"/>
    </w:pPr>
    <w:rPr>
      <w:rFonts w:ascii="Arial" w:hAnsi="Arial"/>
      <w:sz w:val="20"/>
      <w:szCs w:val="20"/>
    </w:rPr>
  </w:style>
  <w:style w:type="paragraph" w:styleId="Textedebulles">
    <w:name w:val="Texte de bulles"/>
    <w:basedOn w:val="LONormal1"/>
    <w:qFormat/>
    <w:pPr>
      <w:suppressAutoHyphens w:val="true"/>
    </w:pPr>
    <w:rPr>
      <w:rFonts w:ascii="Segoe UI" w:hAnsi="Segoe UI" w:cs="Mangal"/>
      <w:sz w:val="18"/>
      <w:szCs w:val="16"/>
    </w:rPr>
  </w:style>
  <w:style w:type="paragraph" w:styleId="Objetducommentaire">
    <w:name w:val="Objet du commentaire"/>
    <w:basedOn w:val="Commentaire"/>
    <w:qFormat/>
    <w:pPr>
      <w:suppressAutoHyphens w:val="true"/>
    </w:pPr>
    <w:rPr>
      <w:b/>
      <w:bCs/>
    </w:rPr>
  </w:style>
  <w:style w:type="paragraph" w:styleId="Commentaire">
    <w:name w:val="Commentaire"/>
    <w:basedOn w:val="LONormal1"/>
    <w:qFormat/>
    <w:pPr>
      <w:suppressAutoHyphens w:val="true"/>
    </w:pPr>
    <w:rPr>
      <w:rFonts w:cs="Mangal"/>
      <w:sz w:val="20"/>
      <w:szCs w:val="18"/>
    </w:rPr>
  </w:style>
  <w:style w:type="paragraph" w:styleId="Lgende2">
    <w:name w:val="Légende2"/>
    <w:basedOn w:val="Normal"/>
    <w:qFormat/>
    <w:pPr>
      <w:suppressLineNumbers/>
      <w:suppressAutoHyphens w:val="true"/>
      <w:spacing w:before="120" w:after="120"/>
    </w:pPr>
    <w:rPr>
      <w:rFonts w:cs="Arial Unicode MS"/>
      <w:i/>
      <w:iCs/>
      <w:sz w:val="24"/>
      <w:szCs w:val="24"/>
    </w:rPr>
  </w:style>
  <w:style w:type="paragraph" w:styleId="Corpsdetexte21">
    <w:name w:val="Corps de texte 21"/>
    <w:basedOn w:val="Normal"/>
    <w:qFormat/>
    <w:pPr>
      <w:suppressAutoHyphens w:val="true"/>
      <w:jc w:val="center"/>
    </w:pPr>
    <w:rPr>
      <w:b/>
      <w:bCs/>
      <w:sz w:val="28"/>
    </w:rPr>
  </w:style>
  <w:style w:type="paragraph" w:styleId="Retraitdecorpsdetexte">
    <w:name w:val="Body Text Indent"/>
    <w:basedOn w:val="Corpsdetexte"/>
    <w:qFormat/>
    <w:pPr>
      <w:suppressAutoHyphens w:val="true"/>
      <w:ind w:left="0" w:right="0" w:firstLine="283"/>
    </w:pPr>
    <w:rPr/>
  </w:style>
  <w:style w:type="paragraph" w:styleId="Retraitcorpsdetexte21">
    <w:name w:val="Retrait corps de texte 21"/>
    <w:basedOn w:val="Normal"/>
    <w:qFormat/>
    <w:pPr>
      <w:suppressAutoHyphens w:val="true"/>
      <w:ind w:left="705" w:right="0" w:hanging="0"/>
    </w:pPr>
    <w:rPr/>
  </w:style>
  <w:style w:type="paragraph" w:styleId="Corpsdutexte">
    <w:name w:val="Corps du texte"/>
    <w:basedOn w:val="Normal"/>
    <w:qFormat/>
    <w:pPr>
      <w:shd w:val="clear" w:fill="FFFFFF"/>
      <w:suppressAutoHyphens w:val="true"/>
      <w:spacing w:lineRule="exact" w:line="274"/>
      <w:ind w:left="0" w:right="0" w:hanging="380"/>
      <w:jc w:val="right"/>
    </w:pPr>
    <w:rPr>
      <w:rFonts w:ascii="Times New Roman" w:hAnsi="Times New Roman" w:eastAsia="Times New Roman" w:cs="Times New Roman"/>
      <w:sz w:val="22"/>
      <w:szCs w:val="22"/>
    </w:rPr>
  </w:style>
  <w:style w:type="paragraph" w:styleId="Western">
    <w:name w:val="western"/>
    <w:basedOn w:val="Normal"/>
    <w:qFormat/>
    <w:pPr>
      <w:suppressAutoHyphens w:val="true"/>
      <w:spacing w:before="0" w:after="119"/>
    </w:pPr>
    <w:rPr>
      <w:rFonts w:eastAsia="Times New Roman"/>
    </w:rPr>
  </w:style>
  <w:style w:type="paragraph" w:styleId="Corpsdetexte2">
    <w:name w:val="Corps de texte 2"/>
    <w:basedOn w:val="Normal"/>
    <w:qFormat/>
    <w:pPr>
      <w:suppressAutoHyphens w:val="true"/>
    </w:pPr>
    <w:rPr/>
  </w:style>
  <w:style w:type="paragraph" w:styleId="Retraitcorpsdetexte2">
    <w:name w:val="Retrait corps de texte 2"/>
    <w:basedOn w:val="Normal"/>
    <w:qFormat/>
    <w:pPr>
      <w:suppressAutoHyphens w:val="true"/>
      <w:ind w:left="0" w:right="0" w:firstLine="12"/>
    </w:pPr>
    <w:rPr/>
  </w:style>
  <w:style w:type="paragraph" w:styleId="NormalWeb">
    <w:name w:val="Normal (Web)"/>
    <w:basedOn w:val="Normal"/>
    <w:qFormat/>
    <w:pPr>
      <w:suppressAutoHyphens w:val="true"/>
      <w:spacing w:before="280" w:after="119"/>
    </w:pPr>
    <w:rPr>
      <w:rFonts w:ascii="Arial Unicode MS" w:hAnsi="Arial Unicode MS" w:eastAsia="Arial Unicode MS" w:cs="Arial Unicode MS"/>
    </w:rPr>
  </w:style>
  <w:style w:type="paragraph" w:styleId="Corpsdetexte3">
    <w:name w:val="Corps de texte 3"/>
    <w:basedOn w:val="Normal"/>
    <w:qFormat/>
    <w:pPr>
      <w:suppressAutoHyphens w:val="true"/>
    </w:pPr>
    <w:rPr>
      <w:i/>
      <w:iCs/>
      <w:u w:val="single"/>
    </w:rPr>
  </w:style>
  <w:style w:type="paragraph" w:styleId="Style12">
    <w:name w:val="Style1"/>
    <w:basedOn w:val="Normal"/>
    <w:qFormat/>
    <w:pPr>
      <w:suppressAutoHyphens w:val="true"/>
    </w:pPr>
    <w:rPr/>
  </w:style>
  <w:style w:type="paragraph" w:styleId="Citations">
    <w:name w:val="Citations"/>
    <w:basedOn w:val="Normal"/>
    <w:qFormat/>
    <w:pPr>
      <w:suppressAutoHyphens w:val="true"/>
    </w:pPr>
    <w:rPr/>
  </w:style>
  <w:style w:type="paragraph" w:styleId="Soustitre">
    <w:name w:val="Subtitle"/>
    <w:basedOn w:val="Titre"/>
    <w:qFormat/>
    <w:pPr>
      <w:suppressAutoHyphens w:val="true"/>
    </w:pPr>
    <w:rPr/>
  </w:style>
  <w:style w:type="paragraph" w:styleId="LONormal">
    <w:name w:val="LO-Normal"/>
    <w:qFormat/>
    <w:pPr>
      <w:widowControl/>
      <w:suppressAutoHyphens w:val="true"/>
      <w:overflowPunct w:val="true"/>
      <w:bidi w:val="0"/>
      <w:spacing w:lineRule="atLeast" w:line="100" w:before="0" w:after="0"/>
      <w:jc w:val="left"/>
      <w:textAlignment w:val="baseline"/>
    </w:pPr>
    <w:rPr>
      <w:rFonts w:ascii="Times New Roman" w:hAnsi="Times New Roman" w:eastAsia="Arial Unicode MS" w:cs="Times New Roman"/>
      <w:color w:val="00000A"/>
      <w:kern w:val="0"/>
      <w:sz w:val="24"/>
      <w:szCs w:val="24"/>
      <w:lang w:val="fr-FR" w:eastAsia="zh-CN" w:bidi="hi-IN"/>
    </w:rPr>
  </w:style>
  <w:style w:type="paragraph" w:styleId="Tabledesmatiresniveau9">
    <w:name w:val="TOC 9"/>
    <w:basedOn w:val="Index"/>
    <w:pPr>
      <w:tabs>
        <w:tab w:val="clear" w:pos="420"/>
        <w:tab w:val="right" w:pos="6036" w:leader="dot"/>
      </w:tabs>
      <w:suppressAutoHyphens w:val="true"/>
      <w:ind w:left="2264" w:right="0" w:hanging="0"/>
    </w:pPr>
    <w:rPr/>
  </w:style>
  <w:style w:type="paragraph" w:styleId="Tabledesmatiresniveau8">
    <w:name w:val="TOC 8"/>
    <w:basedOn w:val="Index"/>
    <w:pPr>
      <w:tabs>
        <w:tab w:val="clear" w:pos="420"/>
        <w:tab w:val="right" w:pos="6319" w:leader="dot"/>
      </w:tabs>
      <w:suppressAutoHyphens w:val="true"/>
      <w:ind w:left="1981" w:right="0" w:hanging="0"/>
    </w:pPr>
    <w:rPr/>
  </w:style>
  <w:style w:type="paragraph" w:styleId="Tabledesmatiresniveau7">
    <w:name w:val="TOC 7"/>
    <w:basedOn w:val="Index"/>
    <w:pPr>
      <w:tabs>
        <w:tab w:val="clear" w:pos="420"/>
        <w:tab w:val="right" w:pos="6602" w:leader="dot"/>
      </w:tabs>
      <w:suppressAutoHyphens w:val="true"/>
      <w:ind w:left="1698" w:right="0" w:hanging="0"/>
    </w:pPr>
    <w:rPr/>
  </w:style>
  <w:style w:type="paragraph" w:styleId="Tabledesmatiresniveau6">
    <w:name w:val="TOC 6"/>
    <w:basedOn w:val="Index"/>
    <w:pPr>
      <w:tabs>
        <w:tab w:val="clear" w:pos="420"/>
        <w:tab w:val="right" w:pos="6885" w:leader="dot"/>
      </w:tabs>
      <w:suppressAutoHyphens w:val="true"/>
      <w:ind w:left="1415" w:right="0" w:hanging="0"/>
    </w:pPr>
    <w:rPr/>
  </w:style>
  <w:style w:type="paragraph" w:styleId="Tabledesmatiresniveau5">
    <w:name w:val="TOC 5"/>
    <w:basedOn w:val="Index"/>
    <w:pPr>
      <w:tabs>
        <w:tab w:val="clear" w:pos="420"/>
        <w:tab w:val="right" w:pos="8505" w:leader="dot"/>
      </w:tabs>
      <w:suppressAutoHyphens w:val="true"/>
      <w:spacing w:before="57" w:after="57"/>
      <w:ind w:left="510" w:right="0" w:hanging="0"/>
    </w:pPr>
    <w:rPr/>
  </w:style>
  <w:style w:type="paragraph" w:styleId="Tabledesmatiresniveau4">
    <w:name w:val="TOC 4"/>
    <w:basedOn w:val="Index"/>
    <w:pPr>
      <w:tabs>
        <w:tab w:val="clear" w:pos="420"/>
        <w:tab w:val="right" w:pos="8788" w:leader="dot"/>
      </w:tabs>
      <w:suppressAutoHyphens w:val="true"/>
      <w:spacing w:before="57" w:after="57"/>
      <w:ind w:left="340" w:right="0" w:hanging="0"/>
    </w:pPr>
    <w:rPr/>
  </w:style>
  <w:style w:type="paragraph" w:styleId="TOAHeading1">
    <w:name w:val="TOA Heading"/>
    <w:basedOn w:val="Titre"/>
    <w:qFormat/>
    <w:pPr>
      <w:suppressLineNumbers/>
      <w:suppressAutoHyphens w:val="true"/>
      <w:spacing w:before="0" w:after="283"/>
    </w:pPr>
    <w:rPr>
      <w:rFonts w:ascii="Trebuchet MS" w:hAnsi="Trebuchet MS" w:eastAsia="Trebuchet MS" w:cs="Trebuchet MS"/>
      <w:bCs/>
      <w:szCs w:val="32"/>
    </w:rPr>
  </w:style>
  <w:style w:type="paragraph" w:styleId="Indexlexicaltitre">
    <w:name w:val="Index Heading"/>
    <w:basedOn w:val="Titre"/>
    <w:pPr>
      <w:suppressLineNumbers/>
      <w:ind w:left="0" w:right="0" w:hanging="0"/>
    </w:pPr>
    <w:rPr>
      <w:b/>
      <w:bCs/>
      <w:sz w:val="32"/>
      <w:szCs w:val="32"/>
    </w:rPr>
  </w:style>
  <w:style w:type="paragraph" w:styleId="LONormal1">
    <w:name w:val="LO-Normal1"/>
    <w:qFormat/>
    <w:pPr>
      <w:widowControl/>
      <w:suppressAutoHyphens w:val="true"/>
      <w:overflowPunct w:val="true"/>
      <w:bidi w:val="0"/>
      <w:spacing w:before="0" w:after="0"/>
      <w:jc w:val="left"/>
      <w:textAlignment w:val="baseline"/>
    </w:pPr>
    <w:rPr>
      <w:rFonts w:ascii="Liberation Serif" w:hAnsi="Liberation Serif" w:eastAsia="SimSun" w:cs="Lucida Sans"/>
      <w:color w:val="00000A"/>
      <w:kern w:val="0"/>
      <w:sz w:val="24"/>
      <w:szCs w:val="24"/>
      <w:lang w:val="fr-FR" w:eastAsia="zh-CN" w:bidi="hi-IN"/>
    </w:rPr>
  </w:style>
  <w:style w:type="numbering" w:styleId="NoList" w:default="1">
    <w:name w:val="No List"/>
    <w:uiPriority w:val="99"/>
    <w:semiHidden/>
    <w:unhideWhenUsed/>
    <w:qFormat/>
  </w:style>
  <w:style w:type="numbering" w:styleId="Numrotation1">
    <w:name w:val="Numérotation 1"/>
    <w:qFormat/>
  </w:style>
  <w:style w:type="numbering" w:styleId="Numrotation2">
    <w:name w:val="Numérotation 2"/>
    <w:qFormat/>
  </w:style>
  <w:style w:type="numbering" w:styleId="Numrotation3">
    <w:name w:val="Numérotation 3"/>
    <w:qFormat/>
  </w:style>
  <w:style w:type="numbering" w:styleId="Numrotation4">
    <w:name w:val="Numérotation 4"/>
    <w:qFormat/>
  </w:style>
  <w:style w:type="numbering" w:styleId="Numrotation5">
    <w:name w:val="Numérotation 5"/>
    <w:qFormat/>
  </w:style>
  <w:style w:type="numbering" w:styleId="Puce1">
    <w:name w:val="Puce 1"/>
    <w:qFormat/>
  </w:style>
  <w:style w:type="numbering" w:styleId="Puce2">
    <w:name w:val="Puce 2"/>
    <w:qFormat/>
  </w:style>
  <w:style w:type="numbering" w:styleId="Puce3">
    <w:name w:val="Puce 3"/>
    <w:qFormat/>
  </w:style>
  <w:style w:type="numbering" w:styleId="Puce4">
    <w:name w:val="Puce 4"/>
    <w:qFormat/>
  </w:style>
  <w:style w:type="numbering" w:styleId="Puce5">
    <w:name w:val="Puce 5"/>
    <w:qFormat/>
  </w:style>
  <w:style w:type="numbering" w:styleId="WWOutlineListStyle1">
    <w:name w:val="WW_OutlineListStyle_1"/>
    <w:qFormat/>
  </w:style>
  <w:style w:type="numbering" w:styleId="WWOutlineListStyle">
    <w:name w:val="WW_OutlineListStyle"/>
    <w:qFormat/>
  </w:style>
  <w:style w:type="numbering" w:styleId="RTFNum2">
    <w:name w:val="RTF_Num 2"/>
    <w:qFormat/>
  </w:style>
  <w:style w:type="numbering" w:styleId="RTFNum3">
    <w:name w:val="RTF_Num 3"/>
    <w:qFormat/>
  </w:style>
  <w:style w:type="numbering" w:styleId="RTFNum4">
    <w:name w:val="RTF_Num 4"/>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10">
    <w:name w:val="WW8Num10"/>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e-attestations.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3992</TotalTime>
  <Application>LibreOffice/7.2.7.2$Windows_x86 LibreOffice_project/8d71d29d553c0f7dcbfa38fbfda25ee34cce99a2</Application>
  <AppVersion>15.0000</AppVersion>
  <Pages>12</Pages>
  <Words>3975</Words>
  <Characters>21175</Characters>
  <CharactersWithSpaces>24908</CharactersWithSpaces>
  <Paragraphs>285</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2020-05-18T09:02:00Z</dcterms:created>
  <dc:creator>LAURIER Marie-Anne</dc:creator>
  <dc:description/>
  <dc:language>fr-FR</dc:language>
  <cp:lastModifiedBy/>
  <cp:lastPrinted>2020-09-07T16:23:04Z</cp:lastPrinted>
  <dcterms:modified xsi:type="dcterms:W3CDTF">2022-06-16T20:53:31Z</dcterms:modified>
  <cp:revision>459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