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rPr>
        <w:t>VILLE DE MARSEILLE</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szCs w:val="22"/>
        </w:rPr>
        <w:t xml:space="preserve">Lot n°7 :  </w:t>
      </w:r>
      <w:r>
        <w:rPr>
          <w:b/>
          <w:bCs/>
          <w:color w:val="000000"/>
          <w:sz w:val="32"/>
          <w:szCs w:val="32"/>
        </w:rPr>
        <w:t>Assurances « PROTECTION JURIDIQUE  »</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t>Appel d’Offres Ouvert</w:t>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Terme définitif le 31/12/202</w:t>
      </w:r>
      <w:r>
        <w:rPr>
          <w:b/>
          <w:sz w:val="22"/>
          <w:szCs w:val="22"/>
        </w:rPr>
        <w:t>5</w:t>
      </w:r>
    </w:p>
    <w:p>
      <w:pPr>
        <w:pStyle w:val="Normal"/>
        <w:keepLines/>
        <w:jc w:val="both"/>
        <w:rPr>
          <w:b/>
          <w:b/>
          <w:color w:val="000000"/>
          <w:lang w:eastAsia="fr-FR"/>
        </w:rPr>
      </w:pPr>
      <w:r>
        <w:rPr>
          <w:b/>
          <w:color w:val="000000"/>
          <w:lang w:eastAsia="fr-F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b/>
          <w:sz w:val="40"/>
          <w:szCs w:val="40"/>
        </w:rPr>
        <w:t>MEMOIRE TECHNIQUE</w:t>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t>A COMPLETER OBLIGATOIREMENT</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mc:AlternateContent>
          <mc:Choice Requires="wps">
            <w:drawing>
              <wp:anchor behindDoc="0" distT="0" distB="0" distL="0" distR="0" simplePos="0" locked="0" layoutInCell="1" allowOverlap="1" relativeHeight="2">
                <wp:simplePos x="0" y="0"/>
                <wp:positionH relativeFrom="column">
                  <wp:posOffset>-33020</wp:posOffset>
                </wp:positionH>
                <wp:positionV relativeFrom="paragraph">
                  <wp:posOffset>614045</wp:posOffset>
                </wp:positionV>
                <wp:extent cx="5884545" cy="4286250"/>
                <wp:effectExtent l="0" t="0" r="0" b="0"/>
                <wp:wrapNone/>
                <wp:docPr id="1" name="Forme1"/>
                <a:graphic xmlns:a="http://schemas.openxmlformats.org/drawingml/2006/main">
                  <a:graphicData uri="http://schemas.microsoft.com/office/word/2010/wordprocessingShape">
                    <wps:wsp>
                      <wps:cNvSpPr txBox="1"/>
                      <wps:spPr>
                        <a:xfrm>
                          <a:off x="0" y="0"/>
                          <a:ext cx="5883840" cy="4285440"/>
                        </a:xfrm>
                        <a:prstGeom prst="rect">
                          <a:avLst/>
                        </a:prstGeom>
                        <a:noFill/>
                        <a:ln>
                          <a:noFill/>
                        </a:ln>
                      </wps:spPr>
                      <wps:txbx>
                        <w:txbxContent>
                          <w:p>
                            <w:pPr>
                              <w:overflowPunct w:val="false"/>
                              <w:jc w:val="both"/>
                              <w:rPr/>
                            </w:pPr>
                            <w:r>
                              <w:rPr>
                                <w:sz w:val="21"/>
                                <w:rFonts w:ascii="Arial" w:hAnsi="Arial" w:eastAsia="Arial" w:cs="Arial"/>
                                <w:lang w:eastAsia="fr-FR"/>
                              </w:rPr>
                              <w:t>La valeur technique sera notée sur 60 points au regard du mémoire technique qui doit permettre  d'analyser :</w:t>
                            </w:r>
                          </w:p>
                          <w:p>
                            <w:pPr>
                              <w:overflowPunct w:val="false"/>
                              <w:jc w:val="both"/>
                              <w:rPr/>
                            </w:pPr>
                            <w:r>
                              <w:rPr>
                                <w:sz w:val="21"/>
                                <w:rFonts w:ascii="Arial" w:hAnsi="Arial" w:eastAsia="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rFonts w:ascii="Arial" w:hAnsi="Arial" w:eastAsia="Arial" w:cs="Arial"/>
                                <w:color w:val="000000"/>
                                <w:lang w:eastAsia="fr-FR"/>
                              </w:rPr>
                              <w:t>- Appréciation de la qualité des procédures de gestion des dossiers en production et en sinistre (notée sur 18 points)</w:t>
                            </w:r>
                          </w:p>
                          <w:p>
                            <w:pPr>
                              <w:overflowPunct w:val="false"/>
                              <w:ind w:left="720" w:right="0" w:hanging="0"/>
                              <w:jc w:val="both"/>
                              <w:rPr/>
                            </w:pPr>
                            <w:r>
                              <w:rPr>
                                <w:sz w:val="24"/>
                                <w:lang w:eastAsia="fr-FR"/>
                              </w:rPr>
                            </w:r>
                          </w:p>
                          <w:p>
                            <w:pPr>
                              <w:overflowPunct w:val="false"/>
                              <w:ind w:left="0" w:right="0" w:hanging="0"/>
                              <w:jc w:val="both"/>
                              <w:rPr/>
                            </w:pPr>
                            <w:r>
                              <w:rPr>
                                <w:sz w:val="21"/>
                                <w:rFonts w:ascii="Arial" w:hAnsi="Arial" w:eastAsia="Arial" w:cs="Arial"/>
                                <w:color w:val="000000"/>
                                <w:lang w:val="zxx" w:eastAsia="zxx"/>
                              </w:rPr>
                              <w:t>Pour chaque candidat, la somme des notes obtenues aux sous-critères est appelée VT(i) (note initiale de la valeur technique).</w:t>
                            </w:r>
                          </w:p>
                          <w:p>
                            <w:pPr>
                              <w:overflowPunct w:val="false"/>
                              <w:ind w:left="0" w:right="0" w:hanging="0"/>
                              <w:jc w:val="both"/>
                              <w:rPr/>
                            </w:pPr>
                            <w:r>
                              <w:rPr>
                                <w:sz w:val="24"/>
                                <w:rFonts w:ascii="Arial" w:hAnsi="Arial" w:eastAsia="Arial" w:cs="Arial"/>
                                <w:color w:val="000000"/>
                                <w:lang w:val="zxx" w:eastAsia="zxx"/>
                              </w:rPr>
                              <w:t xml:space="preserve"> </w:t>
                            </w:r>
                            <w:r>
                              <w:rPr>
                                <w:sz w:val="21"/>
                                <w:rFonts w:ascii="Arial" w:hAnsi="Arial" w:eastAsia="Arial" w:cs="Arial"/>
                                <w:color w:val="000000"/>
                                <w:lang w:val="zxx" w:eastAsia="zxx"/>
                              </w:rPr>
                              <w:t>La notation finale de la valeur technique du candidat, VT(ic) (note technique corrigée), sera effectuée à l'aide de la formule suivante :</w:t>
                            </w:r>
                          </w:p>
                          <w:p>
                            <w:pPr>
                              <w:overflowPunct w:val="false"/>
                              <w:ind w:left="0" w:right="0" w:hanging="0"/>
                              <w:jc w:val="both"/>
                              <w:rPr/>
                            </w:pPr>
                            <w:r>
                              <w:rPr>
                                <w:sz w:val="21"/>
                                <w:rFonts w:ascii="Arial" w:hAnsi="Arial" w:eastAsia="Arial" w:cs="Arial"/>
                                <w:color w:val="000000"/>
                                <w:lang w:val="zxx" w:eastAsia="zxx"/>
                              </w:rPr>
                              <w:t>VT(ic) = 60 x [VT(i) / VT(m)]</w:t>
                            </w:r>
                          </w:p>
                          <w:p>
                            <w:pPr>
                              <w:overflowPunct w:val="false"/>
                              <w:ind w:left="0" w:right="0" w:hanging="0"/>
                              <w:jc w:val="both"/>
                              <w:rPr/>
                            </w:pPr>
                            <w:r>
                              <w:rPr>
                                <w:sz w:val="24"/>
                                <w:lang w:eastAsia="fr-FR"/>
                              </w:rPr>
                            </w:r>
                          </w:p>
                          <w:p>
                            <w:pPr>
                              <w:overflowPunct w:val="false"/>
                              <w:ind w:left="0" w:right="0" w:hanging="0"/>
                              <w:jc w:val="both"/>
                              <w:rPr/>
                            </w:pPr>
                            <w:r>
                              <w:rPr>
                                <w:sz w:val="21"/>
                                <w:rFonts w:ascii="Arial" w:hAnsi="Arial" w:eastAsia="Arial" w:cs="Arial"/>
                                <w:color w:val="000000"/>
                                <w:lang w:val="zxx" w:eastAsia="zxx"/>
                              </w:rPr>
                              <w:t>Dans laquelle</w:t>
                            </w:r>
                          </w:p>
                          <w:p>
                            <w:pPr>
                              <w:overflowPunct w:val="false"/>
                              <w:ind w:left="0" w:right="0" w:hanging="0"/>
                              <w:jc w:val="both"/>
                              <w:rPr/>
                            </w:pPr>
                            <w:r>
                              <w:rPr>
                                <w:sz w:val="21"/>
                                <w:rFonts w:ascii="Arial" w:hAnsi="Arial" w:eastAsia="Arial" w:cs="Arial"/>
                                <w:color w:val="000000"/>
                                <w:lang w:val="zxx" w:eastAsia="zxx"/>
                              </w:rPr>
                              <w:t xml:space="preserve">VT(ic) est la note finale corrigée attribuée à la valeur technique du candidat (i)VT(i) est la note initiale de la valeur technique du candidat (i)VT(m) est la note technique initiale la plus élevée parmi les candidatsLe nombre maximum de points sera de 60 points. </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Forme1" stroked="f" style="position:absolute;margin-left:-2.6pt;margin-top:48.35pt;width:463.25pt;height:337.4pt" type="shapetype_202">
                <v:textbox>
                  <w:txbxContent>
                    <w:p>
                      <w:pPr>
                        <w:overflowPunct w:val="false"/>
                        <w:jc w:val="both"/>
                        <w:rPr/>
                      </w:pPr>
                      <w:r>
                        <w:rPr>
                          <w:sz w:val="21"/>
                          <w:rFonts w:ascii="Arial" w:hAnsi="Arial" w:eastAsia="Arial" w:cs="Arial"/>
                          <w:lang w:eastAsia="fr-FR"/>
                        </w:rPr>
                        <w:t>La valeur technique sera notée sur 60 points au regard du mémoire technique qui doit permettre  d'analyser :</w:t>
                      </w:r>
                    </w:p>
                    <w:p>
                      <w:pPr>
                        <w:overflowPunct w:val="false"/>
                        <w:jc w:val="both"/>
                        <w:rPr/>
                      </w:pPr>
                      <w:r>
                        <w:rPr>
                          <w:sz w:val="21"/>
                          <w:rFonts w:ascii="Arial" w:hAnsi="Arial" w:eastAsia="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rFonts w:ascii="Arial" w:hAnsi="Arial" w:eastAsia="Arial" w:cs="Arial"/>
                          <w:color w:val="000000"/>
                          <w:lang w:eastAsia="fr-FR"/>
                        </w:rPr>
                        <w:t>- Appréciation de la qualité des procédures de gestion des dossiers en production et en sinistre (notée sur 18 points)</w:t>
                      </w:r>
                    </w:p>
                    <w:p>
                      <w:pPr>
                        <w:overflowPunct w:val="false"/>
                        <w:ind w:left="720" w:right="0" w:hanging="0"/>
                        <w:jc w:val="both"/>
                        <w:rPr/>
                      </w:pPr>
                      <w:r>
                        <w:rPr>
                          <w:sz w:val="24"/>
                          <w:lang w:eastAsia="fr-FR"/>
                        </w:rPr>
                      </w:r>
                    </w:p>
                    <w:p>
                      <w:pPr>
                        <w:overflowPunct w:val="false"/>
                        <w:ind w:left="0" w:right="0" w:hanging="0"/>
                        <w:jc w:val="both"/>
                        <w:rPr/>
                      </w:pPr>
                      <w:r>
                        <w:rPr>
                          <w:sz w:val="21"/>
                          <w:rFonts w:ascii="Arial" w:hAnsi="Arial" w:eastAsia="Arial" w:cs="Arial"/>
                          <w:color w:val="000000"/>
                          <w:lang w:val="zxx" w:eastAsia="zxx"/>
                        </w:rPr>
                        <w:t>Pour chaque candidat, la somme des notes obtenues aux sous-critères est appelée VT(i) (note initiale de la valeur technique).</w:t>
                      </w:r>
                    </w:p>
                    <w:p>
                      <w:pPr>
                        <w:overflowPunct w:val="false"/>
                        <w:ind w:left="0" w:right="0" w:hanging="0"/>
                        <w:jc w:val="both"/>
                        <w:rPr/>
                      </w:pPr>
                      <w:r>
                        <w:rPr>
                          <w:sz w:val="24"/>
                          <w:rFonts w:ascii="Arial" w:hAnsi="Arial" w:eastAsia="Arial" w:cs="Arial"/>
                          <w:color w:val="000000"/>
                          <w:lang w:val="zxx" w:eastAsia="zxx"/>
                        </w:rPr>
                        <w:t xml:space="preserve"> </w:t>
                      </w:r>
                      <w:r>
                        <w:rPr>
                          <w:sz w:val="21"/>
                          <w:rFonts w:ascii="Arial" w:hAnsi="Arial" w:eastAsia="Arial" w:cs="Arial"/>
                          <w:color w:val="000000"/>
                          <w:lang w:val="zxx" w:eastAsia="zxx"/>
                        </w:rPr>
                        <w:t>La notation finale de la valeur technique du candidat, VT(ic) (note technique corrigée), sera effectuée à l'aide de la formule suivante :</w:t>
                      </w:r>
                    </w:p>
                    <w:p>
                      <w:pPr>
                        <w:overflowPunct w:val="false"/>
                        <w:ind w:left="0" w:right="0" w:hanging="0"/>
                        <w:jc w:val="both"/>
                        <w:rPr/>
                      </w:pPr>
                      <w:r>
                        <w:rPr>
                          <w:sz w:val="21"/>
                          <w:rFonts w:ascii="Arial" w:hAnsi="Arial" w:eastAsia="Arial" w:cs="Arial"/>
                          <w:color w:val="000000"/>
                          <w:lang w:val="zxx" w:eastAsia="zxx"/>
                        </w:rPr>
                        <w:t>VT(ic) = 60 x [VT(i) / VT(m)]</w:t>
                      </w:r>
                    </w:p>
                    <w:p>
                      <w:pPr>
                        <w:overflowPunct w:val="false"/>
                        <w:ind w:left="0" w:right="0" w:hanging="0"/>
                        <w:jc w:val="both"/>
                        <w:rPr/>
                      </w:pPr>
                      <w:r>
                        <w:rPr>
                          <w:sz w:val="24"/>
                          <w:lang w:eastAsia="fr-FR"/>
                        </w:rPr>
                      </w:r>
                    </w:p>
                    <w:p>
                      <w:pPr>
                        <w:overflowPunct w:val="false"/>
                        <w:ind w:left="0" w:right="0" w:hanging="0"/>
                        <w:jc w:val="both"/>
                        <w:rPr/>
                      </w:pPr>
                      <w:r>
                        <w:rPr>
                          <w:sz w:val="21"/>
                          <w:rFonts w:ascii="Arial" w:hAnsi="Arial" w:eastAsia="Arial" w:cs="Arial"/>
                          <w:color w:val="000000"/>
                          <w:lang w:val="zxx" w:eastAsia="zxx"/>
                        </w:rPr>
                        <w:t>Dans laquelle</w:t>
                      </w:r>
                    </w:p>
                    <w:p>
                      <w:pPr>
                        <w:overflowPunct w:val="false"/>
                        <w:ind w:left="0" w:right="0" w:hanging="0"/>
                        <w:jc w:val="both"/>
                        <w:rPr/>
                      </w:pPr>
                      <w:r>
                        <w:rPr>
                          <w:sz w:val="21"/>
                          <w:rFonts w:ascii="Arial" w:hAnsi="Arial" w:eastAsia="Arial" w:cs="Arial"/>
                          <w:color w:val="000000"/>
                          <w:lang w:val="zxx" w:eastAsia="zxx"/>
                        </w:rPr>
                        <w:t xml:space="preserve">VT(ic) est la note finale corrigée attribuée à la valeur technique du candidat (i)VT(i) est la note initiale de la valeur technique du candidat (i)VT(m) est la note technique initiale la plus élevée parmi les candidatsLe nombre maximum de points sera de 60 points. </w:t>
                      </w:r>
                    </w:p>
                  </w:txbxContent>
                </v:textbox>
                <w10:wrap type="square"/>
                <v:fill o:detectmouseclick="t" on="false"/>
                <v:stroke color="black" joinstyle="round" endcap="flat"/>
              </v:shape>
            </w:pict>
          </mc:Fallback>
        </mc:AlternateContent>
      </w:r>
      <w:r>
        <w:br w:type="page"/>
      </w:r>
    </w:p>
    <w:p>
      <w:pPr>
        <w:pStyle w:val="Normal"/>
        <w:jc w:val="both"/>
        <w:rPr>
          <w:sz w:val="22"/>
        </w:rPr>
      </w:pPr>
      <w:r>
        <w:rPr>
          <w:sz w:val="22"/>
        </w:rPr>
      </w:r>
    </w:p>
    <w:p>
      <w:pPr>
        <w:pStyle w:val="Titre1"/>
        <w:pBdr>
          <w:top w:val="single" w:sz="4" w:space="1" w:color="000001"/>
          <w:left w:val="single" w:sz="4" w:space="4" w:color="000001"/>
          <w:bottom w:val="single" w:sz="4" w:space="1" w:color="000001"/>
          <w:right w:val="single" w:sz="4" w:space="4" w:color="000001"/>
        </w:pBdr>
        <w:shd w:val="clear" w:color="auto" w:fill="E0E0E0"/>
        <w:spacing w:lineRule="exact" w:line="240"/>
        <w:jc w:val="both"/>
        <w:rPr>
          <w:rFonts w:ascii="Times New Roman" w:hAnsi="Times New Roman" w:cs="Times New Roman"/>
        </w:rPr>
      </w:pPr>
      <w:r>
        <w:rPr>
          <w:rFonts w:cs="Times New Roman" w:ascii="Times New Roman" w:hAnsi="Times New Roman"/>
          <w:sz w:val="22"/>
          <w:szCs w:val="22"/>
        </w:rPr>
        <w:t>INFORMATIONS SPECIFIQUES SI LE RISQUE EST PLACE AUPRES DE PLUSIEURS ASSUREURS</w:t>
      </w:r>
    </w:p>
    <w:p>
      <w:pPr>
        <w:pStyle w:val="Normal"/>
        <w:jc w:val="both"/>
        <w:rPr/>
      </w:pPr>
      <w:r>
        <w:rPr/>
      </w:r>
    </w:p>
    <w:p>
      <w:pPr>
        <w:pStyle w:val="Normal"/>
        <w:jc w:val="both"/>
        <w:rPr>
          <w:b/>
          <w:b/>
          <w:bCs/>
          <w:i/>
          <w:i/>
          <w:iCs/>
        </w:rPr>
      </w:pPr>
      <w:r>
        <w:rPr>
          <w:b/>
          <w:bCs/>
          <w:i/>
          <w:iCs/>
        </w:rPr>
        <w:t>L'absence de réponse au cadre suivant correspond à l'acceptation de garantie du risque à 100% auprès d’</w:t>
      </w:r>
      <w:r>
        <w:rPr>
          <w:b/>
          <w:bCs/>
          <w:i/>
          <w:iCs/>
          <w:u w:val="single"/>
        </w:rPr>
        <w:t>une seule</w:t>
      </w:r>
      <w:r>
        <w:rPr>
          <w:b/>
          <w:bCs/>
          <w:i/>
          <w:iCs/>
        </w:rPr>
        <w:t xml:space="preserve"> entreprise d’assurance (sans coassurance, sans assureur spécialisé, sans lignes successives…). </w:t>
      </w:r>
    </w:p>
    <w:p>
      <w:pPr>
        <w:pStyle w:val="Normal"/>
        <w:jc w:val="center"/>
        <w:rPr>
          <w:b/>
          <w:b/>
          <w:bCs/>
          <w:i/>
          <w:i/>
          <w:iCs/>
        </w:rPr>
      </w:pPr>
      <w:r>
        <w:rPr>
          <w:b/>
          <w:bCs/>
          <w:i/>
          <w:iCs/>
        </w:rPr>
      </w:r>
    </w:p>
    <w:p>
      <w:pPr>
        <w:pStyle w:val="Normal"/>
        <w:jc w:val="center"/>
        <w:rPr/>
      </w:pPr>
      <w:r>
        <w:rPr>
          <w:b/>
          <w:bCs/>
          <w:i/>
          <w:iCs/>
          <w:sz w:val="24"/>
          <w:szCs w:val="24"/>
          <w:u w:val="single"/>
        </w:rPr>
        <w:t xml:space="preserve">Si plusieurs </w:t>
      </w:r>
      <w:r>
        <w:rPr>
          <w:b/>
          <w:bCs/>
          <w:i/>
          <w:iCs/>
          <w:sz w:val="24"/>
          <w:szCs w:val="24"/>
        </w:rPr>
        <w:t>entreprises d’assurance couvrent le risque, veuillez compléter le cadre suivant :</w:t>
      </w:r>
    </w:p>
    <w:p>
      <w:pPr>
        <w:pStyle w:val="Normal"/>
        <w:rPr/>
      </w:pPr>
      <w:r>
        <w:rPr/>
      </w:r>
    </w:p>
    <w:tbl>
      <w:tblPr>
        <w:tblW w:w="9242"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5173"/>
        <w:gridCol w:w="4068"/>
      </w:tblGrid>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b/>
                <w:b/>
              </w:rPr>
            </w:pPr>
            <w:r>
              <w:rPr>
                <w:b/>
              </w:rPr>
              <w:t>Le risque est il placé à 100% au jour du dépôt des offres ?</w:t>
            </w:r>
          </w:p>
        </w:tc>
        <w:tc>
          <w:tcPr>
            <w:tcW w:w="4068" w:type="dxa"/>
            <w:tcBorders>
              <w:top w:val="single" w:sz="4" w:space="0" w:color="000001"/>
              <w:left w:val="single" w:sz="4" w:space="0" w:color="000001"/>
              <w:right w:val="single" w:sz="4" w:space="0" w:color="000001"/>
              <w:insideV w:val="single" w:sz="4" w:space="0" w:color="000001"/>
            </w:tcBorders>
            <w:shd w:color="auto" w:fill="auto" w:val="clear"/>
            <w:tcMar>
              <w:left w:w="65" w:type="dxa"/>
            </w:tcMar>
          </w:tcPr>
          <w:p>
            <w:pPr>
              <w:pStyle w:val="Normal"/>
              <w:jc w:val="center"/>
              <w:rPr>
                <w:b/>
                <w:b/>
              </w:rPr>
            </w:pPr>
            <w:r>
              <w:rPr>
                <w:b/>
              </w:rPr>
              <w:t>OUI (  ) NON (  )</w:t>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Dans la négative</w:t>
            </w:r>
            <w:r>
              <w:rPr/>
              <w:t>, délai maximal pour placer le risque à 100% </w:t>
            </w:r>
          </w:p>
        </w:tc>
        <w:tc>
          <w:tcPr>
            <w:tcW w:w="40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p>
            <w:pPr>
              <w:pStyle w:val="Normal"/>
              <w:jc w:val="both"/>
              <w:rPr/>
            </w:pPr>
            <w:r>
              <w:rPr/>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Nature du groupement</w:t>
            </w:r>
            <w:r>
              <w:rPr/>
              <w:t xml:space="preserve"> (précisez) :</w:t>
            </w:r>
          </w:p>
          <w:p>
            <w:pPr>
              <w:pStyle w:val="Normal"/>
              <w:widowControl/>
              <w:numPr>
                <w:ilvl w:val="0"/>
                <w:numId w:val="2"/>
              </w:numPr>
              <w:tabs>
                <w:tab w:val="right" w:pos="3969" w:leader="dot"/>
              </w:tabs>
              <w:suppressAutoHyphens w:val="false"/>
              <w:jc w:val="both"/>
              <w:rPr/>
            </w:pPr>
            <w:r>
              <w:rPr/>
              <w:t>Coassurance</w:t>
              <w:tab/>
              <w:t>(  )</w:t>
            </w:r>
          </w:p>
          <w:p>
            <w:pPr>
              <w:pStyle w:val="Normal"/>
              <w:widowControl/>
              <w:numPr>
                <w:ilvl w:val="0"/>
                <w:numId w:val="2"/>
              </w:numPr>
              <w:tabs>
                <w:tab w:val="right" w:pos="3969" w:leader="dot"/>
              </w:tabs>
              <w:suppressAutoHyphens w:val="false"/>
              <w:jc w:val="both"/>
              <w:rPr/>
            </w:pPr>
            <w:r>
              <w:rPr/>
              <w:t>Lignes successives</w:t>
              <w:tab/>
              <w:t>(  )</w:t>
            </w:r>
          </w:p>
          <w:p>
            <w:pPr>
              <w:pStyle w:val="Normal"/>
              <w:widowControl/>
              <w:numPr>
                <w:ilvl w:val="0"/>
                <w:numId w:val="2"/>
              </w:numPr>
              <w:tabs>
                <w:tab w:val="right" w:pos="3969" w:leader="dot"/>
              </w:tabs>
              <w:suppressAutoHyphens w:val="false"/>
              <w:jc w:val="both"/>
              <w:rPr/>
            </w:pPr>
            <w:r>
              <w:rPr/>
              <w:t>Différents assureurs spécialisés</w:t>
              <w:tab/>
              <w:t>(  )</w:t>
            </w:r>
          </w:p>
          <w:p>
            <w:pPr>
              <w:pStyle w:val="Normal"/>
              <w:widowControl/>
              <w:numPr>
                <w:ilvl w:val="0"/>
                <w:numId w:val="2"/>
              </w:numPr>
              <w:tabs>
                <w:tab w:val="right" w:pos="3969" w:leader="dot"/>
              </w:tabs>
              <w:suppressAutoHyphens w:val="false"/>
              <w:jc w:val="both"/>
              <w:rPr/>
            </w:pPr>
            <w:r>
              <w:rPr/>
              <w:t>Autre (à préciser)</w:t>
              <w:tab/>
              <w:t>(  )</w:t>
            </w:r>
          </w:p>
        </w:tc>
        <w:tc>
          <w:tcPr>
            <w:tcW w:w="4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bl>
    <w:p>
      <w:pPr>
        <w:pStyle w:val="Normal"/>
        <w:rPr/>
      </w:pPr>
      <w:r>
        <w:rPr/>
      </w:r>
    </w:p>
    <w:tbl>
      <w:tblPr>
        <w:tblW w:w="9241"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2970"/>
        <w:gridCol w:w="2203"/>
        <w:gridCol w:w="1985"/>
        <w:gridCol w:w="2082"/>
      </w:tblGrid>
      <w:tr>
        <w:trPr/>
        <w:tc>
          <w:tcPr>
            <w:tcW w:w="2970"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snapToGrid w:val="false"/>
              <w:jc w:val="center"/>
              <w:rPr>
                <w:b/>
                <w:b/>
                <w:bCs/>
              </w:rPr>
            </w:pPr>
            <w:r>
              <w:rPr>
                <w:b/>
                <w:bCs/>
              </w:rPr>
            </w:r>
          </w:p>
        </w:tc>
        <w:tc>
          <w:tcPr>
            <w:tcW w:w="2203"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En cas de co-assurance (*)</w:t>
            </w:r>
          </w:p>
        </w:tc>
        <w:tc>
          <w:tcPr>
            <w:tcW w:w="1985"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 xml:space="preserve">Ligne successive </w:t>
            </w:r>
          </w:p>
          <w:p>
            <w:pPr>
              <w:pStyle w:val="Normal"/>
              <w:jc w:val="center"/>
              <w:rPr>
                <w:b/>
                <w:b/>
                <w:bCs/>
              </w:rPr>
            </w:pPr>
            <w:r>
              <w:rPr>
                <w:b/>
                <w:bCs/>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0E0E0" w:val="clear"/>
            <w:tcMar>
              <w:left w:w="65" w:type="dxa"/>
            </w:tcMar>
          </w:tcPr>
          <w:p>
            <w:pPr>
              <w:pStyle w:val="Normal"/>
              <w:jc w:val="center"/>
              <w:rPr/>
            </w:pPr>
            <w:r>
              <w:rPr>
                <w:b/>
                <w:bCs/>
              </w:rPr>
              <w:t>Assureurs spécialisés (*)</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Si OUI, précisez le nom</w:t>
            </w:r>
          </w:p>
          <w:p>
            <w:pPr>
              <w:pStyle w:val="Normal"/>
              <w:rPr/>
            </w:pPr>
            <w:r>
              <w:rPr/>
            </w:r>
          </w:p>
          <w:p>
            <w:pPr>
              <w:pStyle w:val="Normal"/>
              <w:rPr/>
            </w:pPr>
            <w:r>
              <w:rPr/>
              <w:t>Apériteur (assureur N°1) :</w:t>
            </w:r>
          </w:p>
          <w:p>
            <w:pPr>
              <w:pStyle w:val="Normal"/>
              <w:rPr/>
            </w:pPr>
            <w:r>
              <w:rPr/>
            </w:r>
          </w:p>
          <w:p>
            <w:pPr>
              <w:pStyle w:val="Normal"/>
              <w:rPr/>
            </w:pPr>
            <w:r>
              <w:rPr/>
              <w:t>Assureur n°2 :</w:t>
            </w:r>
          </w:p>
          <w:p>
            <w:pPr>
              <w:pStyle w:val="Normal"/>
              <w:rPr/>
            </w:pPr>
            <w:r>
              <w:rPr/>
            </w:r>
          </w:p>
          <w:p>
            <w:pPr>
              <w:pStyle w:val="Normal"/>
              <w:rPr/>
            </w:pPr>
            <w:r>
              <w:rPr/>
              <w:t xml:space="preserve">Assureur n°3 : </w:t>
            </w:r>
          </w:p>
          <w:p>
            <w:pPr>
              <w:pStyle w:val="Normal"/>
              <w:rPr/>
            </w:pPr>
            <w:r>
              <w:rPr/>
            </w:r>
          </w:p>
          <w:p>
            <w:pPr>
              <w:pStyle w:val="Normal"/>
              <w:rPr/>
            </w:pPr>
            <w:r>
              <w:rPr/>
              <w:t>TOTAL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 xml:space="preserve">Taux de co-assurance ou de placement garanti par l'assureur :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rPr>
            </w:pPr>
            <w:r>
              <w:rPr/>
              <w:t>Tx apérit° =                  %</w:t>
            </w:r>
          </w:p>
          <w:p>
            <w:pPr>
              <w:pStyle w:val="Normal"/>
              <w:rPr/>
            </w:pPr>
            <w:r>
              <w:rPr>
                <w:u w:val="single"/>
              </w:rPr>
              <w:t>Coass =                        %</w:t>
            </w:r>
          </w:p>
          <w:p>
            <w:pPr>
              <w:pStyle w:val="Normal"/>
              <w:rPr/>
            </w:pPr>
            <w:r>
              <w:rPr/>
            </w:r>
          </w:p>
          <w:p>
            <w:pPr>
              <w:pStyle w:val="Normal"/>
              <w:rPr/>
            </w:pPr>
            <w:r>
              <w:rPr/>
              <w:t>Total =                         %</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lang w:val="en-GB"/>
              </w:rPr>
            </w:pPr>
            <w:r>
              <w:rPr/>
              <w:t>Tx apérit° =              %</w:t>
            </w:r>
          </w:p>
          <w:p>
            <w:pPr>
              <w:pStyle w:val="Normal"/>
              <w:rPr>
                <w:lang w:val="en-GB"/>
              </w:rPr>
            </w:pPr>
            <w:r>
              <w:rPr>
                <w:u w:val="single"/>
                <w:lang w:val="en-GB"/>
              </w:rPr>
              <w:t>Coass =                    %</w:t>
            </w:r>
          </w:p>
          <w:p>
            <w:pPr>
              <w:pStyle w:val="Normal"/>
              <w:rPr>
                <w:lang w:val="en-GB"/>
              </w:rPr>
            </w:pPr>
            <w:r>
              <w:rPr>
                <w:lang w:val="en-GB"/>
              </w:rPr>
            </w:r>
          </w:p>
          <w:p>
            <w:pPr>
              <w:pStyle w:val="Normal"/>
              <w:rPr>
                <w:lang w:val="en-GB"/>
              </w:rPr>
            </w:pPr>
            <w:r>
              <w:rPr>
                <w:lang w:val="en-GB"/>
              </w:rPr>
              <w:t>Total =                     %</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u w:val="single"/>
                <w:lang w:val="en-GB"/>
              </w:rPr>
            </w:pPr>
            <w:r>
              <w:rPr>
                <w:lang w:val="en-GB"/>
              </w:rPr>
              <w:t>Tx apérit° =               %</w:t>
            </w:r>
          </w:p>
          <w:p>
            <w:pPr>
              <w:pStyle w:val="Normal"/>
              <w:rPr>
                <w:lang w:val="en-GB"/>
              </w:rPr>
            </w:pPr>
            <w:r>
              <w:rPr>
                <w:u w:val="single"/>
                <w:lang w:val="en-GB"/>
              </w:rPr>
              <w:t>Coass =                      %</w:t>
            </w:r>
          </w:p>
          <w:p>
            <w:pPr>
              <w:pStyle w:val="Normal"/>
              <w:rPr>
                <w:lang w:val="en-GB"/>
              </w:rPr>
            </w:pPr>
            <w:r>
              <w:rPr>
                <w:lang w:val="en-GB"/>
              </w:rPr>
            </w:r>
          </w:p>
          <w:p>
            <w:pPr>
              <w:pStyle w:val="Normal"/>
              <w:rPr/>
            </w:pPr>
            <w:r>
              <w:rPr/>
              <w:t>Total =                       %</w:t>
            </w:r>
          </w:p>
        </w:tc>
      </w:tr>
    </w:tbl>
    <w:p>
      <w:pPr>
        <w:pStyle w:val="Normal"/>
        <w:rPr/>
      </w:pPr>
      <w:r>
        <w:rPr/>
        <w:t>(*) : si besoin, le candidat précisera (par exemple : en option, en variante…)</w:t>
      </w:r>
    </w:p>
    <w:p>
      <w:pPr>
        <w:pStyle w:val="Normal"/>
        <w:rPr/>
      </w:pPr>
      <w:r>
        <w:rPr/>
        <w:t>Tx  apérit°</w:t>
        <w:tab/>
        <w:t>= Taux d'apérition</w:t>
      </w:r>
    </w:p>
    <w:p>
      <w:pPr>
        <w:pStyle w:val="Normal"/>
        <w:rPr/>
      </w:pPr>
      <w:r>
        <w:rPr/>
        <w:t>Coass</w:t>
        <w:tab/>
        <w:tab/>
        <w:t>= Taux de co-Assurance ou Taux de placement (si besoin précisez)</w:t>
      </w:r>
    </w:p>
    <w:p>
      <w:pPr>
        <w:pStyle w:val="Normal"/>
        <w:rPr/>
      </w:pPr>
      <w:r>
        <w:rPr/>
        <w:t>Total</w:t>
        <w:tab/>
        <w:tab/>
        <w:t>= Total garanti par l'apériteur</w:t>
      </w:r>
    </w:p>
    <w:p>
      <w:pPr>
        <w:pStyle w:val="Normal"/>
        <w:jc w:val="both"/>
        <w:rPr/>
      </w:pPr>
      <w:r>
        <w:rPr/>
      </w:r>
    </w:p>
    <w:p>
      <w:pPr>
        <w:pStyle w:val="Normal"/>
        <w:jc w:val="both"/>
        <w:rPr/>
      </w:pPr>
      <w:r>
        <w:rPr/>
        <w:t>(*) Lignes successives : détailler les lignes accordées et si besoin la co-assurance proposée.</w:t>
      </w:r>
    </w:p>
    <w:p>
      <w:pPr>
        <w:pStyle w:val="Normal"/>
        <w:jc w:val="both"/>
        <w:rPr/>
      </w:pPr>
      <w:r>
        <w:rPr/>
      </w:r>
    </w:p>
    <w:p>
      <w:pPr>
        <w:pStyle w:val="Normal"/>
        <w:jc w:val="both"/>
        <w:rPr>
          <w:color w:val="FF0000"/>
        </w:rPr>
      </w:pPr>
      <w:r>
        <w:rPr/>
        <w:t>(*) Assureurs spécialisés :  détaillez les risques garantis par chaque assureur et/ou, pour chacun, le pourcentage de placement du risque.</w:t>
      </w:r>
    </w:p>
    <w:p>
      <w:pPr>
        <w:pStyle w:val="Normal"/>
        <w:jc w:val="both"/>
        <w:rPr>
          <w:color w:val="FF0000"/>
        </w:rPr>
      </w:pPr>
      <w:r>
        <w:rPr>
          <w:color w:val="FF0000"/>
        </w:rPr>
      </w:r>
      <w:r>
        <w:br w:type="page"/>
      </w:r>
    </w:p>
    <w:p>
      <w:pPr>
        <w:pStyle w:val="Normal"/>
        <w:rPr>
          <w:color w:val="FF0000"/>
          <w:sz w:val="22"/>
        </w:rPr>
      </w:pPr>
      <w:r>
        <w:rPr>
          <w:color w:val="FF0000"/>
          <w:sz w:val="22"/>
        </w:rPr>
      </w:r>
    </w:p>
    <w:p>
      <w:pPr>
        <w:pStyle w:val="Titre1"/>
        <w:pBdr>
          <w:top w:val="single" w:sz="4" w:space="1" w:color="000001"/>
          <w:left w:val="single" w:sz="4" w:space="4" w:color="000001"/>
          <w:bottom w:val="single" w:sz="4" w:space="1" w:color="000001"/>
          <w:right w:val="single" w:sz="4" w:space="4" w:color="000001"/>
        </w:pBdr>
        <w:shd w:val="clear" w:color="auto" w:fill="E0E0E0"/>
        <w:rPr>
          <w:rFonts w:ascii="Times New Roman" w:hAnsi="Times New Roman" w:cs="Times New Roman"/>
        </w:rPr>
      </w:pPr>
      <w:r>
        <w:rPr>
          <w:rFonts w:cs="Times New Roman" w:ascii="Times New Roman" w:hAnsi="Times New Roman"/>
          <w:sz w:val="22"/>
          <w:szCs w:val="22"/>
        </w:rPr>
        <w:t>PRECISIONS ADMINISTRATIVES</w:t>
      </w:r>
    </w:p>
    <w:p>
      <w:pPr>
        <w:pStyle w:val="Titre5"/>
        <w:numPr>
          <w:ilvl w:val="0"/>
          <w:numId w:val="0"/>
        </w:numPr>
        <w:jc w:val="both"/>
        <w:rPr>
          <w:rFonts w:ascii="Times New Roman" w:hAnsi="Times New Roman" w:cs="Times New Roman"/>
          <w:sz w:val="22"/>
          <w:szCs w:val="22"/>
        </w:rPr>
      </w:pPr>
      <w:r>
        <w:rPr>
          <w:rFonts w:cs="Times New Roman" w:ascii="Times New Roman" w:hAnsi="Times New Roman"/>
          <w:sz w:val="22"/>
          <w:szCs w:val="22"/>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Libération de la dette :</w:t>
            </w:r>
            <w:r>
              <w:rPr>
                <w:sz w:val="22"/>
                <w:szCs w:val="22"/>
              </w:rPr>
              <w:t xml:space="preserve"> le courtier et la Société d’Assurances reconnaissent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que les primes payées par la Collectivité entre les mains d’un courtier libèrent la Collectivité de sa dette vis à vis de la Société d’assurances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que les indemnisations versées par la Société d’Assurances entre les mains du courtier ne libèrent la dette de la Société d’Assurances, qu’une fois les fonds encaissés par la Collectivité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Note de couverture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Cette proposition vaut-elle note de couverture, si la Collectivité confirme son acceptation de l’offre à l'assureur ou à l’intermédiaire avant la date d'effet des garanties.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 de la note de couverture à compter de la date de notification du marché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indiquer les références du contrat si votre offre est retenue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Contrat n°:</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Délai de remise du contrat définitif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rPr>
            </w:pPr>
            <w:r>
              <w:rPr>
                <w:rFonts w:cs="Times New Roman" w:ascii="Times New Roman" w:hAnsi="Times New Roman"/>
                <w:sz w:val="22"/>
                <w:szCs w:val="22"/>
              </w:rPr>
              <w:t>Acceptez-vous que la notification du présent marché vaille contrat d’assurance et partant que vous ne remettrez pas de contrat d’assurance définitif</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u w:val="single"/>
              </w:rPr>
            </w:pPr>
            <w:r>
              <w:rPr>
                <w:rFonts w:cs="Times New Roman" w:ascii="Times New Roman" w:hAnsi="Times New Roman"/>
                <w:sz w:val="22"/>
                <w:szCs w:val="22"/>
              </w:rPr>
              <w:t>Dans la négative, délai de remise du contrat d’assurance définitif conforme à l’engagement de ce jour à compter de la notification</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Délai de remise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rPr>
            </w:pPr>
            <w:r>
              <w:rPr>
                <w:rFonts w:cs="Times New Roman" w:ascii="Times New Roman" w:hAnsi="Times New Roman"/>
                <w:sz w:val="22"/>
              </w:rPr>
              <w:t>Alors que vous vous seriez engagé à ne pas remettre un contrat définitif (voir supra), acceptez-vous, si demande vous est faites de remettre aux services gestionnaires un duplicata conforme à l’offre remise ?</w:t>
            </w:r>
          </w:p>
          <w:p>
            <w:pPr>
              <w:pStyle w:val="Corpsdetexte"/>
              <w:rPr>
                <w:rFonts w:ascii="Times New Roman" w:hAnsi="Times New Roman" w:cs="Times New Roman"/>
                <w:sz w:val="22"/>
              </w:rPr>
            </w:pPr>
            <w:r>
              <w:rPr>
                <w:rFonts w:cs="Times New Roman" w:ascii="Times New Roman" w:hAnsi="Times New Roman"/>
                <w:sz w:val="22"/>
              </w:rPr>
              <w:t>Dans l’affirmative, sous quel délai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t>Délai de remise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bCs/>
                <w:sz w:val="22"/>
                <w:szCs w:val="22"/>
              </w:rPr>
              <w:t>Pérennité du contrat (sauf en cas de non-paiement des primes ou de retrait d’agrément</w:t>
            </w:r>
            <w:r>
              <w:rPr>
                <w:b/>
                <w:sz w:val="22"/>
                <w:szCs w:val="22"/>
              </w:rPr>
              <w:t xml:space="preserve">) – Abandon du droit de résiliation annuel.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Pendant combien de temps l’assureur accepte-t-il de ne pas modifier le contrat </w:t>
            </w:r>
            <w:r>
              <w:rPr>
                <w:i/>
                <w:sz w:val="22"/>
                <w:szCs w:val="22"/>
                <w:u w:val="single"/>
              </w:rPr>
              <w:t>sauf demande expresse</w:t>
            </w:r>
            <w:r>
              <w:rPr>
                <w:sz w:val="22"/>
                <w:szCs w:val="22"/>
              </w:rPr>
              <w:t xml:space="preserve"> de la collectivité, y compris de ne pas majorer les taux de prime </w:t>
            </w:r>
            <w:r>
              <w:rPr>
                <w:sz w:val="22"/>
                <w:szCs w:val="22"/>
                <w:u w:val="single"/>
              </w:rPr>
              <w:t>unitaire</w:t>
            </w:r>
            <w:r>
              <w:rPr>
                <w:sz w:val="22"/>
                <w:szCs w:val="22"/>
              </w:rPr>
              <w:t> (hors variation de l'indice) ? En conséquence, l’assureur s’engage à ne pas résilier le contrat et ce notamment, par dérogation à la clause de résiliation annuelle, pendant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 . . . années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soit jusqu’au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2"/>
                <w:szCs w:val="22"/>
              </w:rPr>
            </w:pPr>
            <w:r>
              <w:rPr>
                <w:sz w:val="22"/>
                <w:szCs w:val="22"/>
              </w:rPr>
              <w:t xml:space="preserve">31/12/20. . .         </w:t>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u w:val="single"/>
              </w:rPr>
            </w:pPr>
            <w:r>
              <w:rPr>
                <w:sz w:val="22"/>
                <w:szCs w:val="22"/>
                <w:u w:val="single"/>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u w:val="single"/>
              </w:rPr>
              <w:t>Précisions</w:t>
            </w:r>
            <w:r>
              <w:rPr>
                <w:sz w:val="22"/>
                <w:szCs w:val="22"/>
              </w:rPr>
              <w:t> :</w:t>
            </w:r>
            <w:r>
              <w:rPr>
                <w:bCs/>
                <w:sz w:val="22"/>
                <w:szCs w:val="22"/>
              </w:rPr>
              <w:t xml:space="preserve"> Si l’assureur s’engage à ne pas résilier le contrat pendant 3 ans, il retrouvera cette faculté à compter de la quatrième année. En conséquence, toute demande de modification contractuelle ou de résiliation adressée pendant la troisième année en respectant le délai de préavis, sera effective au plus tôt à la date d’échéance de la quatrième année d’assurance.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
                <w:bCs/>
                <w:sz w:val="22"/>
                <w:szCs w:val="22"/>
              </w:rPr>
              <w:t xml:space="preserve">NB : </w:t>
            </w:r>
            <w:r>
              <w:rPr>
                <w:sz w:val="22"/>
                <w:szCs w:val="22"/>
              </w:rPr>
              <w:t>le cas échéant, une variante de prix peut être remise si un engagement supérieur à un an a une incidence tarifaire.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Cs/>
                <w:sz w:val="22"/>
                <w:szCs w:val="22"/>
                <w:u w:val="single"/>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Délai de préavis de résiliation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Pouvez-vous proposer un préavis de résiliation plus long que ce qui est demandé aux conditions particulières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alors confirmer le délai de préavis pour l’assuré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p>
            <w:pPr>
              <w:pStyle w:val="Normal"/>
              <w:jc w:val="right"/>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Prolongation du contrat en cas de refus d’un avenant de modification contractuelle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Le délai de 3 mois mentionné aux conditions particulières peut-il être majoré et sous quelles conditions ?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pPr>
            <w:r>
              <w:rPr>
                <w:b/>
                <w:bCs/>
                <w:sz w:val="22"/>
                <w:szCs w:val="22"/>
              </w:rPr>
              <w:t xml:space="preserve">Avance (articles </w:t>
            </w:r>
            <w:r>
              <w:rPr>
                <w:b/>
                <w:bCs/>
                <w:color w:val="0000FF"/>
                <w:sz w:val="22"/>
                <w:szCs w:val="22"/>
              </w:rPr>
              <w:t>L2191-2 à L2191-3, R2191-3 à R2191-19 du code de la commande</w:t>
            </w:r>
            <w:r>
              <w:rPr>
                <w:b/>
                <w:bCs/>
                <w:sz w:val="22"/>
                <w:szCs w:val="22"/>
              </w:rPr>
              <w:t xml:space="preserve"> : </w:t>
            </w:r>
            <w:r>
              <w:rPr>
                <w:sz w:val="22"/>
                <w:szCs w:val="22"/>
              </w:rPr>
              <w:t xml:space="preserve">Une fois le contrat définitif régularisé, </w:t>
            </w:r>
            <w:r>
              <w:rPr>
                <w:b/>
                <w:bCs/>
                <w:i/>
                <w:iCs/>
                <w:sz w:val="22"/>
                <w:szCs w:val="22"/>
                <w:u w:val="single"/>
              </w:rPr>
              <w:t>la prime d’assurance est payable « à terme à échoir »</w:t>
            </w:r>
            <w:r>
              <w:rPr>
                <w:sz w:val="22"/>
                <w:szCs w:val="22"/>
              </w:rPr>
              <w:t xml:space="preserve"> après présentation d’une quittance à chaque date d’échéance. Du fait du particularisme en assurances du paiement d’avance, le versement de l’avance définie aux articles </w:t>
            </w:r>
            <w:r>
              <w:rPr>
                <w:b/>
                <w:bCs/>
                <w:color w:val="0000FF"/>
                <w:sz w:val="22"/>
                <w:szCs w:val="22"/>
              </w:rPr>
              <w:t>L2191-2 à L2191-3, R2191-3 à R2191-19 du code de la commande publique</w:t>
            </w:r>
            <w:r>
              <w:rPr>
                <w:bCs/>
                <w:sz w:val="22"/>
              </w:rPr>
              <w:t>,</w:t>
            </w:r>
            <w:r>
              <w:rPr>
                <w:sz w:val="22"/>
                <w:szCs w:val="22"/>
              </w:rPr>
              <w:t xml:space="preserve"> peut dans certains cas poser des problèmes.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 xml:space="preserve">L’assureur refuse-t-il le paiement de l’avance prévue aux articles </w:t>
            </w:r>
            <w:r>
              <w:rPr>
                <w:b/>
                <w:bCs/>
                <w:color w:val="0000FF"/>
                <w:sz w:val="22"/>
                <w:szCs w:val="22"/>
              </w:rPr>
              <w:t>L2191-2 à L2191-3, R2191-3 à R2191-19 du code de la commande publique</w:t>
            </w:r>
            <w:r>
              <w:rPr>
                <w:bCs/>
                <w:sz w:val="22"/>
              </w:rPr>
              <w:t>,</w:t>
            </w:r>
            <w:r>
              <w:rPr>
                <w:sz w:val="22"/>
                <w:szCs w:val="22"/>
              </w:rPr>
              <w:t xml:space="preserve"> sachant que le paiement d’avance des primes d’assurance prévu à l’article L113-3 du code des Assurances n’est pas considéré comme étant une avance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bCs/>
                <w:i/>
                <w:i/>
                <w:iCs/>
                <w:sz w:val="22"/>
                <w:szCs w:val="22"/>
              </w:rPr>
            </w:pPr>
            <w:r>
              <w:rPr>
                <w:sz w:val="22"/>
                <w:szCs w:val="22"/>
              </w:rPr>
              <w:t>OUI ( ) NON ( )</w:t>
            </w:r>
            <w:r>
              <w:rPr>
                <w:b/>
                <w:bCs/>
                <w:i/>
                <w:iCs/>
                <w:sz w:val="22"/>
                <w:szCs w:val="22"/>
              </w:rPr>
              <w:t xml:space="preserve"> </w:t>
            </w:r>
          </w:p>
          <w:p>
            <w:pPr>
              <w:pStyle w:val="Normal"/>
              <w:jc w:val="both"/>
              <w:rPr>
                <w:sz w:val="22"/>
                <w:szCs w:val="22"/>
              </w:rPr>
            </w:pPr>
            <w:r>
              <w:rPr>
                <w:b/>
                <w:bCs/>
                <w:i/>
                <w:iCs/>
                <w:sz w:val="22"/>
                <w:szCs w:val="22"/>
              </w:rPr>
              <w:t>Dans la négative, une garantie à première demande sera exigée.</w:t>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Clause Règlement Général de Protection des Données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L’assureur précise son texte « RGPD » qu’il appliquera, et fera appliquer à tout autre assureur,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L’intermédiaire précise son texte « RGPD » qu’il appliquera, et fera appliquer à tout autre intermédiaire,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Coordonnées du médiateur</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l’assureur (ou des médiateurs si multiplicité d’assureurs)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l’intermédiaire (ou des médiateurs si multiplicité d’intermédiaires)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bookmarkStart w:id="0" w:name="_Hlk3895081"/>
            <w:bookmarkStart w:id="1" w:name="_Hlk3895081"/>
            <w:bookmarkEnd w:id="1"/>
            <w:r>
              <w:rPr>
                <w:sz w:val="22"/>
                <w:szCs w:val="22"/>
              </w:rPr>
            </w:r>
          </w:p>
        </w:tc>
      </w:tr>
    </w:tbl>
    <w:p>
      <w:pPr>
        <w:pStyle w:val="Normal"/>
        <w:jc w:val="both"/>
        <w:rPr>
          <w:sz w:val="22"/>
          <w:szCs w:val="22"/>
        </w:rPr>
      </w:pPr>
      <w:r>
        <w:rPr>
          <w:sz w:val="22"/>
          <w:szCs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t>Une prime minimale irréductible est elle imposée : OUI ( ) NON ( ), et dans l’affirmative</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t>Prime minimale annuelle irréductible :                € TTC</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sz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sz w:val="22"/>
        </w:rPr>
        <w:t>Si l’année d’assurance est inférieure à 12 mois, veuillez confirmer que la prime minimale irréductible sera calculée prorata temporis : OUI (  ) NON (  )</w:t>
      </w:r>
    </w:p>
    <w:p>
      <w:pPr>
        <w:pStyle w:val="Normal"/>
        <w:rPr/>
      </w:pPr>
      <w:r>
        <w:rPr/>
      </w:r>
      <w:r>
        <w:br w:type="page"/>
      </w:r>
    </w:p>
    <w:p>
      <w:pPr>
        <w:pStyle w:val="Normal"/>
        <w:rPr/>
      </w:pPr>
      <w:r>
        <w:rPr/>
      </w:r>
    </w:p>
    <w:p>
      <w:pPr>
        <w:pStyle w:val="Normal"/>
        <w:pBdr>
          <w:top w:val="single" w:sz="4" w:space="1" w:color="000001"/>
          <w:left w:val="single" w:sz="4" w:space="4" w:color="000001"/>
          <w:bottom w:val="single" w:sz="4" w:space="1" w:color="000001"/>
          <w:right w:val="single" w:sz="4" w:space="4" w:color="000001"/>
        </w:pBdr>
        <w:shd w:val="clear" w:color="auto" w:fill="E0E0E0"/>
        <w:rPr>
          <w:b/>
          <w:b/>
          <w:bCs/>
          <w:color w:val="0000FF"/>
          <w:highlight w:val="yellow"/>
        </w:rPr>
      </w:pPr>
      <w:r>
        <w:rPr>
          <w:b/>
          <w:bCs/>
          <w:sz w:val="22"/>
          <w:szCs w:val="22"/>
        </w:rPr>
        <w:t>PRECISIONS SUR LES MODALITES DE GESTION ET DE SUIVI DES DOSSIERS SINISTRES</w:t>
      </w:r>
    </w:p>
    <w:p>
      <w:pPr>
        <w:pStyle w:val="Normal"/>
        <w:rPr>
          <w:i/>
          <w:i/>
          <w:iCs/>
        </w:rPr>
      </w:pPr>
      <w:r>
        <w:rPr>
          <w:i/>
          <w:iCs/>
        </w:rPr>
      </w:r>
    </w:p>
    <w:tbl>
      <w:tblPr>
        <w:tblW w:w="977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531"/>
        <w:gridCol w:w="1956"/>
        <w:gridCol w:w="3289"/>
      </w:tblGrid>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tcPr>
          <w:p>
            <w:pPr>
              <w:pStyle w:val="Normal"/>
              <w:jc w:val="both"/>
              <w:rPr>
                <w:sz w:val="22"/>
              </w:rPr>
            </w:pPr>
            <w:r>
              <w:rPr>
                <w:sz w:val="22"/>
              </w:rPr>
              <w:t>Couverture de PJ accordée à tous les agents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tcPr>
          <w:p>
            <w:pPr>
              <w:pStyle w:val="Normal"/>
              <w:jc w:val="center"/>
              <w:rPr>
                <w:sz w:val="22"/>
              </w:rPr>
            </w:pPr>
            <w:r>
              <w:rPr>
                <w:sz w:val="22"/>
              </w:rPr>
              <w:t>COMMENTAIRES</w:t>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both"/>
              <w:rPr>
                <w:sz w:val="22"/>
                <w:szCs w:val="22"/>
              </w:rPr>
            </w:pPr>
            <w:r>
              <w:rPr>
                <w:rFonts w:eastAsia="Wingdings" w:cs="Wingdings" w:ascii="Wingdings" w:hAnsi="Wingdings"/>
                <w:sz w:val="22"/>
              </w:rPr>
              <w:t></w:t>
            </w:r>
            <w:r>
              <w:rPr>
                <w:sz w:val="22"/>
              </w:rPr>
              <w:t xml:space="preserve"> </w:t>
            </w:r>
            <w:r>
              <w:rPr>
                <w:sz w:val="22"/>
              </w:rPr>
              <w:t>Article 11 de la loi du 13 juillet 1983 modifié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both"/>
              <w:rPr>
                <w:sz w:val="22"/>
                <w:szCs w:val="22"/>
              </w:rPr>
            </w:pPr>
            <w:r>
              <w:rPr>
                <w:rFonts w:eastAsia="Wingdings" w:cs="Wingdings" w:ascii="Wingdings" w:hAnsi="Wingdings"/>
                <w:sz w:val="22"/>
              </w:rPr>
              <w:t></w:t>
            </w:r>
            <w:r>
              <w:rPr>
                <w:sz w:val="22"/>
              </w:rPr>
              <w:t xml:space="preserve"> </w:t>
            </w:r>
            <w:r>
              <w:rPr>
                <w:sz w:val="22"/>
              </w:rPr>
              <w:t>Loi n°96-1093 du 16 décembre 1996 relative à l'emploi dans la fonction publique et à diverses mesures d'ordre statutaire.</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rPr>
            </w:pPr>
            <w:r>
              <w:rPr>
                <w:sz w:val="22"/>
              </w:rPr>
              <w:t>Couverture de PJ accordée à tous les élus ou administrateurs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Cs w:val="22"/>
              </w:rPr>
            </w:pPr>
            <w:r>
              <w:rPr>
                <w:rFonts w:eastAsia="Wingdings" w:cs="Wingdings" w:ascii="Wingdings" w:hAnsi="Wingdings"/>
                <w:sz w:val="22"/>
              </w:rPr>
              <w:t></w:t>
            </w:r>
            <w:r>
              <w:rPr>
                <w:sz w:val="22"/>
              </w:rPr>
              <w:t xml:space="preserve"> </w:t>
            </w:r>
            <w:r>
              <w:rPr>
                <w:sz w:val="22"/>
              </w:rPr>
              <w:t>Loi du 10 juillet 2000. Protection des élus.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Cs w:val="22"/>
              </w:rPr>
            </w:pPr>
            <w:r>
              <w:rPr>
                <w:rFonts w:eastAsia="Wingdings" w:cs="Wingdings" w:ascii="Wingdings" w:hAnsi="Wingdings"/>
                <w:sz w:val="22"/>
              </w:rPr>
              <w:t></w:t>
            </w:r>
            <w:r>
              <w:rPr>
                <w:sz w:val="22"/>
              </w:rPr>
              <w:t xml:space="preserve"> </w:t>
            </w:r>
            <w:r>
              <w:rPr>
                <w:sz w:val="22"/>
              </w:rPr>
              <w:t>Loi n°2002-276 du 27 février 2002 relative à la démocratie de proximité. (Art.101).</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rFonts w:eastAsia="Wingdings" w:cs="Wingdings" w:ascii="Wingdings" w:hAnsi="Wingdings"/>
                <w:sz w:val="22"/>
              </w:rPr>
              <w:t></w:t>
            </w:r>
            <w:r>
              <w:rPr>
                <w:sz w:val="22"/>
              </w:rPr>
              <w:t xml:space="preserve"> </w:t>
            </w:r>
            <w:r>
              <w:rPr>
                <w:sz w:val="22"/>
              </w:rPr>
              <w:t>Loi n°</w:t>
            </w:r>
            <w:r>
              <w:rPr>
                <w:sz w:val="22"/>
                <w:szCs w:val="22"/>
              </w:rPr>
              <w:t>2019-1461 du 27/12/2019 étendue à tous les agents et à tous les élus</w:t>
            </w:r>
            <w:r>
              <w:rPr>
                <w:sz w:val="22"/>
              </w:rPr>
              <w:t>.</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Faute partiellement détachable de la fonction couverte</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Reconnaissance de la présomption d'innocence</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Procédure devant la cour d'assises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Y compris en cas de procédure pour crime intentionnel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Entte"/>
              <w:tabs>
                <w:tab w:val="left" w:pos="708" w:leader="none"/>
                <w:tab w:val="center" w:pos="4536" w:leader="none"/>
                <w:tab w:val="right" w:pos="9072" w:leader="none"/>
              </w:tabs>
              <w:rPr>
                <w:sz w:val="22"/>
                <w:szCs w:val="22"/>
              </w:rPr>
            </w:pPr>
            <w:r>
              <w:rPr>
                <w:sz w:val="22"/>
                <w:szCs w:val="22"/>
              </w:rPr>
              <w:t>Juridiction autre que pénale</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SI condamnation définitive pour une faute personnelle ou détachable intégralement de la fonction, demanderez-vous le remboursement des sommes que vous aurez payées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Anciens agents et élus couverts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Seuil d'intervention en Recours</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right"/>
              <w:rPr>
                <w:sz w:val="22"/>
              </w:rPr>
            </w:pPr>
            <w:r>
              <w:rPr>
                <w:sz w:val="22"/>
              </w:rPr>
            </w:r>
          </w:p>
          <w:p>
            <w:pPr>
              <w:pStyle w:val="Normal"/>
              <w:jc w:val="right"/>
              <w:rPr>
                <w:sz w:val="22"/>
              </w:rPr>
            </w:pPr>
            <w:r>
              <w:rPr>
                <w:sz w:val="22"/>
              </w:rPr>
              <w:t>=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2"/>
                <w:szCs w:val="22"/>
              </w:rPr>
            </w:pPr>
            <w:r>
              <w:rPr>
                <w:sz w:val="22"/>
                <w:szCs w:val="22"/>
              </w:rPr>
              <w:t>Plafond de montant global de garantie par sinistre</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right"/>
              <w:rPr>
                <w:sz w:val="22"/>
              </w:rPr>
            </w:pPr>
            <w:r>
              <w:rPr>
                <w:sz w:val="22"/>
              </w:rPr>
            </w:r>
          </w:p>
          <w:p>
            <w:pPr>
              <w:pStyle w:val="Normal"/>
              <w:jc w:val="right"/>
              <w:rPr>
                <w:sz w:val="22"/>
              </w:rPr>
            </w:pPr>
            <w:r>
              <w:rPr>
                <w:sz w:val="22"/>
              </w:rPr>
              <w:t>=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2"/>
                <w:szCs w:val="22"/>
              </w:rPr>
            </w:pPr>
            <w:r>
              <w:rPr>
                <w:sz w:val="22"/>
                <w:szCs w:val="22"/>
              </w:rPr>
              <w:t>Les agents et/ou élus ont-ils le choix de leur défenseur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Proposerez-vous des noms d’avocat si demande vous en est faite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Le Barème des frais d’avocat s’applique quand l’assuré choisit son propre avocat. Mais ce barème s’applique-t-il également lorsque c’est vous qui nommez ou proposez un avocat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En cas de procédure pour harcèlement interviendrez-vous pour défendre</w:t>
            </w:r>
          </w:p>
          <w:p>
            <w:pPr>
              <w:pStyle w:val="Normal"/>
              <w:widowControl/>
              <w:numPr>
                <w:ilvl w:val="0"/>
                <w:numId w:val="5"/>
              </w:numPr>
              <w:suppressAutoHyphens w:val="false"/>
              <w:rPr>
                <w:sz w:val="22"/>
                <w:szCs w:val="22"/>
              </w:rPr>
            </w:pPr>
            <w:r>
              <w:rPr>
                <w:sz w:val="22"/>
                <w:szCs w:val="22"/>
              </w:rPr>
              <w:t>Le harcelé</w:t>
            </w:r>
          </w:p>
          <w:p>
            <w:pPr>
              <w:pStyle w:val="Normal"/>
              <w:widowControl/>
              <w:numPr>
                <w:ilvl w:val="0"/>
                <w:numId w:val="5"/>
              </w:numPr>
              <w:suppressAutoHyphens w:val="false"/>
              <w:rPr>
                <w:sz w:val="22"/>
                <w:szCs w:val="22"/>
              </w:rPr>
            </w:pPr>
            <w:r>
              <w:rPr>
                <w:sz w:val="22"/>
                <w:szCs w:val="22"/>
              </w:rPr>
              <w:t>Le harceleur</w:t>
            </w:r>
          </w:p>
          <w:p>
            <w:pPr>
              <w:pStyle w:val="Normal"/>
              <w:widowControl/>
              <w:numPr>
                <w:ilvl w:val="0"/>
                <w:numId w:val="5"/>
              </w:numPr>
              <w:suppressAutoHyphens w:val="false"/>
              <w:rPr>
                <w:sz w:val="22"/>
                <w:szCs w:val="22"/>
              </w:rPr>
            </w:pPr>
            <w:r>
              <w:rPr>
                <w:sz w:val="22"/>
                <w:szCs w:val="22"/>
              </w:rPr>
              <w:t>Les deux</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p>
            <w:pPr>
              <w:pStyle w:val="Normal"/>
              <w:jc w:val="center"/>
              <w:rPr>
                <w:sz w:val="22"/>
              </w:rPr>
            </w:pPr>
            <w:r>
              <w:rPr>
                <w:sz w:val="22"/>
              </w:rPr>
            </w:r>
          </w:p>
          <w:p>
            <w:pPr>
              <w:pStyle w:val="Normal"/>
              <w:jc w:val="center"/>
              <w:rPr>
                <w:sz w:val="22"/>
              </w:rPr>
            </w:pPr>
            <w:r>
              <w:rPr>
                <w:sz w:val="22"/>
              </w:rPr>
              <w:t>OUI ( ) NON ( )</w:t>
            </w:r>
          </w:p>
          <w:p>
            <w:pPr>
              <w:pStyle w:val="Normal"/>
              <w:jc w:val="center"/>
              <w:rPr>
                <w:sz w:val="22"/>
              </w:rPr>
            </w:pPr>
            <w:r>
              <w:rPr>
                <w:sz w:val="22"/>
              </w:rPr>
              <w:t>OUI ( ) NON ( )</w:t>
            </w:r>
          </w:p>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Les différents assurés sont-ils tiers en eux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Les agents sont-ils tiers vis-à-vis de la collectivité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r>
          </w:p>
        </w:tc>
      </w:tr>
      <w:tr>
        <w:trPr>
          <w:cantSplit w:val="true"/>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Cs w:val="22"/>
              </w:rPr>
            </w:pPr>
            <w:r>
              <w:rPr>
                <w:sz w:val="22"/>
                <w:szCs w:val="22"/>
              </w:rPr>
              <w:t xml:space="preserve">Une garantie de soutien psychologique est elle accordée. Si oui précisez le nombre de séances pour tous les agents et élus </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OUI ( ) NON ( )</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2"/>
              </w:rPr>
            </w:pPr>
            <w:r>
              <w:rPr>
                <w:sz w:val="22"/>
              </w:rPr>
              <w:t>En cabinet</w:t>
            </w:r>
          </w:p>
          <w:p>
            <w:pPr>
              <w:pStyle w:val="Normal"/>
              <w:jc w:val="center"/>
              <w:rPr>
                <w:sz w:val="22"/>
              </w:rPr>
            </w:pPr>
            <w:r>
              <w:rPr>
                <w:sz w:val="22"/>
              </w:rPr>
              <w:t>Par téléphone</w:t>
            </w:r>
          </w:p>
          <w:p>
            <w:pPr>
              <w:pStyle w:val="Normal"/>
              <w:jc w:val="center"/>
              <w:rPr>
                <w:sz w:val="22"/>
              </w:rPr>
            </w:pPr>
            <w:r>
              <w:rPr>
                <w:sz w:val="22"/>
              </w:rPr>
            </w:r>
          </w:p>
        </w:tc>
      </w:tr>
    </w:tbl>
    <w:p>
      <w:pPr>
        <w:pStyle w:val="Normal"/>
        <w:rPr>
          <w:i/>
          <w:i/>
          <w:iCs/>
        </w:rPr>
      </w:pPr>
      <w:r>
        <w:rPr>
          <w:i/>
          <w:iCs/>
        </w:rPr>
      </w:r>
    </w:p>
    <w:p>
      <w:pPr>
        <w:pStyle w:val="Normal"/>
        <w:rPr>
          <w:sz w:val="22"/>
        </w:rPr>
      </w:pPr>
      <w:r>
        <w:rPr>
          <w:sz w:val="22"/>
        </w:rPr>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785"/>
        <w:gridCol w:w="2274"/>
      </w:tblGrid>
      <w:tr>
        <w:trPr>
          <w:cantSplit w:val="true"/>
        </w:trPr>
        <w:tc>
          <w:tcPr>
            <w:tcW w:w="90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70" w:type="dxa"/>
            </w:tcMar>
          </w:tcPr>
          <w:p>
            <w:pPr>
              <w:pStyle w:val="Normal"/>
              <w:jc w:val="both"/>
              <w:rPr>
                <w:b/>
                <w:b/>
                <w:bCs/>
                <w:sz w:val="22"/>
              </w:rPr>
            </w:pPr>
            <w:r>
              <w:rPr>
                <w:b/>
                <w:bCs/>
                <w:sz w:val="22"/>
              </w:rPr>
              <w:t>D.1) Gestion d’un sinistre :</w:t>
            </w:r>
          </w:p>
        </w:tc>
      </w:tr>
      <w:tr>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Un interlocuteur unique gestionnaire des dossiers sera-t-il nommé ?</w:t>
            </w:r>
          </w:p>
          <w:p>
            <w:pPr>
              <w:pStyle w:val="Normal"/>
              <w:widowControl/>
              <w:numPr>
                <w:ilvl w:val="0"/>
                <w:numId w:val="4"/>
              </w:numPr>
              <w:suppressAutoHyphens w:val="false"/>
              <w:rPr>
                <w:sz w:val="22"/>
                <w:szCs w:val="22"/>
              </w:rPr>
            </w:pPr>
            <w:r>
              <w:rPr>
                <w:sz w:val="22"/>
                <w:szCs w:val="22"/>
              </w:rPr>
              <w:t>En production (gestion du contrat)</w:t>
            </w:r>
          </w:p>
          <w:p>
            <w:pPr>
              <w:pStyle w:val="Normal"/>
              <w:rPr>
                <w:sz w:val="22"/>
                <w:szCs w:val="22"/>
              </w:rPr>
            </w:pPr>
            <w:r>
              <w:rPr>
                <w:sz w:val="22"/>
                <w:szCs w:val="22"/>
              </w:rPr>
            </w:r>
          </w:p>
          <w:p>
            <w:pPr>
              <w:pStyle w:val="Normal"/>
              <w:widowControl/>
              <w:numPr>
                <w:ilvl w:val="0"/>
                <w:numId w:val="4"/>
              </w:numPr>
              <w:suppressAutoHyphens w:val="false"/>
              <w:rPr>
                <w:sz w:val="22"/>
                <w:szCs w:val="22"/>
              </w:rPr>
            </w:pPr>
            <w:r>
              <w:rPr>
                <w:sz w:val="22"/>
                <w:szCs w:val="22"/>
              </w:rPr>
              <w:t>En sinistre</w:t>
            </w:r>
          </w:p>
          <w:p>
            <w:pPr>
              <w:pStyle w:val="Normal"/>
              <w:rPr>
                <w:sz w:val="22"/>
                <w:szCs w:val="22"/>
                <w:u w:val="single"/>
              </w:rPr>
            </w:pPr>
            <w:r>
              <w:rPr>
                <w:sz w:val="22"/>
                <w:szCs w:val="22"/>
                <w:u w:val="single"/>
              </w:rP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t xml:space="preserve">OUI ( ) NON ( )   </w:t>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rHeight w:val="794" w:hRule="atLeast"/>
          <w:cantSplit w:val="true"/>
        </w:trPr>
        <w:tc>
          <w:tcPr>
            <w:tcW w:w="67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1"/>
              <w:rPr>
                <w:rFonts w:ascii="Times New Roman" w:hAnsi="Times New Roman"/>
                <w:bCs/>
                <w:sz w:val="22"/>
                <w:szCs w:val="24"/>
              </w:rPr>
            </w:pPr>
            <w:r>
              <w:rPr>
                <w:rFonts w:ascii="Times New Roman" w:hAnsi="Times New Roman"/>
                <w:bCs/>
                <w:sz w:val="22"/>
                <w:szCs w:val="24"/>
              </w:rPr>
              <w:t>2. Quel est le délai maximal</w:t>
            </w:r>
          </w:p>
          <w:p>
            <w:pPr>
              <w:pStyle w:val="Normal"/>
              <w:widowControl/>
              <w:numPr>
                <w:ilvl w:val="1"/>
                <w:numId w:val="6"/>
              </w:numPr>
              <w:suppressAutoHyphens w:val="false"/>
              <w:rPr>
                <w:sz w:val="22"/>
              </w:rPr>
            </w:pPr>
            <w:r>
              <w:rPr>
                <w:sz w:val="22"/>
              </w:rPr>
              <w:t xml:space="preserve">d’accusé de réception de la déclaration de sinistre </w:t>
            </w:r>
          </w:p>
          <w:p>
            <w:pPr>
              <w:pStyle w:val="Normal"/>
              <w:ind w:left="360" w:hanging="0"/>
              <w:rPr>
                <w:sz w:val="22"/>
              </w:rPr>
            </w:pPr>
            <w:r>
              <w:rPr>
                <w:sz w:val="22"/>
              </w:rPr>
            </w:r>
          </w:p>
          <w:p>
            <w:pPr>
              <w:pStyle w:val="Normal"/>
              <w:widowControl/>
              <w:numPr>
                <w:ilvl w:val="1"/>
                <w:numId w:val="6"/>
              </w:numPr>
              <w:suppressAutoHyphens w:val="false"/>
              <w:rPr>
                <w:sz w:val="22"/>
              </w:rPr>
            </w:pPr>
            <w:r>
              <w:rPr>
                <w:sz w:val="22"/>
              </w:rPr>
              <w:t>et de la transmission de la liste des pièces nécessaires à la gestion normale du sinistre :</w:t>
            </w:r>
            <w:r>
              <w:rPr>
                <w:sz w:val="22"/>
                <w:u w:val="single"/>
              </w:rPr>
              <w:t xml:space="preserve">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rHeight w:val="666" w:hRule="atLeast"/>
          <w:cantSplit w:val="true"/>
        </w:trPr>
        <w:tc>
          <w:tcPr>
            <w:tcW w:w="67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1"/>
              <w:rPr>
                <w:rFonts w:ascii="Times New Roman" w:hAnsi="Times New Roman"/>
                <w:bCs/>
                <w:sz w:val="22"/>
                <w:szCs w:val="24"/>
              </w:rPr>
            </w:pPr>
            <w:r>
              <w:rPr>
                <w:rFonts w:ascii="Times New Roman" w:hAnsi="Times New Roman"/>
                <w:bCs/>
                <w:sz w:val="22"/>
                <w:szCs w:val="24"/>
              </w:rP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rPr>
            </w:pPr>
            <w:r>
              <w:rPr>
                <w:b/>
                <w:bCs/>
                <w:sz w:val="22"/>
              </w:rPr>
              <w:t>5. En cas de sinistre a priori non responsable :</w:t>
            </w:r>
            <w:r>
              <w:rPr>
                <w:sz w:val="22"/>
              </w:rPr>
              <w:t xml:space="preserve"> acceptez-vous après accord ou demande de l’Assuré d’écrire au tiers lésé pour lui expliquer pourquoi l’Assuré n’est pas responsable du sinistre :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tc>
      </w:tr>
      <w:tr>
        <w:trPr>
          <w:trHeight w:val="811" w:hRule="atLeast"/>
          <w:cantSplit w:val="true"/>
        </w:trPr>
        <w:tc>
          <w:tcPr>
            <w:tcW w:w="67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b/>
                <w:b/>
                <w:bCs/>
                <w:szCs w:val="24"/>
              </w:rPr>
            </w:pPr>
            <w:r>
              <w:rPr>
                <w:b/>
                <w:bCs/>
                <w:szCs w:val="24"/>
              </w:rPr>
              <w:t>6. Quel est le délai maximal pour nommer un expert, obtenir et transmettre son rapport :</w:t>
            </w:r>
          </w:p>
          <w:p>
            <w:pPr>
              <w:pStyle w:val="Normal"/>
              <w:rPr>
                <w:sz w:val="22"/>
              </w:rPr>
            </w:pPr>
            <w:r>
              <w:rPr>
                <w:sz w:val="22"/>
              </w:rPr>
              <w:t>6.1. Nomination de l’expert</w:t>
            </w:r>
          </w:p>
          <w:p>
            <w:pPr>
              <w:pStyle w:val="Normal"/>
              <w:rPr>
                <w:sz w:val="22"/>
              </w:rPr>
            </w:pPr>
            <w:r>
              <w:rPr>
                <w:sz w:val="22"/>
              </w:rPr>
            </w:r>
          </w:p>
          <w:p>
            <w:pPr>
              <w:pStyle w:val="Normal"/>
              <w:rPr>
                <w:sz w:val="22"/>
              </w:rPr>
            </w:pPr>
            <w:r>
              <w:rPr>
                <w:sz w:val="22"/>
              </w:rPr>
              <w:t>6.2. Transmission de son rapport</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rHeight w:val="525" w:hRule="atLeast"/>
          <w:cantSplit w:val="true"/>
        </w:trPr>
        <w:tc>
          <w:tcPr>
            <w:tcW w:w="67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szCs w:val="24"/>
              </w:rPr>
            </w:pPr>
            <w:r>
              <w:rPr>
                <w:szCs w:val="24"/>
              </w:rP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szCs w:val="24"/>
              </w:rPr>
            </w:pPr>
            <w:r>
              <w:rPr>
                <w:b/>
                <w:bCs/>
              </w:rPr>
              <w:t xml:space="preserve">7. </w:t>
            </w:r>
            <w:r>
              <w:rPr/>
              <w:t xml:space="preserve">Quelles sont vos procédures pour obtenir des Services, </w:t>
            </w:r>
            <w:r>
              <w:rPr>
                <w:b/>
                <w:bCs/>
              </w:rPr>
              <w:t>toutes les informations nécessaires au bon traitement d'un dossier sinistre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b/>
                <w:bCs/>
              </w:rPr>
              <w:t>8.</w:t>
            </w:r>
            <w:r>
              <w:rPr/>
              <w:t xml:space="preserve"> Quelles sont vos procédures pour obtenir des Services toutes les informations nécessaires pour éviter que ne soit opposée à l’Assuré une </w:t>
            </w:r>
            <w:r>
              <w:rPr>
                <w:b/>
                <w:bCs/>
              </w:rPr>
              <w:t>déchéance de garantie ou une prescription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r>
        <w:trPr>
          <w:trHeight w:val="782" w:hRule="atLeast"/>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color w:val="FF0000"/>
                <w:sz w:val="22"/>
                <w:szCs w:val="22"/>
              </w:rPr>
            </w:pPr>
            <w:r>
              <w:rPr>
                <w:sz w:val="22"/>
                <w:szCs w:val="22"/>
              </w:rPr>
              <w:t>Vous engagez-vous à adresser, chaque année, à la collectivité un état des statistiques triennales de sinistralité et à les commenter ?</w:t>
            </w:r>
            <w:r>
              <w:rPr>
                <w:color w:val="FF0000"/>
                <w:sz w:val="22"/>
                <w:szCs w:val="22"/>
              </w:rPr>
              <w:t xml:space="preserve">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p>
            <w:pPr>
              <w:pStyle w:val="Normal"/>
              <w:jc w:val="both"/>
              <w:rPr>
                <w:sz w:val="22"/>
                <w:szCs w:val="22"/>
              </w:rPr>
            </w:pPr>
            <w:r>
              <w:rPr>
                <w:sz w:val="22"/>
                <w:szCs w:val="22"/>
              </w:rPr>
            </w:r>
          </w:p>
          <w:p>
            <w:pPr>
              <w:pStyle w:val="Normal"/>
              <w:jc w:val="both"/>
              <w:rPr>
                <w:sz w:val="22"/>
                <w:szCs w:val="22"/>
              </w:rPr>
            </w:pPr>
            <w:r>
              <w:rPr>
                <w:sz w:val="22"/>
                <w:szCs w:val="22"/>
              </w:rPr>
            </w:r>
          </w:p>
        </w:tc>
      </w:tr>
      <w:tr>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b/>
                <w:bCs/>
                <w:sz w:val="22"/>
              </w:rPr>
              <w:t>10.</w:t>
            </w:r>
            <w:r>
              <w:rPr>
                <w:sz w:val="22"/>
              </w:rPr>
              <w:t xml:space="preserve"> Vous engagez-vous, chaque année, en collaboration avec les services, à </w:t>
            </w:r>
            <w:r>
              <w:rPr>
                <w:b/>
                <w:bCs/>
                <w:sz w:val="22"/>
              </w:rPr>
              <w:t xml:space="preserve">apurer les provisions non justifiées </w:t>
            </w:r>
            <w:r>
              <w:rPr>
                <w:sz w:val="22"/>
              </w:rPr>
              <w:t>?</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tc>
      </w:tr>
      <w:tr>
        <w:trPr>
          <w:trHeight w:val="900" w:hRule="atLeast"/>
          <w:cantSplit w:val="true"/>
        </w:trPr>
        <w:tc>
          <w:tcPr>
            <w:tcW w:w="6785" w:type="dxa"/>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b/>
                <w:b/>
                <w:bCs/>
                <w:sz w:val="22"/>
              </w:rPr>
            </w:pPr>
            <w:r>
              <w:rPr>
                <w:b/>
                <w:bCs/>
                <w:sz w:val="22"/>
              </w:rPr>
              <w:t>12. Note synthétique de présentation du contrat :</w:t>
            </w:r>
          </w:p>
          <w:p>
            <w:pPr>
              <w:pStyle w:val="Normal"/>
              <w:jc w:val="both"/>
              <w:rPr>
                <w:b/>
                <w:b/>
                <w:bCs/>
                <w:sz w:val="22"/>
              </w:rPr>
            </w:pPr>
            <w:r>
              <w:rPr>
                <w:b/>
                <w:bCs/>
                <w:sz w:val="22"/>
              </w:rPr>
              <w:t>L’assureur s’engage à la notification du contrat à établir une note synthétique de présentation du contrat</w:t>
            </w:r>
          </w:p>
          <w:p>
            <w:pPr>
              <w:pStyle w:val="Normal"/>
              <w:jc w:val="both"/>
              <w:rPr>
                <w:b/>
                <w:b/>
                <w:bCs/>
                <w:sz w:val="22"/>
              </w:rPr>
            </w:pPr>
            <w:r>
              <w:rPr>
                <w:b/>
                <w:bCs/>
                <w:sz w:val="22"/>
              </w:rPr>
              <w:t>Si oui, Sous quel délai à compter de la notification du marché</w:t>
            </w:r>
          </w:p>
        </w:tc>
        <w:tc>
          <w:tcPr>
            <w:tcW w:w="227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70" w:type="dxa"/>
            </w:tcMar>
          </w:tcPr>
          <w:p>
            <w:pPr>
              <w:pStyle w:val="Normal"/>
              <w:snapToGrid w:val="false"/>
              <w:rPr/>
            </w:pPr>
            <w:r>
              <w:rPr/>
              <w:t>OUI ( ) NON ( ) Commentaires</w:t>
            </w:r>
          </w:p>
        </w:tc>
      </w:tr>
      <w:tr>
        <w:trPr>
          <w:trHeight w:val="900" w:hRule="atLeast"/>
          <w:cantSplit w:val="true"/>
        </w:trPr>
        <w:tc>
          <w:tcPr>
            <w:tcW w:w="6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bCs/>
                <w:sz w:val="22"/>
              </w:rPr>
            </w:pPr>
            <w:r>
              <w:rPr>
                <w:b/>
                <w:bCs/>
                <w:sz w:val="22"/>
              </w:rPr>
              <w:t>13. Autres prestations proposées :</w:t>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r>
          </w:p>
        </w:tc>
      </w:tr>
    </w:tbl>
    <w:p>
      <w:pPr>
        <w:pStyle w:val="Normal"/>
        <w:jc w:val="both"/>
        <w:rPr>
          <w:b/>
          <w:b/>
          <w:bCs/>
        </w:rPr>
      </w:pPr>
      <w:r>
        <w:rPr>
          <w:b/>
          <w:bCs/>
        </w:rPr>
      </w:r>
    </w:p>
    <w:p>
      <w:pPr>
        <w:pStyle w:val="Normal"/>
        <w:rPr>
          <w:i/>
          <w:i/>
          <w:iCs/>
        </w:rPr>
      </w:pPr>
      <w:r>
        <w:rPr>
          <w:i/>
          <w:iCs/>
        </w:rPr>
      </w:r>
    </w:p>
    <w:tbl>
      <w:tblPr>
        <w:tblW w:w="9241" w:type="dxa"/>
        <w:jc w:val="left"/>
        <w:tblInd w:w="-20" w:type="dxa"/>
        <w:tblBorders/>
        <w:tblCellMar>
          <w:top w:w="70" w:type="dxa"/>
          <w:left w:w="70" w:type="dxa"/>
          <w:bottom w:w="70" w:type="dxa"/>
          <w:right w:w="70" w:type="dxa"/>
        </w:tblCellMar>
        <w:tblLook w:firstRow="0" w:noVBand="0" w:lastRow="0" w:firstColumn="0" w:lastColumn="0" w:noHBand="0" w:val="0000"/>
      </w:tblPr>
      <w:tblGrid>
        <w:gridCol w:w="9241"/>
      </w:tblGrid>
      <w:tr>
        <w:trPr/>
        <w:tc>
          <w:tcPr>
            <w:tcW w:w="9241" w:type="dxa"/>
            <w:tcBorders/>
            <w:shd w:color="auto" w:fill="auto" w:val="clear"/>
          </w:tcPr>
          <w:p>
            <w:pPr>
              <w:pStyle w:val="Normal"/>
              <w:widowControl/>
              <w:tabs>
                <w:tab w:val="left" w:pos="360" w:leader="none"/>
                <w:tab w:val="left" w:pos="720" w:leader="none"/>
              </w:tabs>
              <w:snapToGrid w:val="false"/>
              <w:rPr>
                <w:sz w:val="22"/>
                <w:szCs w:val="22"/>
              </w:rPr>
            </w:pPr>
            <w:r>
              <w:rPr>
                <w:sz w:val="22"/>
                <w:szCs w:val="22"/>
              </w:rPr>
            </w:r>
          </w:p>
          <w:p>
            <w:pPr>
              <w:pStyle w:val="Normal"/>
              <w:jc w:val="center"/>
              <w:rPr>
                <w:sz w:val="22"/>
                <w:szCs w:val="22"/>
              </w:rPr>
            </w:pPr>
            <w:r>
              <w:rPr>
                <w:sz w:val="22"/>
                <w:szCs w:val="22"/>
              </w:rPr>
              <w:t>Si nécessaire , le candidat peut joindre  en  annexe une note méthodologique détaillant les modalités mises en œuvre pour la gestion du contrat et des dossiers sinistres y afférents.</w:t>
            </w:r>
          </w:p>
          <w:p>
            <w:pPr>
              <w:pStyle w:val="Normal"/>
              <w:jc w:val="center"/>
              <w:rPr>
                <w:sz w:val="22"/>
                <w:szCs w:val="22"/>
              </w:rPr>
            </w:pPr>
            <w:r>
              <w:rPr>
                <w:sz w:val="22"/>
                <w:szCs w:val="22"/>
              </w:rPr>
              <w:t>_________</w:t>
            </w:r>
          </w:p>
        </w:tc>
      </w:tr>
    </w:tbl>
    <w:p>
      <w:pPr>
        <w:pStyle w:val="Normal"/>
        <w:jc w:val="both"/>
        <w:rPr/>
      </w:pPr>
      <w:r>
        <w:br w:type="page"/>
      </w:r>
      <w:r>
        <w:rPr/>
      </w:r>
    </w:p>
    <w:sectPr>
      <w:headerReference w:type="default" r:id="rId2"/>
      <w:footerReference w:type="default" r:id="rId3"/>
      <w:type w:val="nextPage"/>
      <w:pgSz w:w="11906" w:h="16838"/>
      <w:pgMar w:left="1418" w:right="1418" w:header="426" w:top="1276" w:footer="720" w:bottom="77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Comic Sans MS">
    <w:charset w:val="00"/>
    <w:family w:val="roman"/>
    <w:pitch w:val="variable"/>
  </w:font>
  <w:font w:name="Tahoma">
    <w:charset w:val="00"/>
    <w:family w:val="roman"/>
    <w:pitch w:val="variable"/>
  </w:font>
  <w:font w:name="Arial Narrow">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pStyle w:val="Titre6"/>
      <w:numFmt w:val="upperLetter"/>
      <w:lvlText w:val="%1."/>
      <w:lvlJc w:val="left"/>
      <w:pPr>
        <w:tabs>
          <w:tab w:val="num" w:pos="720"/>
        </w:tabs>
        <w:ind w:left="720" w:hanging="360"/>
      </w:pPr>
      <w:rPr>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itre5"/>
      <w:numFmt w:val="decimal"/>
      <w:lvlText w:val="%5."/>
      <w:lvlJc w:val="left"/>
      <w:pPr>
        <w:tabs>
          <w:tab w:val="num" w:pos="2160"/>
        </w:tabs>
        <w:ind w:left="216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177"/>
        </w:tabs>
        <w:ind w:left="2177" w:hanging="360"/>
      </w:pPr>
    </w:lvl>
    <w:lvl w:ilvl="4">
      <w:start w:val="1"/>
      <w:numFmt w:val="lowerLetter"/>
      <w:lvlText w:val="%5."/>
      <w:lvlJc w:val="left"/>
      <w:pPr>
        <w:tabs>
          <w:tab w:val="num" w:pos="2897"/>
        </w:tabs>
        <w:ind w:left="2897" w:hanging="360"/>
      </w:pPr>
    </w:lvl>
    <w:lvl w:ilvl="5">
      <w:start w:val="1"/>
      <w:numFmt w:val="lowerRoman"/>
      <w:lvlText w:val="%6."/>
      <w:lvlJc w:val="right"/>
      <w:pPr>
        <w:tabs>
          <w:tab w:val="num" w:pos="3617"/>
        </w:tabs>
        <w:ind w:left="3617" w:hanging="180"/>
      </w:pPr>
    </w:lvl>
    <w:lvl w:ilvl="6">
      <w:start w:val="1"/>
      <w:numFmt w:val="decimal"/>
      <w:lvlText w:val="%7."/>
      <w:lvlJc w:val="left"/>
      <w:pPr>
        <w:tabs>
          <w:tab w:val="num" w:pos="4337"/>
        </w:tabs>
        <w:ind w:left="4337" w:hanging="360"/>
      </w:pPr>
    </w:lvl>
    <w:lvl w:ilvl="7">
      <w:start w:val="1"/>
      <w:numFmt w:val="lowerLetter"/>
      <w:lvlText w:val="%8."/>
      <w:lvlJc w:val="left"/>
      <w:pPr>
        <w:tabs>
          <w:tab w:val="num" w:pos="5057"/>
        </w:tabs>
        <w:ind w:left="5057" w:hanging="360"/>
      </w:pPr>
    </w:lvl>
    <w:lvl w:ilvl="8">
      <w:start w:val="1"/>
      <w:numFmt w:val="lowerRoman"/>
      <w:lvlText w:val="%9."/>
      <w:lvlJc w:val="right"/>
      <w:pPr>
        <w:tabs>
          <w:tab w:val="num" w:pos="5777"/>
        </w:tabs>
        <w:ind w:left="5777"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lvl w:ilvl="0">
      <w:start w:val="9"/>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embedSystemFonts/>
  <w:defaultTabStop w:val="703"/>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auto"/>
      <w:sz w:val="20"/>
      <w:szCs w:val="20"/>
      <w:lang w:eastAsia="zh-CN" w:val="fr-FR" w:bidi="ar-SA"/>
    </w:rPr>
  </w:style>
  <w:style w:type="paragraph" w:styleId="Titre1">
    <w:name w:val="Heading 1"/>
    <w:basedOn w:val="Normal"/>
    <w:next w:val="Normal"/>
    <w:qFormat/>
    <w:pPr>
      <w:keepNext w:val="true"/>
      <w:outlineLvl w:val="0"/>
    </w:pPr>
    <w:rPr>
      <w:rFonts w:ascii="Courier" w:hAnsi="Courier" w:cs="Courier"/>
      <w:b/>
      <w:sz w:val="24"/>
    </w:rPr>
  </w:style>
  <w:style w:type="paragraph" w:styleId="Titre2">
    <w:name w:val="Heading 2"/>
    <w:basedOn w:val="Normal"/>
    <w:next w:val="Normal"/>
    <w:qFormat/>
    <w:pPr>
      <w:keepNext w:val="true"/>
      <w:jc w:val="both"/>
      <w:outlineLvl w:val="1"/>
    </w:pPr>
    <w:rPr>
      <w:rFonts w:ascii="Courier New" w:hAnsi="Courier New" w:cs="Courier New"/>
      <w:b/>
      <w:bCs/>
      <w:sz w:val="24"/>
    </w:rPr>
  </w:style>
  <w:style w:type="paragraph" w:styleId="Titre3">
    <w:name w:val="Heading 3"/>
    <w:basedOn w:val="Normal"/>
    <w:next w:val="Normal"/>
    <w:qFormat/>
    <w:pPr>
      <w:keepNext w:val="true"/>
      <w:spacing w:lineRule="exact" w:line="240"/>
      <w:jc w:val="center"/>
      <w:outlineLvl w:val="2"/>
    </w:pPr>
    <w:rPr>
      <w:rFonts w:ascii="Courier" w:hAnsi="Courier" w:cs="Courier"/>
      <w:b/>
      <w:bCs/>
      <w:sz w:val="22"/>
    </w:rPr>
  </w:style>
  <w:style w:type="paragraph" w:styleId="Titre4">
    <w:name w:val="Heading 4"/>
    <w:basedOn w:val="Normal"/>
    <w:next w:val="Normal"/>
    <w:qFormat/>
    <w:pPr>
      <w:keepNext w:val="true"/>
      <w:pBdr>
        <w:top w:val="single" w:sz="4" w:space="1" w:color="000001"/>
        <w:left w:val="single" w:sz="4" w:space="4" w:color="000001"/>
        <w:bottom w:val="single" w:sz="4" w:space="1" w:color="000001"/>
        <w:right w:val="single" w:sz="4" w:space="4" w:color="000001"/>
      </w:pBdr>
      <w:shd w:val="clear" w:color="auto" w:fill="E6E6E6"/>
      <w:spacing w:lineRule="exact" w:line="240"/>
      <w:jc w:val="both"/>
      <w:outlineLvl w:val="3"/>
    </w:pPr>
    <w:rPr>
      <w:b/>
      <w:bCs/>
      <w:sz w:val="22"/>
    </w:rPr>
  </w:style>
  <w:style w:type="paragraph" w:styleId="Titre5">
    <w:name w:val="Heading 5"/>
    <w:basedOn w:val="Normal"/>
    <w:next w:val="Normal"/>
    <w:qFormat/>
    <w:pPr>
      <w:keepNext w:val="true"/>
      <w:numPr>
        <w:ilvl w:val="4"/>
        <w:numId w:val="1"/>
      </w:numPr>
      <w:spacing w:lineRule="exact" w:line="240"/>
      <w:outlineLvl w:val="4"/>
    </w:pPr>
    <w:rPr>
      <w:rFonts w:ascii="Courier" w:hAnsi="Courier" w:cs="Courier"/>
      <w:sz w:val="24"/>
    </w:rPr>
  </w:style>
  <w:style w:type="paragraph" w:styleId="Titre6">
    <w:name w:val="Heading 6"/>
    <w:basedOn w:val="Normal"/>
    <w:next w:val="Normal"/>
    <w:qFormat/>
    <w:pPr>
      <w:keepNext w:val="true"/>
      <w:numPr>
        <w:ilvl w:val="0"/>
        <w:numId w:val="1"/>
      </w:numPr>
      <w:jc w:val="both"/>
      <w:outlineLvl w:val="0"/>
    </w:pPr>
    <w:rPr>
      <w:rFonts w:ascii="Arial" w:hAnsi="Arial" w:cs="Arial"/>
      <w:sz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keepNext w:val="true"/>
      <w:jc w:val="center"/>
      <w:outlineLvl w:val="8"/>
    </w:pPr>
    <w:rPr>
      <w:rFonts w:ascii="Arial" w:hAnsi="Arial" w:cs="Arial"/>
      <w:b/>
      <w:i/>
      <w:iCs/>
      <w:sz w:val="24"/>
    </w:rPr>
  </w:style>
  <w:style w:type="character" w:styleId="DefaultParagraphFont" w:default="1">
    <w:name w:val="Default Paragraph Font"/>
    <w:uiPriority w:val="1"/>
    <w:semiHidden/>
    <w:unhideWhenUsed/>
    <w:qFormat/>
    <w:rPr/>
  </w:style>
  <w:style w:type="character" w:styleId="WW8Num2z0" w:customStyle="1">
    <w:name w:val="WW8Num2z0"/>
    <w:qFormat/>
    <w:rPr>
      <w:b/>
    </w:rPr>
  </w:style>
  <w:style w:type="character" w:styleId="WW8Num4z0" w:customStyle="1">
    <w:name w:val="WW8Num4z0"/>
    <w:qFormat/>
    <w:rPr>
      <w:rFonts w:ascii="Symbol" w:hAnsi="Symbol" w:cs="Symbol"/>
    </w:rPr>
  </w:style>
  <w:style w:type="character" w:styleId="WW8Num7z0" w:customStyle="1">
    <w:name w:val="WW8Num7z0"/>
    <w:qFormat/>
    <w:rPr>
      <w:rFonts w:ascii="Symbol" w:hAnsi="Symbol" w:cs="Symbol"/>
    </w:rPr>
  </w:style>
  <w:style w:type="character" w:styleId="WW8Num10z0" w:customStyle="1">
    <w:name w:val="WW8Num10z0"/>
    <w:qFormat/>
    <w:rPr>
      <w:rFonts w:ascii="Symbol" w:hAnsi="Symbol" w:cs="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Policepardfaut3" w:customStyle="1">
    <w:name w:val="Police par défaut3"/>
    <w:qFormat/>
    <w:rPr/>
  </w:style>
  <w:style w:type="character" w:styleId="Policepardfaut2" w:customStyle="1">
    <w:name w:val="Police par défaut2"/>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1z0" w:customStyle="1">
    <w:name w:val="WW8Num1z0"/>
    <w:qFormat/>
    <w:rPr>
      <w:rFonts w:ascii="Symbol" w:hAnsi="Symbol" w:cs="Courier"/>
    </w:rPr>
  </w:style>
  <w:style w:type="character" w:styleId="WW8Num2z1" w:customStyle="1">
    <w:name w:val="WW8Num2z1"/>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1z0" w:customStyle="1">
    <w:name w:val="WW8Num11z0"/>
    <w:qFormat/>
    <w:rPr>
      <w:b/>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Policepardfaut1" w:customStyle="1">
    <w:name w:val="Police par défaut1"/>
    <w:qFormat/>
    <w:rPr/>
  </w:style>
  <w:style w:type="character" w:styleId="Pagenumber">
    <w:name w:val="page number"/>
    <w:basedOn w:val="Policepardfaut1"/>
    <w:qFormat/>
    <w:rPr/>
  </w:style>
  <w:style w:type="character" w:styleId="Caractresdenotedebasdepage" w:customStyle="1">
    <w:name w:val="Caractères de note de bas de page"/>
    <w:qFormat/>
    <w:rPr>
      <w:vertAlign w:val="superscript"/>
    </w:rPr>
  </w:style>
  <w:style w:type="character" w:styleId="Marquedecommentaire1" w:customStyle="1">
    <w:name w:val="Marque de commentaire1"/>
    <w:qFormat/>
    <w:rPr>
      <w:sz w:val="16"/>
      <w:szCs w:val="16"/>
    </w:rPr>
  </w:style>
  <w:style w:type="character" w:styleId="CorpsdetexteCar" w:customStyle="1">
    <w:name w:val="Corps de texte Car"/>
    <w:qFormat/>
    <w:rPr>
      <w:rFonts w:ascii="Courier" w:hAnsi="Courier" w:cs="Courier"/>
      <w:sz w:val="24"/>
    </w:rPr>
  </w:style>
  <w:style w:type="character" w:styleId="Titre2Car" w:customStyle="1">
    <w:name w:val="Titre 2 Car"/>
    <w:qFormat/>
    <w:rPr>
      <w:rFonts w:ascii="Courier New" w:hAnsi="Courier New" w:cs="Courier New"/>
      <w:b/>
      <w:bCs/>
      <w:sz w:val="24"/>
    </w:rPr>
  </w:style>
  <w:style w:type="character" w:styleId="Appelnotedebasdep1" w:customStyle="1">
    <w:name w:val="Appel note de bas de p.1"/>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Endnotereference">
    <w:name w:val="endnote reference"/>
    <w:qFormat/>
    <w:rPr>
      <w:vertAlign w:val="superscript"/>
    </w:rPr>
  </w:style>
  <w:style w:type="character" w:styleId="Marquedecommentaire2" w:customStyle="1">
    <w:name w:val="Marque de commentaire2"/>
    <w:qFormat/>
    <w:rPr>
      <w:sz w:val="16"/>
      <w:szCs w:val="16"/>
    </w:rPr>
  </w:style>
  <w:style w:type="character" w:styleId="CommentaireCar" w:customStyle="1">
    <w:name w:val="Commentaire Car"/>
    <w:qFormat/>
    <w:rPr>
      <w:lang w:eastAsia="zh-CN"/>
    </w:rPr>
  </w:style>
  <w:style w:type="character" w:styleId="ObjetducommentaireCar" w:customStyle="1">
    <w:name w:val="Objet du commentaire Car"/>
    <w:qFormat/>
    <w:rPr>
      <w:b/>
      <w:bCs/>
      <w:lang w:eastAsia="zh-CN"/>
    </w:rPr>
  </w:style>
  <w:style w:type="character" w:styleId="Appelnotedebasdep2" w:customStyle="1">
    <w:name w:val="Appel note de bas de p.2"/>
    <w:qFormat/>
    <w:rPr>
      <w:vertAlign w:val="superscript"/>
    </w:rPr>
  </w:style>
  <w:style w:type="character" w:styleId="EntteCar" w:customStyle="1">
    <w:name w:val="En-tête Car"/>
    <w:link w:val="En-tte"/>
    <w:qFormat/>
    <w:rsid w:val="00e23e15"/>
    <w:rPr>
      <w:lang w:eastAsia="zh-CN"/>
    </w:rPr>
  </w:style>
  <w:style w:type="character" w:styleId="ListLabel1">
    <w:name w:val="ListLabel 1"/>
    <w:qFormat/>
    <w:rPr>
      <w:b/>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b/>
    </w:rPr>
  </w:style>
  <w:style w:type="character" w:styleId="ListLabel6">
    <w:name w:val="ListLabel 6"/>
    <w:qFormat/>
    <w:rPr>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rFonts w:ascii="Courier" w:hAnsi="Courier" w:cs="Courier"/>
      <w:sz w:val="24"/>
      <w:lang w:val="x-none"/>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Titre31" w:customStyle="1">
    <w:name w:val="Titre3"/>
    <w:basedOn w:val="Normal"/>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itre21" w:customStyle="1">
    <w:name w:val="Titre2"/>
    <w:basedOn w:val="Normal"/>
    <w:qFormat/>
    <w:pPr>
      <w:keepNext w:val="true"/>
      <w:spacing w:before="240" w:after="120"/>
    </w:pPr>
    <w:rPr>
      <w:rFonts w:ascii="Arial" w:hAnsi="Arial" w:eastAsia="Lucida Sans Unicode" w:cs="Mangal"/>
      <w:sz w:val="28"/>
      <w:szCs w:val="28"/>
    </w:rPr>
  </w:style>
  <w:style w:type="paragraph" w:styleId="Titre11" w:customStyle="1">
    <w:name w:val="Titre1"/>
    <w:basedOn w:val="Normal"/>
    <w:qFormat/>
    <w:pPr>
      <w:pBdr>
        <w:top w:val="single" w:sz="4" w:space="1" w:color="000001"/>
        <w:left w:val="single" w:sz="4" w:space="4" w:color="000001"/>
        <w:bottom w:val="single" w:sz="4" w:space="1" w:color="000001"/>
        <w:right w:val="single" w:sz="4" w:space="4" w:color="000001"/>
      </w:pBdr>
      <w:spacing w:lineRule="exact" w:line="240"/>
      <w:jc w:val="center"/>
    </w:pPr>
    <w:rPr>
      <w:rFonts w:ascii="Comic Sans MS" w:hAnsi="Comic Sans MS" w:cs="Comic Sans MS"/>
      <w:b/>
      <w:sz w:val="24"/>
    </w:rPr>
  </w:style>
  <w:style w:type="paragraph" w:styleId="Entte">
    <w:name w:val="Header"/>
    <w:basedOn w:val="Normal"/>
    <w:link w:val="En-tteCar"/>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Retraitdecorpsdetexte">
    <w:name w:val="Body Text Indent"/>
    <w:basedOn w:val="Normal"/>
    <w:pPr>
      <w:pBdr>
        <w:top w:val="single" w:sz="4" w:space="1" w:color="000001"/>
        <w:left w:val="single" w:sz="4" w:space="4" w:color="000001"/>
        <w:bottom w:val="single" w:sz="4" w:space="1" w:color="000001"/>
        <w:right w:val="single" w:sz="4" w:space="4" w:color="000001"/>
      </w:pBdr>
      <w:ind w:left="709" w:hanging="0"/>
    </w:pPr>
    <w:rPr>
      <w:rFonts w:ascii="Courier" w:hAnsi="Courier" w:cs="Courier"/>
      <w:b/>
      <w:sz w:val="24"/>
    </w:rPr>
  </w:style>
  <w:style w:type="paragraph" w:styleId="Corpsdetexte21" w:customStyle="1">
    <w:name w:val="Corps de texte 21"/>
    <w:basedOn w:val="Normal"/>
    <w:qFormat/>
    <w:pPr/>
    <w:rPr>
      <w:rFonts w:ascii="Courier" w:hAnsi="Courier" w:cs="Courier"/>
      <w:sz w:val="24"/>
    </w:rPr>
  </w:style>
  <w:style w:type="paragraph" w:styleId="Retraitcorpsdetexte21" w:customStyle="1">
    <w:name w:val="Retrait corps de texte 21"/>
    <w:basedOn w:val="Normal"/>
    <w:qFormat/>
    <w:pPr>
      <w:ind w:firstLine="708"/>
      <w:jc w:val="both"/>
    </w:pPr>
    <w:rPr>
      <w:rFonts w:ascii="Courier New" w:hAnsi="Courier New" w:cs="Courier New"/>
      <w:sz w:val="24"/>
    </w:rPr>
  </w:style>
  <w:style w:type="paragraph" w:styleId="Corpsdetexte31" w:customStyle="1">
    <w:name w:val="Corps de texte 31"/>
    <w:basedOn w:val="Normal"/>
    <w:qFormat/>
    <w:pPr>
      <w:pBdr>
        <w:top w:val="single" w:sz="4" w:space="1" w:color="000001"/>
        <w:left w:val="single" w:sz="4" w:space="4" w:color="000001"/>
        <w:bottom w:val="single" w:sz="4" w:space="1" w:color="000001"/>
        <w:right w:val="single" w:sz="4" w:space="4" w:color="000001"/>
      </w:pBdr>
      <w:jc w:val="both"/>
    </w:pPr>
    <w:rPr>
      <w:rFonts w:ascii="Courier" w:hAnsi="Courier" w:cs="Courier"/>
      <w:sz w:val="24"/>
    </w:rPr>
  </w:style>
  <w:style w:type="paragraph" w:styleId="BalloonText">
    <w:name w:val="Balloon Text"/>
    <w:basedOn w:val="Normal"/>
    <w:qFormat/>
    <w:pPr/>
    <w:rPr>
      <w:rFonts w:ascii="Tahoma" w:hAnsi="Tahoma" w:cs="Tahoma"/>
      <w:sz w:val="16"/>
      <w:szCs w:val="16"/>
    </w:rPr>
  </w:style>
  <w:style w:type="paragraph" w:styleId="Footnotetext">
    <w:name w:val="footnote text"/>
    <w:basedOn w:val="Normal"/>
    <w:qFormat/>
    <w:pPr/>
    <w:rPr>
      <w:sz w:val="16"/>
      <w:szCs w:val="16"/>
    </w:rPr>
  </w:style>
  <w:style w:type="paragraph" w:styleId="TabulationPoints2" w:customStyle="1">
    <w:name w:val="Tabulation - Points 2"/>
    <w:basedOn w:val="Normal"/>
    <w:qFormat/>
    <w:pPr>
      <w:tabs>
        <w:tab w:val="left" w:pos="9072" w:leader="dot"/>
      </w:tabs>
    </w:pPr>
    <w:rPr>
      <w:sz w:val="22"/>
      <w:szCs w:val="22"/>
    </w:rPr>
  </w:style>
  <w:style w:type="paragraph" w:styleId="TabulationPoints" w:customStyle="1">
    <w:name w:val="Tabulation - Points"/>
    <w:basedOn w:val="Normal"/>
    <w:qFormat/>
    <w:pPr>
      <w:tabs>
        <w:tab w:val="left" w:pos="9072" w:leader="dot"/>
      </w:tabs>
      <w:ind w:left="284" w:hanging="0"/>
    </w:pPr>
    <w:rPr>
      <w:sz w:val="22"/>
      <w:szCs w:val="22"/>
    </w:rPr>
  </w:style>
  <w:style w:type="paragraph" w:styleId="Personnemorale" w:customStyle="1">
    <w:name w:val="Personne morale"/>
    <w:basedOn w:val="Normal"/>
    <w:qFormat/>
    <w:pPr/>
    <w:rPr>
      <w:b/>
      <w:bCs/>
      <w:sz w:val="22"/>
      <w:szCs w:val="22"/>
      <w:lang w:eastAsia="fr-FR"/>
    </w:rPr>
  </w:style>
  <w:style w:type="paragraph" w:styleId="Retraitcorpsdetexte31" w:customStyle="1">
    <w:name w:val="Retrait corps de texte 31"/>
    <w:basedOn w:val="Normal"/>
    <w:qFormat/>
    <w:pPr>
      <w:ind w:left="360" w:hanging="0"/>
      <w:jc w:val="both"/>
    </w:pPr>
    <w:rPr>
      <w:rFonts w:ascii="Arial Narrow" w:hAnsi="Arial Narrow" w:cs="Arial"/>
      <w:sz w:val="22"/>
    </w:rPr>
  </w:style>
  <w:style w:type="paragraph" w:styleId="Commentaire1" w:customStyle="1">
    <w:name w:val="Commentaire1"/>
    <w:basedOn w:val="Normal"/>
    <w:qFormat/>
    <w:pPr/>
    <w:rPr/>
  </w:style>
  <w:style w:type="paragraph" w:styleId="ListParagraph">
    <w:name w:val="List Paragraph"/>
    <w:basedOn w:val="Normal"/>
    <w:qFormat/>
    <w:pPr>
      <w:ind w:left="708" w:hanging="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tyle>
  <w:style w:type="paragraph" w:styleId="Annotationsubject">
    <w:name w:val="annotation subject"/>
    <w:basedOn w:val="Commentaire2"/>
    <w:next w:val="Commentaire2"/>
    <w:qFormat/>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LibreOffice/5.3.6.1$Windows_x86 LibreOffice_project/686f202eff87ef707079aeb7f485847613344eb7</Application>
  <Pages>7</Pages>
  <Words>1794</Words>
  <Characters>8428</Characters>
  <CharactersWithSpaces>10332</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2021-07-01T16:27:00Z</dcterms:created>
  <dc:creator>audit assurances</dc:creator>
  <dc:description/>
  <cp:keywords>VILLE</cp:keywords>
  <dc:language>fr-FR</dc:language>
  <cp:lastModifiedBy/>
  <cp:lastPrinted>2014-06-17T15:37:00Z</cp:lastPrinted>
  <dcterms:modified xsi:type="dcterms:W3CDTF">2021-07-22T15:24:33Z</dcterms:modified>
  <cp:revision>6</cp:revision>
  <dc:subject/>
  <dc:title>FORM DOMMAGES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