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szCs w:val="22"/>
        </w:rPr>
      </w:pPr>
      <w:r>
        <w:rPr>
          <w:rFonts w:cs="Arial" w:ascii="Arial" w:hAnsi="Arial"/>
          <w:b/>
        </w:rPr>
        <w:t>VILLE DE MARSEILLE</w:t>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szCs w:val="22"/>
        </w:rPr>
      </w:pPr>
      <w:r>
        <w:rPr>
          <w:b/>
          <w:sz w:val="22"/>
          <w:szCs w:val="22"/>
        </w:rPr>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szCs w:val="22"/>
        </w:rPr>
        <w:t xml:space="preserve">Lot n°6 : </w:t>
      </w:r>
      <w:r>
        <w:rPr>
          <w:b/>
          <w:bCs/>
          <w:color w:val="000000"/>
          <w:sz w:val="32"/>
          <w:szCs w:val="32"/>
        </w:rPr>
        <w:t>Assurances « Tous Risques Expositions et Œuvres d'Art »</w:t>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szCs w:val="22"/>
        </w:rPr>
      </w:pPr>
      <w:r>
        <w:rPr>
          <w:b/>
          <w:sz w:val="22"/>
          <w:szCs w:val="22"/>
        </w:rPr>
        <w:t>Appel d’Offres Ouvert</w:t>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b/>
          <w:sz w:val="22"/>
          <w:szCs w:val="22"/>
        </w:rPr>
        <w:t>Terme définitif le 31/12/202</w:t>
      </w:r>
      <w:r>
        <w:rPr>
          <w:b/>
          <w:sz w:val="22"/>
          <w:szCs w:val="22"/>
        </w:rPr>
        <w:t>5</w:t>
      </w:r>
    </w:p>
    <w:p>
      <w:pPr>
        <w:pStyle w:val="Normal"/>
        <w:keepLines/>
        <w:jc w:val="both"/>
        <w:rPr>
          <w:b/>
          <w:b/>
          <w:color w:val="000000"/>
          <w:lang w:eastAsia="fr-FR"/>
        </w:rPr>
      </w:pPr>
      <w:r>
        <w:rPr>
          <w:b/>
          <w:color w:val="000000"/>
          <w:lang w:eastAsia="fr-F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r>
    </w:p>
    <w:p>
      <w:pPr>
        <w:pStyle w:val="Normal"/>
        <w:pBdr>
          <w:top w:val="single" w:sz="4" w:space="1" w:color="000001"/>
          <w:left w:val="single" w:sz="4" w:space="4" w:color="000001"/>
          <w:bottom w:val="single" w:sz="4" w:space="1" w:color="000001"/>
          <w:right w:val="single" w:sz="4" w:space="4" w:color="000001"/>
        </w:pBdr>
        <w:spacing w:lineRule="exact" w:line="240"/>
        <w:jc w:val="center"/>
        <w:rPr>
          <w:sz w:val="40"/>
          <w:szCs w:val="40"/>
        </w:rPr>
      </w:pPr>
      <w:r>
        <w:rPr>
          <w:b/>
          <w:sz w:val="40"/>
          <w:szCs w:val="40"/>
        </w:rPr>
        <w:t>MEMOIRE TECHNIQUE</w:t>
      </w:r>
    </w:p>
    <w:p>
      <w:pPr>
        <w:pStyle w:val="Normal"/>
        <w:pBdr>
          <w:top w:val="single" w:sz="4" w:space="1" w:color="000001"/>
          <w:left w:val="single" w:sz="4" w:space="4" w:color="000001"/>
          <w:bottom w:val="single" w:sz="4" w:space="1" w:color="000001"/>
          <w:right w:val="single" w:sz="4" w:space="4" w:color="000001"/>
        </w:pBdr>
        <w:spacing w:lineRule="exact" w:line="240"/>
        <w:jc w:val="center"/>
        <w:rPr>
          <w:sz w:val="40"/>
          <w:szCs w:val="40"/>
        </w:rPr>
      </w:pPr>
      <w:r>
        <w:rPr>
          <w:sz w:val="40"/>
          <w:szCs w:val="40"/>
        </w:rPr>
      </w:r>
    </w:p>
    <w:p>
      <w:pPr>
        <w:pStyle w:val="Normal"/>
        <w:pBdr>
          <w:top w:val="single" w:sz="4" w:space="1" w:color="000001"/>
          <w:left w:val="single" w:sz="4" w:space="4" w:color="000001"/>
          <w:bottom w:val="single" w:sz="4" w:space="1" w:color="000001"/>
          <w:right w:val="single" w:sz="4" w:space="4" w:color="000001"/>
        </w:pBdr>
        <w:spacing w:lineRule="exact" w:line="240"/>
        <w:jc w:val="center"/>
        <w:rPr>
          <w:sz w:val="40"/>
          <w:szCs w:val="40"/>
        </w:rPr>
      </w:pPr>
      <w:r>
        <w:rPr>
          <w:sz w:val="40"/>
          <w:szCs w:val="40"/>
        </w:rPr>
      </w:r>
    </w:p>
    <w:p>
      <w:pPr>
        <w:pStyle w:val="Normal"/>
        <w:pBdr>
          <w:top w:val="single" w:sz="4" w:space="1" w:color="000001"/>
          <w:left w:val="single" w:sz="4" w:space="4" w:color="000001"/>
          <w:bottom w:val="single" w:sz="4" w:space="1" w:color="000001"/>
          <w:right w:val="single" w:sz="4" w:space="4" w:color="000001"/>
        </w:pBdr>
        <w:spacing w:lineRule="exact" w:line="240"/>
        <w:jc w:val="center"/>
        <w:rPr>
          <w:sz w:val="40"/>
          <w:szCs w:val="40"/>
        </w:rPr>
      </w:pPr>
      <w:r>
        <w:rPr>
          <w:sz w:val="40"/>
          <w:szCs w:val="40"/>
        </w:rPr>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w:t>A COMPLETER OBLIGATOIREMENT</w:t>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mc:AlternateContent>
          <mc:Choice Requires="wps">
            <w:drawing>
              <wp:anchor behindDoc="0" distT="0" distB="0" distL="0" distR="0" simplePos="0" locked="0" layoutInCell="1" allowOverlap="1" relativeHeight="2">
                <wp:simplePos x="0" y="0"/>
                <wp:positionH relativeFrom="column">
                  <wp:posOffset>-11430</wp:posOffset>
                </wp:positionH>
                <wp:positionV relativeFrom="paragraph">
                  <wp:posOffset>482600</wp:posOffset>
                </wp:positionV>
                <wp:extent cx="5801360" cy="4505960"/>
                <wp:effectExtent l="0" t="0" r="0" b="0"/>
                <wp:wrapNone/>
                <wp:docPr id="1" name="Forme1"/>
                <a:graphic xmlns:a="http://schemas.openxmlformats.org/drawingml/2006/main">
                  <a:graphicData uri="http://schemas.microsoft.com/office/word/2010/wordprocessingShape">
                    <wps:wsp>
                      <wps:cNvSpPr txBox="1"/>
                      <wps:spPr>
                        <a:xfrm>
                          <a:off x="0" y="0"/>
                          <a:ext cx="5800680" cy="4505400"/>
                        </a:xfrm>
                        <a:prstGeom prst="rect">
                          <a:avLst/>
                        </a:prstGeom>
                        <a:noFill/>
                        <a:ln>
                          <a:noFill/>
                        </a:ln>
                      </wps:spPr>
                      <wps:txbx>
                        <w:txbxContent>
                          <w:p>
                            <w:pPr>
                              <w:overflowPunct w:val="false"/>
                              <w:jc w:val="both"/>
                              <w:rPr/>
                            </w:pPr>
                            <w:r>
                              <w:rPr>
                                <w:sz w:val="21"/>
                                <w:szCs w:val="21"/>
                                <w:rFonts w:ascii="Arial" w:hAnsi="Arial" w:cs="Arial"/>
                                <w:lang w:eastAsia="fr-FR"/>
                              </w:rPr>
                              <w:t>La valeur technique sera notée sur 60 points au regard du mémoire technique qui doit permettre  d'analyser :</w:t>
                            </w:r>
                          </w:p>
                          <w:p>
                            <w:pPr>
                              <w:overflowPunct w:val="false"/>
                              <w:jc w:val="both"/>
                              <w:rPr/>
                            </w:pPr>
                            <w:r>
                              <w:rPr>
                                <w:sz w:val="21"/>
                                <w:szCs w:val="21"/>
                                <w:rFonts w:ascii="Arial" w:hAnsi="Arial" w:cs="Arial"/>
                                <w:color w:val="000000"/>
                                <w:lang w:eastAsia="fr-FR"/>
                              </w:rPr>
                              <w:t>- Appréciation de la qualité des conditions de l'offre : effectuée au regard des améliorations et évolutions apportées au  cahier des charges eu égard  aux  spécificités des marchés d'assurance (notée sur 42 points) :</w:t>
                            </w:r>
                          </w:p>
                          <w:p>
                            <w:pPr>
                              <w:overflowPunct w:val="false"/>
                              <w:jc w:val="both"/>
                              <w:rPr/>
                            </w:pPr>
                            <w:r>
                              <w:rPr>
                                <w:sz w:val="21"/>
                                <w:szCs w:val="21"/>
                                <w:rFonts w:ascii="Arial" w:hAnsi="Arial" w:cs="Arial"/>
                                <w:color w:val="000000"/>
                                <w:lang w:eastAsia="fr-FR"/>
                              </w:rPr>
                              <w:t>- Appréciation de la qualité des procédures de gestion des dossiers en production et en sinistre (notée sur 18 points)</w:t>
                            </w:r>
                          </w:p>
                          <w:p>
                            <w:pPr>
                              <w:overflowPunct w:val="false"/>
                              <w:ind w:left="720" w:hanging="0"/>
                              <w:jc w:val="both"/>
                              <w:rPr/>
                            </w:pPr>
                            <w:r>
                              <w:rPr>
                                <w:sz w:val="24"/>
                                <w:lang w:eastAsia="fr-FR"/>
                              </w:rPr>
                            </w:r>
                          </w:p>
                          <w:p>
                            <w:pPr>
                              <w:overflowPunct w:val="false"/>
                              <w:ind w:hanging="0"/>
                              <w:jc w:val="both"/>
                              <w:rPr/>
                            </w:pPr>
                            <w:r>
                              <w:rPr>
                                <w:sz w:val="21"/>
                                <w:szCs w:val="21"/>
                                <w:rFonts w:ascii="Arial" w:hAnsi="Arial" w:cs="Arial"/>
                                <w:color w:val="000000"/>
                                <w:lang w:val="zxx" w:eastAsia="zxx" w:bidi="zxx"/>
                              </w:rPr>
                              <w:t>Pour chaque candidat, la somme des notes obtenues aux sous-critères est appelée VT(i) (note initiale de la valeur technique).</w:t>
                            </w:r>
                          </w:p>
                          <w:p>
                            <w:pPr>
                              <w:overflowPunct w:val="false"/>
                              <w:ind w:hanging="0"/>
                              <w:jc w:val="both"/>
                              <w:rPr/>
                            </w:pPr>
                            <w:r>
                              <w:rPr>
                                <w:sz w:val="21"/>
                                <w:szCs w:val="21"/>
                                <w:rFonts w:ascii="Arial" w:hAnsi="Arial" w:cs="Arial"/>
                                <w:color w:val="000000"/>
                                <w:lang w:val="zxx" w:eastAsia="zxx" w:bidi="zxx"/>
                              </w:rPr>
                              <w:t xml:space="preserve"> </w:t>
                            </w:r>
                            <w:r>
                              <w:rPr>
                                <w:sz w:val="21"/>
                                <w:szCs w:val="21"/>
                                <w:rFonts w:ascii="Arial" w:hAnsi="Arial" w:cs="Arial"/>
                                <w:color w:val="000000"/>
                                <w:lang w:val="zxx" w:eastAsia="zxx" w:bidi="zxx"/>
                              </w:rPr>
                            </w:r>
                            <w:r>
                              <w:rPr>
                                <w:sz w:val="21"/>
                                <w:szCs w:val="21"/>
                                <w:rFonts w:ascii="Arial" w:hAnsi="Arial" w:cs="Arial"/>
                                <w:color w:val="000000"/>
                                <w:lang w:val="zxx" w:eastAsia="zxx" w:bidi="zxx"/>
                              </w:rPr>
                              <w:t>La notation finale de la valeur technique du candidat, VT(ic) (note technique corrigée), sera effectuée à l'aide de la formule suivante :</w:t>
                            </w:r>
                          </w:p>
                          <w:p>
                            <w:pPr>
                              <w:overflowPunct w:val="false"/>
                              <w:ind w:hanging="0"/>
                              <w:jc w:val="both"/>
                              <w:rPr/>
                            </w:pPr>
                            <w:r>
                              <w:rPr>
                                <w:sz w:val="21"/>
                                <w:szCs w:val="21"/>
                                <w:rFonts w:ascii="Arial" w:hAnsi="Arial" w:cs="Arial"/>
                                <w:color w:val="000000"/>
                                <w:lang w:val="zxx" w:eastAsia="zxx" w:bidi="zxx"/>
                              </w:rPr>
                            </w:r>
                            <w:r>
                              <w:rPr>
                                <w:sz w:val="21"/>
                                <w:szCs w:val="21"/>
                                <w:rFonts w:ascii="Arial" w:hAnsi="Arial" w:cs="Arial"/>
                                <w:color w:val="000000"/>
                                <w:lang w:val="zxx" w:eastAsia="zxx" w:bidi="zxx"/>
                              </w:rPr>
                              <w:t>VT(ic) = 60 x [VT(i) / VT(m)]</w:t>
                            </w:r>
                          </w:p>
                          <w:p>
                            <w:pPr>
                              <w:overflowPunct w:val="false"/>
                              <w:ind w:hanging="0"/>
                              <w:jc w:val="both"/>
                              <w:rPr/>
                            </w:pPr>
                            <w:r>
                              <w:rPr>
                                <w:sz w:val="21"/>
                                <w:rFonts w:ascii="Arial" w:hAnsi="Arial" w:cs="Arial"/>
                                <w:color w:val="000000"/>
                                <w:lang w:val="zxx" w:eastAsia="zxx"/>
                              </w:rPr>
                            </w:r>
                          </w:p>
                          <w:p>
                            <w:pPr>
                              <w:overflowPunct w:val="false"/>
                              <w:ind w:hanging="0"/>
                              <w:jc w:val="both"/>
                              <w:rPr/>
                            </w:pPr>
                            <w:r>
                              <w:rPr>
                                <w:sz w:val="21"/>
                                <w:szCs w:val="21"/>
                                <w:rFonts w:ascii="Arial" w:hAnsi="Arial" w:cs="Arial"/>
                                <w:color w:val="000000"/>
                                <w:lang w:val="zxx" w:eastAsia="zxx" w:bidi="zxx"/>
                              </w:rPr>
                              <w:t>Dans laquelle</w:t>
                            </w:r>
                          </w:p>
                          <w:p>
                            <w:pPr>
                              <w:overflowPunct w:val="false"/>
                              <w:ind w:hanging="0"/>
                              <w:jc w:val="both"/>
                              <w:rPr/>
                            </w:pPr>
                            <w:r>
                              <w:rPr>
                                <w:sz w:val="21"/>
                                <w:szCs w:val="21"/>
                                <w:rFonts w:ascii="Arial" w:hAnsi="Arial" w:cs="Arial"/>
                                <w:color w:val="000000"/>
                                <w:lang w:val="zxx" w:eastAsia="zxx" w:bidi="zxx"/>
                              </w:rPr>
                              <w:t>VT(ic) est la note finale corrigée attribuée à la valeur technique du candidat (i)</w:t>
                            </w:r>
                            <w:r>
                              <w:rPr>
                                <w:sz w:val="21"/>
                                <w:szCs w:val="21"/>
                                <w:rFonts w:ascii="Arial" w:hAnsi="Arial" w:cs="Arial"/>
                                <w:color w:val="000000"/>
                                <w:lang w:val="zxx" w:eastAsia="zxx" w:bidi="zxx"/>
                              </w:rPr>
                            </w:r>
                            <w:r>
                              <w:rPr>
                                <w:sz w:val="21"/>
                                <w:szCs w:val="21"/>
                                <w:rFonts w:ascii="Arial" w:hAnsi="Arial" w:cs="Arial"/>
                                <w:color w:val="000000"/>
                                <w:lang w:val="zxx" w:eastAsia="zxx" w:bidi="zxx"/>
                              </w:rPr>
                              <w:t>VT(i) est la note initiale de la valeur technique du candidat (i)</w:t>
                            </w:r>
                            <w:r>
                              <w:rPr>
                                <w:sz w:val="21"/>
                                <w:szCs w:val="21"/>
                                <w:rFonts w:ascii="Arial" w:hAnsi="Arial" w:cs="Arial"/>
                                <w:color w:val="000000"/>
                                <w:lang w:val="zxx" w:eastAsia="zxx" w:bidi="zxx"/>
                              </w:rPr>
                            </w:r>
                            <w:r>
                              <w:rPr>
                                <w:sz w:val="21"/>
                                <w:szCs w:val="21"/>
                                <w:rFonts w:ascii="Arial" w:hAnsi="Arial" w:cs="Arial"/>
                                <w:color w:val="000000"/>
                                <w:lang w:val="zxx" w:eastAsia="zxx" w:bidi="zxx"/>
                              </w:rPr>
                              <w:t>VT(m) est la note technique initiale la plus élevée parmi les candidats</w:t>
                            </w:r>
                            <w:r>
                              <w:rPr>
                                <w:sz w:val="21"/>
                                <w:szCs w:val="21"/>
                                <w:rFonts w:ascii="Arial" w:hAnsi="Arial" w:cs="Arial"/>
                                <w:color w:val="000000"/>
                                <w:lang w:val="zxx" w:eastAsia="zxx" w:bidi="zxx"/>
                              </w:rPr>
                            </w:r>
                            <w:r>
                              <w:rPr>
                                <w:sz w:val="21"/>
                                <w:szCs w:val="21"/>
                                <w:rFonts w:ascii="Arial" w:hAnsi="Arial" w:cs="Arial"/>
                                <w:color w:val="000000"/>
                                <w:lang w:val="zxx" w:eastAsia="zxx" w:bidi="zxx"/>
                              </w:rPr>
                              <w:t xml:space="preserve">Le nombre maximum de points sera de 60 points. </w:t>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ID="Forme1" stroked="f" style="position:absolute;margin-left:-0.9pt;margin-top:38pt;width:456.7pt;height:354.7pt" type="shapetype_202">
                <v:textbox>
                  <w:txbxContent>
                    <w:p>
                      <w:pPr>
                        <w:overflowPunct w:val="false"/>
                        <w:jc w:val="both"/>
                        <w:rPr/>
                      </w:pPr>
                      <w:r>
                        <w:rPr>
                          <w:sz w:val="21"/>
                          <w:szCs w:val="21"/>
                          <w:rFonts w:ascii="Arial" w:hAnsi="Arial" w:cs="Arial"/>
                          <w:lang w:eastAsia="fr-FR"/>
                        </w:rPr>
                        <w:t>La valeur technique sera notée sur 60 points au regard du mémoire technique qui doit permettre  d'analyser :</w:t>
                      </w:r>
                    </w:p>
                    <w:p>
                      <w:pPr>
                        <w:overflowPunct w:val="false"/>
                        <w:jc w:val="both"/>
                        <w:rPr/>
                      </w:pPr>
                      <w:r>
                        <w:rPr>
                          <w:sz w:val="21"/>
                          <w:szCs w:val="21"/>
                          <w:rFonts w:ascii="Arial" w:hAnsi="Arial" w:cs="Arial"/>
                          <w:color w:val="000000"/>
                          <w:lang w:eastAsia="fr-FR"/>
                        </w:rPr>
                        <w:t>- Appréciation de la qualité des conditions de l'offre : effectuée au regard des améliorations et évolutions apportées au  cahier des charges eu égard  aux  spécificités des marchés d'assurance (notée sur 42 points) :</w:t>
                      </w:r>
                    </w:p>
                    <w:p>
                      <w:pPr>
                        <w:overflowPunct w:val="false"/>
                        <w:jc w:val="both"/>
                        <w:rPr/>
                      </w:pPr>
                      <w:r>
                        <w:rPr>
                          <w:sz w:val="21"/>
                          <w:szCs w:val="21"/>
                          <w:rFonts w:ascii="Arial" w:hAnsi="Arial" w:cs="Arial"/>
                          <w:color w:val="000000"/>
                          <w:lang w:eastAsia="fr-FR"/>
                        </w:rPr>
                        <w:t>- Appréciation de la qualité des procédures de gestion des dossiers en production et en sinistre (notée sur 18 points)</w:t>
                      </w:r>
                    </w:p>
                    <w:p>
                      <w:pPr>
                        <w:overflowPunct w:val="false"/>
                        <w:ind w:left="720" w:hanging="0"/>
                        <w:jc w:val="both"/>
                        <w:rPr/>
                      </w:pPr>
                      <w:r>
                        <w:rPr>
                          <w:sz w:val="24"/>
                          <w:lang w:eastAsia="fr-FR"/>
                        </w:rPr>
                      </w:r>
                    </w:p>
                    <w:p>
                      <w:pPr>
                        <w:overflowPunct w:val="false"/>
                        <w:ind w:hanging="0"/>
                        <w:jc w:val="both"/>
                        <w:rPr/>
                      </w:pPr>
                      <w:r>
                        <w:rPr>
                          <w:sz w:val="21"/>
                          <w:szCs w:val="21"/>
                          <w:rFonts w:ascii="Arial" w:hAnsi="Arial" w:cs="Arial"/>
                          <w:color w:val="000000"/>
                          <w:lang w:val="zxx" w:eastAsia="zxx" w:bidi="zxx"/>
                        </w:rPr>
                        <w:t>Pour chaque candidat, la somme des notes obtenues aux sous-critères est appelée VT(i) (note initiale de la valeur technique).</w:t>
                      </w:r>
                    </w:p>
                    <w:p>
                      <w:pPr>
                        <w:overflowPunct w:val="false"/>
                        <w:ind w:hanging="0"/>
                        <w:jc w:val="both"/>
                        <w:rPr/>
                      </w:pPr>
                      <w:r>
                        <w:rPr>
                          <w:sz w:val="21"/>
                          <w:szCs w:val="21"/>
                          <w:rFonts w:ascii="Arial" w:hAnsi="Arial" w:cs="Arial"/>
                          <w:color w:val="000000"/>
                          <w:lang w:val="zxx" w:eastAsia="zxx" w:bidi="zxx"/>
                        </w:rPr>
                        <w:t xml:space="preserve"> </w:t>
                      </w:r>
                      <w:r>
                        <w:rPr>
                          <w:sz w:val="21"/>
                          <w:szCs w:val="21"/>
                          <w:rFonts w:ascii="Arial" w:hAnsi="Arial" w:cs="Arial"/>
                          <w:color w:val="000000"/>
                          <w:lang w:val="zxx" w:eastAsia="zxx" w:bidi="zxx"/>
                        </w:rPr>
                      </w:r>
                      <w:r>
                        <w:rPr>
                          <w:sz w:val="21"/>
                          <w:szCs w:val="21"/>
                          <w:rFonts w:ascii="Arial" w:hAnsi="Arial" w:cs="Arial"/>
                          <w:color w:val="000000"/>
                          <w:lang w:val="zxx" w:eastAsia="zxx" w:bidi="zxx"/>
                        </w:rPr>
                        <w:t>La notation finale de la valeur technique du candidat, VT(ic) (note technique corrigée), sera effectuée à l'aide de la formule suivante :</w:t>
                      </w:r>
                    </w:p>
                    <w:p>
                      <w:pPr>
                        <w:overflowPunct w:val="false"/>
                        <w:ind w:hanging="0"/>
                        <w:jc w:val="both"/>
                        <w:rPr/>
                      </w:pPr>
                      <w:r>
                        <w:rPr>
                          <w:sz w:val="21"/>
                          <w:szCs w:val="21"/>
                          <w:rFonts w:ascii="Arial" w:hAnsi="Arial" w:cs="Arial"/>
                          <w:color w:val="000000"/>
                          <w:lang w:val="zxx" w:eastAsia="zxx" w:bidi="zxx"/>
                        </w:rPr>
                      </w:r>
                      <w:r>
                        <w:rPr>
                          <w:sz w:val="21"/>
                          <w:szCs w:val="21"/>
                          <w:rFonts w:ascii="Arial" w:hAnsi="Arial" w:cs="Arial"/>
                          <w:color w:val="000000"/>
                          <w:lang w:val="zxx" w:eastAsia="zxx" w:bidi="zxx"/>
                        </w:rPr>
                        <w:t>VT(ic) = 60 x [VT(i) / VT(m)]</w:t>
                      </w:r>
                    </w:p>
                    <w:p>
                      <w:pPr>
                        <w:overflowPunct w:val="false"/>
                        <w:ind w:hanging="0"/>
                        <w:jc w:val="both"/>
                        <w:rPr/>
                      </w:pPr>
                      <w:r>
                        <w:rPr>
                          <w:sz w:val="21"/>
                          <w:rFonts w:ascii="Arial" w:hAnsi="Arial" w:cs="Arial"/>
                          <w:color w:val="000000"/>
                          <w:lang w:val="zxx" w:eastAsia="zxx"/>
                        </w:rPr>
                      </w:r>
                    </w:p>
                    <w:p>
                      <w:pPr>
                        <w:overflowPunct w:val="false"/>
                        <w:ind w:hanging="0"/>
                        <w:jc w:val="both"/>
                        <w:rPr/>
                      </w:pPr>
                      <w:r>
                        <w:rPr>
                          <w:sz w:val="21"/>
                          <w:szCs w:val="21"/>
                          <w:rFonts w:ascii="Arial" w:hAnsi="Arial" w:cs="Arial"/>
                          <w:color w:val="000000"/>
                          <w:lang w:val="zxx" w:eastAsia="zxx" w:bidi="zxx"/>
                        </w:rPr>
                        <w:t>Dans laquelle</w:t>
                      </w:r>
                    </w:p>
                    <w:p>
                      <w:pPr>
                        <w:overflowPunct w:val="false"/>
                        <w:ind w:hanging="0"/>
                        <w:jc w:val="both"/>
                        <w:rPr/>
                      </w:pPr>
                      <w:r>
                        <w:rPr>
                          <w:sz w:val="21"/>
                          <w:szCs w:val="21"/>
                          <w:rFonts w:ascii="Arial" w:hAnsi="Arial" w:cs="Arial"/>
                          <w:color w:val="000000"/>
                          <w:lang w:val="zxx" w:eastAsia="zxx" w:bidi="zxx"/>
                        </w:rPr>
                        <w:t>VT(ic) est la note finale corrigée attribuée à la valeur technique du candidat (i)</w:t>
                      </w:r>
                      <w:r>
                        <w:rPr>
                          <w:sz w:val="21"/>
                          <w:szCs w:val="21"/>
                          <w:rFonts w:ascii="Arial" w:hAnsi="Arial" w:cs="Arial"/>
                          <w:color w:val="000000"/>
                          <w:lang w:val="zxx" w:eastAsia="zxx" w:bidi="zxx"/>
                        </w:rPr>
                      </w:r>
                      <w:r>
                        <w:rPr>
                          <w:sz w:val="21"/>
                          <w:szCs w:val="21"/>
                          <w:rFonts w:ascii="Arial" w:hAnsi="Arial" w:cs="Arial"/>
                          <w:color w:val="000000"/>
                          <w:lang w:val="zxx" w:eastAsia="zxx" w:bidi="zxx"/>
                        </w:rPr>
                        <w:t>VT(i) est la note initiale de la valeur technique du candidat (i)</w:t>
                      </w:r>
                      <w:r>
                        <w:rPr>
                          <w:sz w:val="21"/>
                          <w:szCs w:val="21"/>
                          <w:rFonts w:ascii="Arial" w:hAnsi="Arial" w:cs="Arial"/>
                          <w:color w:val="000000"/>
                          <w:lang w:val="zxx" w:eastAsia="zxx" w:bidi="zxx"/>
                        </w:rPr>
                      </w:r>
                      <w:r>
                        <w:rPr>
                          <w:sz w:val="21"/>
                          <w:szCs w:val="21"/>
                          <w:rFonts w:ascii="Arial" w:hAnsi="Arial" w:cs="Arial"/>
                          <w:color w:val="000000"/>
                          <w:lang w:val="zxx" w:eastAsia="zxx" w:bidi="zxx"/>
                        </w:rPr>
                        <w:t>VT(m) est la note technique initiale la plus élevée parmi les candidats</w:t>
                      </w:r>
                      <w:r>
                        <w:rPr>
                          <w:sz w:val="21"/>
                          <w:szCs w:val="21"/>
                          <w:rFonts w:ascii="Arial" w:hAnsi="Arial" w:cs="Arial"/>
                          <w:color w:val="000000"/>
                          <w:lang w:val="zxx" w:eastAsia="zxx" w:bidi="zxx"/>
                        </w:rPr>
                      </w:r>
                      <w:r>
                        <w:rPr>
                          <w:sz w:val="21"/>
                          <w:szCs w:val="21"/>
                          <w:rFonts w:ascii="Arial" w:hAnsi="Arial" w:cs="Arial"/>
                          <w:color w:val="000000"/>
                          <w:lang w:val="zxx" w:eastAsia="zxx" w:bidi="zxx"/>
                        </w:rPr>
                        <w:t xml:space="preserve">Le nombre maximum de points sera de 60 points. </w:t>
                      </w:r>
                    </w:p>
                  </w:txbxContent>
                </v:textbox>
                <w10:wrap type="square"/>
                <v:fill o:detectmouseclick="t" on="false"/>
                <v:stroke color="black" joinstyle="round" endcap="flat"/>
              </v:shape>
            </w:pict>
          </mc:Fallback>
        </mc:AlternateContent>
      </w:r>
      <w:r>
        <w:br w:type="page"/>
      </w:r>
    </w:p>
    <w:p>
      <w:pPr>
        <w:pStyle w:val="Normal"/>
        <w:jc w:val="both"/>
        <w:rPr>
          <w:sz w:val="22"/>
        </w:rPr>
      </w:pPr>
      <w:r>
        <w:rPr>
          <w:sz w:val="22"/>
        </w:rPr>
      </w:r>
    </w:p>
    <w:p>
      <w:pPr>
        <w:pStyle w:val="Titre1"/>
        <w:pBdr>
          <w:top w:val="single" w:sz="4" w:space="1" w:color="000001"/>
          <w:left w:val="single" w:sz="4" w:space="4" w:color="000001"/>
          <w:bottom w:val="single" w:sz="4" w:space="1" w:color="000001"/>
          <w:right w:val="single" w:sz="4" w:space="4" w:color="000001"/>
        </w:pBdr>
        <w:shd w:val="clear" w:color="auto" w:fill="E0E0E0"/>
        <w:spacing w:lineRule="exact" w:line="240"/>
        <w:jc w:val="both"/>
        <w:rPr/>
      </w:pPr>
      <w:r>
        <w:rPr>
          <w:rFonts w:cs="Times New Roman" w:ascii="Times New Roman" w:hAnsi="Times New Roman"/>
          <w:sz w:val="22"/>
          <w:szCs w:val="22"/>
        </w:rPr>
        <w:t>INFORMATIONS SPECIFIQUES SI LE RISQUE EST PLACE AUPRES DE PLUSIEURS ASSUREURS</w:t>
      </w:r>
    </w:p>
    <w:p>
      <w:pPr>
        <w:pStyle w:val="Normal"/>
        <w:jc w:val="both"/>
        <w:rPr/>
      </w:pPr>
      <w:r>
        <w:rPr/>
      </w:r>
    </w:p>
    <w:p>
      <w:pPr>
        <w:pStyle w:val="Normal"/>
        <w:jc w:val="both"/>
        <w:rPr>
          <w:b/>
          <w:b/>
          <w:bCs/>
          <w:i/>
          <w:i/>
          <w:iCs/>
        </w:rPr>
      </w:pPr>
      <w:r>
        <w:rPr>
          <w:b/>
          <w:bCs/>
          <w:i/>
          <w:iCs/>
        </w:rPr>
        <w:t>L'absence de réponse au cadre suivant correspond à l'acceptation de garantie du risque à 100% auprès d’</w:t>
      </w:r>
      <w:r>
        <w:rPr>
          <w:b/>
          <w:bCs/>
          <w:i/>
          <w:iCs/>
          <w:u w:val="single"/>
        </w:rPr>
        <w:t>une seule</w:t>
      </w:r>
      <w:r>
        <w:rPr>
          <w:b/>
          <w:bCs/>
          <w:i/>
          <w:iCs/>
        </w:rPr>
        <w:t xml:space="preserve"> entreprise d’assurance (sans coassurance, sans assureur spécialisé, sans lignes successives…). </w:t>
      </w:r>
    </w:p>
    <w:p>
      <w:pPr>
        <w:pStyle w:val="Normal"/>
        <w:jc w:val="center"/>
        <w:rPr>
          <w:b/>
          <w:b/>
          <w:bCs/>
          <w:i/>
          <w:i/>
          <w:iCs/>
        </w:rPr>
      </w:pPr>
      <w:r>
        <w:rPr>
          <w:b/>
          <w:bCs/>
          <w:i/>
          <w:iCs/>
        </w:rPr>
      </w:r>
    </w:p>
    <w:p>
      <w:pPr>
        <w:pStyle w:val="Normal"/>
        <w:jc w:val="center"/>
        <w:rPr/>
      </w:pPr>
      <w:r>
        <w:rPr>
          <w:b/>
          <w:bCs/>
          <w:i/>
          <w:iCs/>
          <w:sz w:val="24"/>
          <w:szCs w:val="24"/>
          <w:u w:val="single"/>
        </w:rPr>
        <w:t xml:space="preserve">Si plusieurs </w:t>
      </w:r>
      <w:r>
        <w:rPr>
          <w:b/>
          <w:bCs/>
          <w:i/>
          <w:iCs/>
          <w:sz w:val="24"/>
          <w:szCs w:val="24"/>
        </w:rPr>
        <w:t>entreprises d’assurance couvrent le risque, veuillez compléter le cadre suivant :</w:t>
      </w:r>
    </w:p>
    <w:p>
      <w:pPr>
        <w:pStyle w:val="Normal"/>
        <w:rPr/>
      </w:pPr>
      <w:r>
        <w:rPr/>
      </w:r>
    </w:p>
    <w:tbl>
      <w:tblPr>
        <w:tblW w:w="9242"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firstRow="0" w:noVBand="0" w:lastRow="0" w:firstColumn="0" w:lastColumn="0" w:noHBand="0" w:val="0000"/>
      </w:tblPr>
      <w:tblGrid>
        <w:gridCol w:w="5173"/>
        <w:gridCol w:w="4068"/>
      </w:tblGrid>
      <w:tr>
        <w:trPr>
          <w:cantSplit w:val="true"/>
        </w:trPr>
        <w:tc>
          <w:tcPr>
            <w:tcW w:w="517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jc w:val="both"/>
              <w:rPr>
                <w:b/>
                <w:b/>
              </w:rPr>
            </w:pPr>
            <w:r>
              <w:rPr>
                <w:b/>
              </w:rPr>
              <w:t>Le risque est il placé à 100% au jour du dépôt des offres ?</w:t>
            </w:r>
          </w:p>
        </w:tc>
        <w:tc>
          <w:tcPr>
            <w:tcW w:w="4068" w:type="dxa"/>
            <w:tcBorders>
              <w:top w:val="single" w:sz="4" w:space="0" w:color="000001"/>
              <w:left w:val="single" w:sz="4" w:space="0" w:color="000001"/>
              <w:right w:val="single" w:sz="4" w:space="0" w:color="000001"/>
              <w:insideV w:val="single" w:sz="4" w:space="0" w:color="000001"/>
            </w:tcBorders>
            <w:shd w:color="auto" w:fill="auto" w:val="clear"/>
            <w:tcMar>
              <w:left w:w="65" w:type="dxa"/>
            </w:tcMar>
          </w:tcPr>
          <w:p>
            <w:pPr>
              <w:pStyle w:val="Normal"/>
              <w:jc w:val="center"/>
              <w:rPr>
                <w:b/>
                <w:b/>
              </w:rPr>
            </w:pPr>
            <w:r>
              <w:rPr>
                <w:b/>
              </w:rPr>
              <w:t>OUI (  ) NON (  )</w:t>
            </w:r>
          </w:p>
        </w:tc>
      </w:tr>
      <w:tr>
        <w:trPr>
          <w:cantSplit w:val="true"/>
        </w:trPr>
        <w:tc>
          <w:tcPr>
            <w:tcW w:w="517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jc w:val="both"/>
              <w:rPr/>
            </w:pPr>
            <w:r>
              <w:rPr>
                <w:b/>
              </w:rPr>
              <w:t>Dans la négative</w:t>
            </w:r>
            <w:r>
              <w:rPr/>
              <w:t>, délai maximal pour placer le risque à 100% </w:t>
            </w:r>
          </w:p>
        </w:tc>
        <w:tc>
          <w:tcPr>
            <w:tcW w:w="4068"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both"/>
              <w:rPr/>
            </w:pPr>
            <w:r>
              <w:rPr/>
            </w:r>
          </w:p>
          <w:p>
            <w:pPr>
              <w:pStyle w:val="Normal"/>
              <w:jc w:val="both"/>
              <w:rPr/>
            </w:pPr>
            <w:r>
              <w:rPr/>
            </w:r>
          </w:p>
        </w:tc>
      </w:tr>
      <w:tr>
        <w:trPr>
          <w:cantSplit w:val="true"/>
        </w:trPr>
        <w:tc>
          <w:tcPr>
            <w:tcW w:w="517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jc w:val="both"/>
              <w:rPr/>
            </w:pPr>
            <w:r>
              <w:rPr>
                <w:b/>
              </w:rPr>
              <w:t>Nature du groupement</w:t>
            </w:r>
            <w:r>
              <w:rPr/>
              <w:t xml:space="preserve"> (précisez) :</w:t>
            </w:r>
          </w:p>
          <w:p>
            <w:pPr>
              <w:pStyle w:val="Normal"/>
              <w:widowControl/>
              <w:numPr>
                <w:ilvl w:val="0"/>
                <w:numId w:val="5"/>
              </w:numPr>
              <w:tabs>
                <w:tab w:val="right" w:pos="3969" w:leader="dot"/>
              </w:tabs>
              <w:suppressAutoHyphens w:val="false"/>
              <w:jc w:val="both"/>
              <w:rPr/>
            </w:pPr>
            <w:r>
              <w:rPr/>
              <w:t>Coassurance</w:t>
              <w:tab/>
              <w:t>(  )</w:t>
            </w:r>
          </w:p>
          <w:p>
            <w:pPr>
              <w:pStyle w:val="Normal"/>
              <w:widowControl/>
              <w:numPr>
                <w:ilvl w:val="0"/>
                <w:numId w:val="5"/>
              </w:numPr>
              <w:tabs>
                <w:tab w:val="right" w:pos="3969" w:leader="dot"/>
              </w:tabs>
              <w:suppressAutoHyphens w:val="false"/>
              <w:jc w:val="both"/>
              <w:rPr/>
            </w:pPr>
            <w:r>
              <w:rPr/>
              <w:t>Lignes successives</w:t>
              <w:tab/>
              <w:t>(  )</w:t>
            </w:r>
          </w:p>
          <w:p>
            <w:pPr>
              <w:pStyle w:val="Normal"/>
              <w:widowControl/>
              <w:numPr>
                <w:ilvl w:val="0"/>
                <w:numId w:val="5"/>
              </w:numPr>
              <w:tabs>
                <w:tab w:val="right" w:pos="3969" w:leader="dot"/>
              </w:tabs>
              <w:suppressAutoHyphens w:val="false"/>
              <w:jc w:val="both"/>
              <w:rPr/>
            </w:pPr>
            <w:r>
              <w:rPr/>
              <w:t>Différents assureurs spécialisés</w:t>
              <w:tab/>
              <w:t>(  )</w:t>
            </w:r>
          </w:p>
          <w:p>
            <w:pPr>
              <w:pStyle w:val="Normal"/>
              <w:widowControl/>
              <w:numPr>
                <w:ilvl w:val="0"/>
                <w:numId w:val="5"/>
              </w:numPr>
              <w:tabs>
                <w:tab w:val="right" w:pos="3969" w:leader="dot"/>
              </w:tabs>
              <w:suppressAutoHyphens w:val="false"/>
              <w:jc w:val="both"/>
              <w:rPr/>
            </w:pPr>
            <w:r>
              <w:rPr/>
              <w:t>Autre (à préciser)</w:t>
              <w:tab/>
              <w:t>(  )</w:t>
            </w:r>
          </w:p>
        </w:tc>
        <w:tc>
          <w:tcPr>
            <w:tcW w:w="40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both"/>
              <w:rPr/>
            </w:pPr>
            <w:r>
              <w:rPr/>
            </w:r>
          </w:p>
        </w:tc>
      </w:tr>
    </w:tbl>
    <w:p>
      <w:pPr>
        <w:pStyle w:val="Normal"/>
        <w:rPr/>
      </w:pPr>
      <w:r>
        <w:rPr/>
      </w:r>
    </w:p>
    <w:tbl>
      <w:tblPr>
        <w:tblW w:w="9241"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firstRow="0" w:noVBand="0" w:lastRow="0" w:firstColumn="0" w:lastColumn="0" w:noHBand="0" w:val="0000"/>
      </w:tblPr>
      <w:tblGrid>
        <w:gridCol w:w="2970"/>
        <w:gridCol w:w="2203"/>
        <w:gridCol w:w="1985"/>
        <w:gridCol w:w="2082"/>
      </w:tblGrid>
      <w:tr>
        <w:trPr/>
        <w:tc>
          <w:tcPr>
            <w:tcW w:w="2970" w:type="dxa"/>
            <w:tcBorders>
              <w:top w:val="single" w:sz="4" w:space="0" w:color="000001"/>
              <w:left w:val="single" w:sz="4" w:space="0" w:color="000001"/>
              <w:bottom w:val="single" w:sz="4" w:space="0" w:color="000001"/>
              <w:insideH w:val="single" w:sz="4" w:space="0" w:color="000001"/>
            </w:tcBorders>
            <w:shd w:color="auto" w:fill="E0E0E0" w:val="clear"/>
            <w:tcMar>
              <w:left w:w="65" w:type="dxa"/>
            </w:tcMar>
          </w:tcPr>
          <w:p>
            <w:pPr>
              <w:pStyle w:val="Normal"/>
              <w:snapToGrid w:val="false"/>
              <w:jc w:val="center"/>
              <w:rPr>
                <w:b/>
                <w:b/>
                <w:bCs/>
              </w:rPr>
            </w:pPr>
            <w:r>
              <w:rPr>
                <w:b/>
                <w:bCs/>
              </w:rPr>
            </w:r>
          </w:p>
        </w:tc>
        <w:tc>
          <w:tcPr>
            <w:tcW w:w="2203" w:type="dxa"/>
            <w:tcBorders>
              <w:top w:val="single" w:sz="4" w:space="0" w:color="000001"/>
              <w:left w:val="single" w:sz="4" w:space="0" w:color="000001"/>
              <w:bottom w:val="single" w:sz="4" w:space="0" w:color="000001"/>
              <w:insideH w:val="single" w:sz="4" w:space="0" w:color="000001"/>
            </w:tcBorders>
            <w:shd w:color="auto" w:fill="E0E0E0" w:val="clear"/>
            <w:tcMar>
              <w:left w:w="65" w:type="dxa"/>
            </w:tcMar>
          </w:tcPr>
          <w:p>
            <w:pPr>
              <w:pStyle w:val="Normal"/>
              <w:jc w:val="center"/>
              <w:rPr>
                <w:b/>
                <w:b/>
                <w:bCs/>
              </w:rPr>
            </w:pPr>
            <w:r>
              <w:rPr>
                <w:b/>
                <w:bCs/>
              </w:rPr>
              <w:t>En cas de co-assurance (*)</w:t>
            </w:r>
          </w:p>
        </w:tc>
        <w:tc>
          <w:tcPr>
            <w:tcW w:w="1985" w:type="dxa"/>
            <w:tcBorders>
              <w:top w:val="single" w:sz="4" w:space="0" w:color="000001"/>
              <w:left w:val="single" w:sz="4" w:space="0" w:color="000001"/>
              <w:bottom w:val="single" w:sz="4" w:space="0" w:color="000001"/>
              <w:insideH w:val="single" w:sz="4" w:space="0" w:color="000001"/>
            </w:tcBorders>
            <w:shd w:color="auto" w:fill="E0E0E0" w:val="clear"/>
            <w:tcMar>
              <w:left w:w="65" w:type="dxa"/>
            </w:tcMar>
          </w:tcPr>
          <w:p>
            <w:pPr>
              <w:pStyle w:val="Normal"/>
              <w:jc w:val="center"/>
              <w:rPr>
                <w:b/>
                <w:b/>
                <w:bCs/>
              </w:rPr>
            </w:pPr>
            <w:r>
              <w:rPr>
                <w:b/>
                <w:bCs/>
              </w:rPr>
              <w:t xml:space="preserve">Ligne successive </w:t>
            </w:r>
          </w:p>
          <w:p>
            <w:pPr>
              <w:pStyle w:val="Normal"/>
              <w:jc w:val="center"/>
              <w:rPr>
                <w:b/>
                <w:b/>
                <w:bCs/>
              </w:rPr>
            </w:pPr>
            <w:r>
              <w:rPr>
                <w:b/>
                <w:bCs/>
              </w:rPr>
              <w:t>(*)</w:t>
            </w:r>
          </w:p>
        </w:tc>
        <w:tc>
          <w:tcPr>
            <w:tcW w:w="2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0E0E0" w:val="clear"/>
            <w:tcMar>
              <w:left w:w="65" w:type="dxa"/>
            </w:tcMar>
          </w:tcPr>
          <w:p>
            <w:pPr>
              <w:pStyle w:val="Normal"/>
              <w:jc w:val="center"/>
              <w:rPr/>
            </w:pPr>
            <w:r>
              <w:rPr>
                <w:b/>
                <w:bCs/>
              </w:rPr>
              <w:t>Assureurs spécialisés (*)</w:t>
            </w:r>
          </w:p>
        </w:tc>
      </w:tr>
      <w:tr>
        <w:trPr/>
        <w:tc>
          <w:tcPr>
            <w:tcW w:w="297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rPr/>
            </w:pPr>
            <w:r>
              <w:rPr/>
              <w:t>Si OUI, précisez le nom</w:t>
            </w:r>
          </w:p>
          <w:p>
            <w:pPr>
              <w:pStyle w:val="Normal"/>
              <w:rPr/>
            </w:pPr>
            <w:r>
              <w:rPr/>
            </w:r>
          </w:p>
          <w:p>
            <w:pPr>
              <w:pStyle w:val="Normal"/>
              <w:rPr/>
            </w:pPr>
            <w:r>
              <w:rPr/>
              <w:t>Apériteur (assureur N°1) :</w:t>
            </w:r>
          </w:p>
          <w:p>
            <w:pPr>
              <w:pStyle w:val="Normal"/>
              <w:rPr/>
            </w:pPr>
            <w:r>
              <w:rPr/>
            </w:r>
          </w:p>
          <w:p>
            <w:pPr>
              <w:pStyle w:val="Normal"/>
              <w:rPr/>
            </w:pPr>
            <w:r>
              <w:rPr/>
              <w:t>Assureur n°2 :</w:t>
            </w:r>
          </w:p>
          <w:p>
            <w:pPr>
              <w:pStyle w:val="Normal"/>
              <w:rPr/>
            </w:pPr>
            <w:r>
              <w:rPr/>
            </w:r>
          </w:p>
          <w:p>
            <w:pPr>
              <w:pStyle w:val="Normal"/>
              <w:rPr/>
            </w:pPr>
            <w:r>
              <w:rPr/>
              <w:t xml:space="preserve">Assureur n°3 : </w:t>
            </w:r>
          </w:p>
          <w:p>
            <w:pPr>
              <w:pStyle w:val="Normal"/>
              <w:rPr/>
            </w:pPr>
            <w:r>
              <w:rPr/>
            </w:r>
          </w:p>
          <w:p>
            <w:pPr>
              <w:pStyle w:val="Normal"/>
              <w:rPr/>
            </w:pPr>
            <w:r>
              <w:rPr/>
              <w:t>TOTAL =</w:t>
            </w:r>
          </w:p>
        </w:tc>
        <w:tc>
          <w:tcPr>
            <w:tcW w:w="220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jc w:val="right"/>
              <w:rPr/>
            </w:pPr>
            <w:r>
              <w:rPr/>
            </w:r>
          </w:p>
          <w:p>
            <w:pPr>
              <w:pStyle w:val="Normal"/>
              <w:jc w:val="right"/>
              <w:rPr/>
            </w:pPr>
            <w:r>
              <w:rPr/>
            </w:r>
          </w:p>
          <w:p>
            <w:pPr>
              <w:pStyle w:val="Normal"/>
              <w:jc w:val="right"/>
              <w:rPr/>
            </w:pPr>
            <w:r>
              <w:rPr/>
              <w:t>%</w:t>
            </w:r>
          </w:p>
          <w:p>
            <w:pPr>
              <w:pStyle w:val="Normal"/>
              <w:jc w:val="right"/>
              <w:rPr/>
            </w:pPr>
            <w:r>
              <w:rPr/>
            </w:r>
          </w:p>
          <w:p>
            <w:pPr>
              <w:pStyle w:val="Normal"/>
              <w:jc w:val="right"/>
              <w:rPr/>
            </w:pPr>
            <w:r>
              <w:rPr/>
              <w:t>%</w:t>
            </w:r>
          </w:p>
          <w:p>
            <w:pPr>
              <w:pStyle w:val="Normal"/>
              <w:jc w:val="right"/>
              <w:rPr/>
            </w:pPr>
            <w:r>
              <w:rPr/>
            </w:r>
          </w:p>
          <w:p>
            <w:pPr>
              <w:pStyle w:val="Normal"/>
              <w:jc w:val="right"/>
              <w:rPr/>
            </w:pPr>
            <w:r>
              <w:rPr>
                <w:u w:val="single"/>
              </w:rPr>
              <w:t xml:space="preserve">              </w:t>
            </w:r>
            <w:r>
              <w:rPr>
                <w:u w:val="single"/>
              </w:rPr>
              <w:t xml:space="preserve">% </w:t>
            </w:r>
          </w:p>
          <w:p>
            <w:pPr>
              <w:pStyle w:val="Normal"/>
              <w:jc w:val="right"/>
              <w:rPr/>
            </w:pPr>
            <w:r>
              <w:rPr/>
            </w:r>
          </w:p>
          <w:p>
            <w:pPr>
              <w:pStyle w:val="Normal"/>
              <w:jc w:val="right"/>
              <w:rPr/>
            </w:pPr>
            <w:r>
              <w:rPr/>
              <w:t>%</w:t>
            </w:r>
          </w:p>
        </w:tc>
        <w:tc>
          <w:tcPr>
            <w:tcW w:w="198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jc w:val="right"/>
              <w:rPr/>
            </w:pPr>
            <w:r>
              <w:rPr/>
            </w:r>
          </w:p>
          <w:p>
            <w:pPr>
              <w:pStyle w:val="Normal"/>
              <w:jc w:val="right"/>
              <w:rPr/>
            </w:pPr>
            <w:r>
              <w:rPr/>
            </w:r>
          </w:p>
          <w:p>
            <w:pPr>
              <w:pStyle w:val="Normal"/>
              <w:jc w:val="right"/>
              <w:rPr/>
            </w:pPr>
            <w:r>
              <w:rPr/>
              <w:t>%</w:t>
            </w:r>
          </w:p>
          <w:p>
            <w:pPr>
              <w:pStyle w:val="Normal"/>
              <w:jc w:val="right"/>
              <w:rPr/>
            </w:pPr>
            <w:r>
              <w:rPr/>
            </w:r>
          </w:p>
          <w:p>
            <w:pPr>
              <w:pStyle w:val="Normal"/>
              <w:jc w:val="right"/>
              <w:rPr/>
            </w:pPr>
            <w:r>
              <w:rPr/>
              <w:t>%</w:t>
            </w:r>
          </w:p>
          <w:p>
            <w:pPr>
              <w:pStyle w:val="Normal"/>
              <w:jc w:val="right"/>
              <w:rPr/>
            </w:pPr>
            <w:r>
              <w:rPr/>
            </w:r>
          </w:p>
          <w:p>
            <w:pPr>
              <w:pStyle w:val="Normal"/>
              <w:jc w:val="right"/>
              <w:rPr/>
            </w:pPr>
            <w:r>
              <w:rPr>
                <w:u w:val="single"/>
              </w:rPr>
              <w:t xml:space="preserve">              </w:t>
            </w:r>
            <w:r>
              <w:rPr>
                <w:u w:val="single"/>
              </w:rPr>
              <w:t xml:space="preserve">% </w:t>
            </w:r>
          </w:p>
          <w:p>
            <w:pPr>
              <w:pStyle w:val="Normal"/>
              <w:jc w:val="right"/>
              <w:rPr/>
            </w:pPr>
            <w:r>
              <w:rPr/>
            </w:r>
          </w:p>
          <w:p>
            <w:pPr>
              <w:pStyle w:val="Normal"/>
              <w:jc w:val="right"/>
              <w:rPr/>
            </w:pPr>
            <w:r>
              <w:rPr/>
              <w:t>%</w:t>
            </w:r>
          </w:p>
        </w:tc>
        <w:tc>
          <w:tcPr>
            <w:tcW w:w="2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right"/>
              <w:rPr/>
            </w:pPr>
            <w:r>
              <w:rPr/>
            </w:r>
          </w:p>
          <w:p>
            <w:pPr>
              <w:pStyle w:val="Normal"/>
              <w:jc w:val="right"/>
              <w:rPr/>
            </w:pPr>
            <w:r>
              <w:rPr/>
            </w:r>
          </w:p>
          <w:p>
            <w:pPr>
              <w:pStyle w:val="Normal"/>
              <w:jc w:val="right"/>
              <w:rPr/>
            </w:pPr>
            <w:r>
              <w:rPr/>
              <w:t>%</w:t>
            </w:r>
          </w:p>
          <w:p>
            <w:pPr>
              <w:pStyle w:val="Normal"/>
              <w:jc w:val="right"/>
              <w:rPr/>
            </w:pPr>
            <w:r>
              <w:rPr/>
            </w:r>
          </w:p>
          <w:p>
            <w:pPr>
              <w:pStyle w:val="Normal"/>
              <w:jc w:val="right"/>
              <w:rPr/>
            </w:pPr>
            <w:r>
              <w:rPr/>
              <w:t>%</w:t>
            </w:r>
          </w:p>
          <w:p>
            <w:pPr>
              <w:pStyle w:val="Normal"/>
              <w:jc w:val="right"/>
              <w:rPr/>
            </w:pPr>
            <w:r>
              <w:rPr/>
            </w:r>
          </w:p>
          <w:p>
            <w:pPr>
              <w:pStyle w:val="Normal"/>
              <w:jc w:val="right"/>
              <w:rPr/>
            </w:pPr>
            <w:r>
              <w:rPr>
                <w:u w:val="single"/>
              </w:rPr>
              <w:t xml:space="preserve">                </w:t>
            </w:r>
            <w:r>
              <w:rPr>
                <w:u w:val="single"/>
              </w:rPr>
              <w:t xml:space="preserve">%               </w:t>
            </w:r>
          </w:p>
          <w:p>
            <w:pPr>
              <w:pStyle w:val="Normal"/>
              <w:jc w:val="right"/>
              <w:rPr/>
            </w:pPr>
            <w:r>
              <w:rPr/>
            </w:r>
          </w:p>
          <w:p>
            <w:pPr>
              <w:pStyle w:val="Normal"/>
              <w:jc w:val="right"/>
              <w:rPr/>
            </w:pPr>
            <w:r>
              <w:rPr/>
              <w:t>%</w:t>
            </w:r>
          </w:p>
        </w:tc>
      </w:tr>
      <w:tr>
        <w:trPr/>
        <w:tc>
          <w:tcPr>
            <w:tcW w:w="297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rPr/>
            </w:pPr>
            <w:r>
              <w:rPr/>
              <w:t xml:space="preserve">Taux de co-assurance ou de placement garanti par l'assureur : </w:t>
            </w:r>
          </w:p>
        </w:tc>
        <w:tc>
          <w:tcPr>
            <w:tcW w:w="220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rPr>
                <w:u w:val="single"/>
              </w:rPr>
            </w:pPr>
            <w:r>
              <w:rPr/>
              <w:t>Tx apérit° =                  %</w:t>
            </w:r>
          </w:p>
          <w:p>
            <w:pPr>
              <w:pStyle w:val="Normal"/>
              <w:rPr/>
            </w:pPr>
            <w:r>
              <w:rPr>
                <w:u w:val="single"/>
              </w:rPr>
              <w:t>Coass =                        %</w:t>
            </w:r>
          </w:p>
          <w:p>
            <w:pPr>
              <w:pStyle w:val="Normal"/>
              <w:rPr/>
            </w:pPr>
            <w:r>
              <w:rPr/>
            </w:r>
          </w:p>
          <w:p>
            <w:pPr>
              <w:pStyle w:val="Normal"/>
              <w:rPr/>
            </w:pPr>
            <w:r>
              <w:rPr/>
              <w:t>Total =                         %</w:t>
            </w:r>
          </w:p>
        </w:tc>
        <w:tc>
          <w:tcPr>
            <w:tcW w:w="198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rPr>
                <w:u w:val="single"/>
                <w:lang w:val="en-GB"/>
              </w:rPr>
            </w:pPr>
            <w:r>
              <w:rPr/>
              <w:t>Tx apérit° =              %</w:t>
            </w:r>
          </w:p>
          <w:p>
            <w:pPr>
              <w:pStyle w:val="Normal"/>
              <w:rPr>
                <w:lang w:val="en-GB"/>
              </w:rPr>
            </w:pPr>
            <w:r>
              <w:rPr>
                <w:u w:val="single"/>
                <w:lang w:val="en-GB"/>
              </w:rPr>
              <w:t>Coass =                    %</w:t>
            </w:r>
          </w:p>
          <w:p>
            <w:pPr>
              <w:pStyle w:val="Normal"/>
              <w:rPr>
                <w:lang w:val="en-GB"/>
              </w:rPr>
            </w:pPr>
            <w:r>
              <w:rPr>
                <w:lang w:val="en-GB"/>
              </w:rPr>
            </w:r>
          </w:p>
          <w:p>
            <w:pPr>
              <w:pStyle w:val="Normal"/>
              <w:rPr>
                <w:lang w:val="en-GB"/>
              </w:rPr>
            </w:pPr>
            <w:r>
              <w:rPr>
                <w:lang w:val="en-GB"/>
              </w:rPr>
              <w:t>Total =                     %</w:t>
            </w:r>
          </w:p>
        </w:tc>
        <w:tc>
          <w:tcPr>
            <w:tcW w:w="2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rPr>
                <w:u w:val="single"/>
                <w:lang w:val="en-GB"/>
              </w:rPr>
            </w:pPr>
            <w:r>
              <w:rPr>
                <w:lang w:val="en-GB"/>
              </w:rPr>
              <w:t>Tx apérit° =               %</w:t>
            </w:r>
          </w:p>
          <w:p>
            <w:pPr>
              <w:pStyle w:val="Normal"/>
              <w:rPr>
                <w:lang w:val="en-GB"/>
              </w:rPr>
            </w:pPr>
            <w:r>
              <w:rPr>
                <w:u w:val="single"/>
                <w:lang w:val="en-GB"/>
              </w:rPr>
              <w:t>Coass =                      %</w:t>
            </w:r>
          </w:p>
          <w:p>
            <w:pPr>
              <w:pStyle w:val="Normal"/>
              <w:rPr>
                <w:lang w:val="en-GB"/>
              </w:rPr>
            </w:pPr>
            <w:r>
              <w:rPr>
                <w:lang w:val="en-GB"/>
              </w:rPr>
            </w:r>
          </w:p>
          <w:p>
            <w:pPr>
              <w:pStyle w:val="Normal"/>
              <w:rPr/>
            </w:pPr>
            <w:r>
              <w:rPr/>
              <w:t>Total =                       %</w:t>
            </w:r>
          </w:p>
        </w:tc>
      </w:tr>
    </w:tbl>
    <w:p>
      <w:pPr>
        <w:pStyle w:val="Normal"/>
        <w:rPr/>
      </w:pPr>
      <w:r>
        <w:rPr/>
        <w:t>(*) : si besoin, le candidat précisera (par exemple : en option, en variante…)</w:t>
      </w:r>
    </w:p>
    <w:p>
      <w:pPr>
        <w:pStyle w:val="Normal"/>
        <w:rPr/>
      </w:pPr>
      <w:r>
        <w:rPr/>
        <w:t>Tx  apérit°</w:t>
        <w:tab/>
        <w:t>= Taux d'apérition</w:t>
      </w:r>
    </w:p>
    <w:p>
      <w:pPr>
        <w:pStyle w:val="Normal"/>
        <w:rPr/>
      </w:pPr>
      <w:r>
        <w:rPr/>
        <w:t>Coass</w:t>
        <w:tab/>
        <w:tab/>
        <w:t>= Taux de co-Assurance ou Taux de placement (si besoin précisez)</w:t>
      </w:r>
    </w:p>
    <w:p>
      <w:pPr>
        <w:pStyle w:val="Normal"/>
        <w:rPr/>
      </w:pPr>
      <w:r>
        <w:rPr/>
        <w:t>Total</w:t>
        <w:tab/>
        <w:tab/>
        <w:t>= Total garanti par l'apériteur</w:t>
      </w:r>
    </w:p>
    <w:p>
      <w:pPr>
        <w:pStyle w:val="Normal"/>
        <w:jc w:val="both"/>
        <w:rPr/>
      </w:pPr>
      <w:r>
        <w:rPr/>
      </w:r>
    </w:p>
    <w:p>
      <w:pPr>
        <w:pStyle w:val="Normal"/>
        <w:jc w:val="both"/>
        <w:rPr/>
      </w:pPr>
      <w:r>
        <w:rPr/>
        <w:t>(*) Lignes successives : détailler les lignes accordées et si besoin la co-assurance proposée.</w:t>
      </w:r>
    </w:p>
    <w:p>
      <w:pPr>
        <w:pStyle w:val="Normal"/>
        <w:jc w:val="both"/>
        <w:rPr/>
      </w:pPr>
      <w:r>
        <w:rPr/>
      </w:r>
    </w:p>
    <w:p>
      <w:pPr>
        <w:pStyle w:val="Normal"/>
        <w:jc w:val="both"/>
        <w:rPr>
          <w:color w:val="FF0000"/>
        </w:rPr>
      </w:pPr>
      <w:r>
        <w:rPr/>
        <w:t>(*) Assureurs spécialisés :  détaillez les risques garantis par chaque assureur et/ou, pour chacun, le pourcentage de placement du risque.</w:t>
      </w:r>
    </w:p>
    <w:p>
      <w:pPr>
        <w:pStyle w:val="Normal"/>
        <w:jc w:val="both"/>
        <w:rPr>
          <w:color w:val="FF0000"/>
        </w:rPr>
      </w:pPr>
      <w:r>
        <w:rPr>
          <w:color w:val="FF0000"/>
        </w:rPr>
      </w:r>
      <w:r>
        <w:br w:type="page"/>
      </w:r>
    </w:p>
    <w:p>
      <w:pPr>
        <w:pStyle w:val="Normal"/>
        <w:rPr>
          <w:color w:val="FF0000"/>
          <w:sz w:val="22"/>
        </w:rPr>
      </w:pPr>
      <w:r>
        <w:rPr>
          <w:color w:val="FF0000"/>
          <w:sz w:val="22"/>
        </w:rPr>
      </w:r>
    </w:p>
    <w:p>
      <w:pPr>
        <w:pStyle w:val="Titre1"/>
        <w:pBdr>
          <w:top w:val="single" w:sz="4" w:space="1" w:color="000001"/>
          <w:left w:val="single" w:sz="4" w:space="4" w:color="000001"/>
          <w:bottom w:val="single" w:sz="4" w:space="1" w:color="000001"/>
          <w:right w:val="single" w:sz="4" w:space="4" w:color="000001"/>
        </w:pBdr>
        <w:shd w:val="clear" w:color="auto" w:fill="E0E0E0"/>
        <w:rPr/>
      </w:pPr>
      <w:r>
        <w:rPr>
          <w:rFonts w:cs="Times New Roman" w:ascii="Times New Roman" w:hAnsi="Times New Roman"/>
          <w:sz w:val="22"/>
          <w:szCs w:val="22"/>
        </w:rPr>
        <w:t>PRECISIONS ADMINISTRATIVES</w:t>
      </w:r>
    </w:p>
    <w:p>
      <w:pPr>
        <w:pStyle w:val="Titre5"/>
        <w:numPr>
          <w:ilvl w:val="0"/>
          <w:numId w:val="0"/>
        </w:numPr>
        <w:jc w:val="both"/>
        <w:rPr>
          <w:rFonts w:ascii="Times New Roman" w:hAnsi="Times New Roman" w:cs="Times New Roman"/>
          <w:sz w:val="22"/>
          <w:szCs w:val="22"/>
        </w:rPr>
      </w:pPr>
      <w:r>
        <w:rPr>
          <w:rFonts w:cs="Times New Roman" w:ascii="Times New Roman" w:hAnsi="Times New Roman"/>
          <w:sz w:val="22"/>
          <w:szCs w:val="22"/>
        </w:rPr>
      </w:r>
    </w:p>
    <w:tbl>
      <w:tblPr>
        <w:tblW w:w="928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636"/>
        <w:gridCol w:w="6042"/>
        <w:gridCol w:w="2606"/>
      </w:tblGrid>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7"/>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Libération de la dette :</w:t>
            </w:r>
            <w:r>
              <w:rPr>
                <w:sz w:val="22"/>
                <w:szCs w:val="22"/>
              </w:rPr>
              <w:t xml:space="preserve"> le courtier et la Société d’Assurances reconnaissent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que les primes payées par la Collectivité entre les mains d’un courtier libèrent la Collectivité de sa dette vis à vis de la Société d’assurances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que les indemnisations versées par la Société d’Assurances entre les mains du courtier ne libèrent la dette de la Société d’Assurances, qu’une fois les fonds encaissés par la Collectivité</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7"/>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 xml:space="preserve">Note de couverture :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Cette proposition vaut-elle note de couverture, si la Collectivité confirme son acceptation de l’offre à l'assureur ou à l’intermédiaire avant la date d'effet des garanties.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Délai de remise de la note de couverture à compter de la date de notification du marché</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Délai de remise</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Veuillez indiquer les références du contrat si votre offre est retenue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Contrat n°:</w:t>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7"/>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 xml:space="preserve">Délai de remise du contrat définitif :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widowControl/>
              <w:numPr>
                <w:ilvl w:val="1"/>
                <w:numId w:val="7"/>
              </w:numPr>
              <w:suppressAutoHyphens w:val="false"/>
              <w:jc w:val="left"/>
              <w:rPr>
                <w:rFonts w:ascii="Times New Roman" w:hAnsi="Times New Roman" w:cs="Times New Roman"/>
                <w:sz w:val="22"/>
                <w:szCs w:val="22"/>
              </w:rPr>
            </w:pPr>
            <w:r>
              <w:rPr>
                <w:rFonts w:cs="Times New Roman" w:ascii="Times New Roman" w:hAnsi="Times New Roman"/>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rPr>
                <w:rFonts w:ascii="Times New Roman" w:hAnsi="Times New Roman" w:cs="Times New Roman"/>
                <w:sz w:val="22"/>
                <w:szCs w:val="22"/>
              </w:rPr>
            </w:pPr>
            <w:r>
              <w:rPr>
                <w:rFonts w:cs="Times New Roman" w:ascii="Times New Roman" w:hAnsi="Times New Roman"/>
                <w:sz w:val="22"/>
                <w:szCs w:val="22"/>
              </w:rPr>
              <w:t>Acceptez-vous que la notification du présent marché vaille contrat d’assurance et partant que vous ne remettrez pas de contrat d’assurance définitif</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widowControl/>
              <w:numPr>
                <w:ilvl w:val="1"/>
                <w:numId w:val="7"/>
              </w:numPr>
              <w:suppressAutoHyphens w:val="false"/>
              <w:jc w:val="left"/>
              <w:rPr>
                <w:rFonts w:ascii="Times New Roman" w:hAnsi="Times New Roman" w:cs="Times New Roman"/>
                <w:sz w:val="22"/>
                <w:szCs w:val="22"/>
              </w:rPr>
            </w:pPr>
            <w:r>
              <w:rPr>
                <w:rFonts w:cs="Times New Roman" w:ascii="Times New Roman" w:hAnsi="Times New Roman"/>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rPr>
                <w:rFonts w:ascii="Times New Roman" w:hAnsi="Times New Roman" w:cs="Times New Roman"/>
                <w:sz w:val="22"/>
                <w:szCs w:val="22"/>
                <w:u w:val="single"/>
              </w:rPr>
            </w:pPr>
            <w:r>
              <w:rPr>
                <w:rFonts w:cs="Times New Roman" w:ascii="Times New Roman" w:hAnsi="Times New Roman"/>
                <w:sz w:val="22"/>
                <w:szCs w:val="22"/>
              </w:rPr>
              <w:t>Dans la négative, délai de remise du contrat d’assurance définitif conforme à l’engagement de ce jour à compter de la notification</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Délai de remise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widowControl/>
              <w:numPr>
                <w:ilvl w:val="1"/>
                <w:numId w:val="7"/>
              </w:numPr>
              <w:suppressAutoHyphens w:val="false"/>
              <w:jc w:val="left"/>
              <w:rPr>
                <w:rFonts w:ascii="Times New Roman" w:hAnsi="Times New Roman" w:cs="Times New Roman"/>
                <w:sz w:val="22"/>
                <w:szCs w:val="22"/>
              </w:rPr>
            </w:pPr>
            <w:r>
              <w:rPr>
                <w:rFonts w:cs="Times New Roman" w:ascii="Times New Roman" w:hAnsi="Times New Roman"/>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rPr>
                <w:rFonts w:ascii="Times New Roman" w:hAnsi="Times New Roman" w:cs="Times New Roman"/>
                <w:sz w:val="22"/>
              </w:rPr>
            </w:pPr>
            <w:r>
              <w:rPr>
                <w:rFonts w:cs="Times New Roman" w:ascii="Times New Roman" w:hAnsi="Times New Roman"/>
                <w:sz w:val="22"/>
              </w:rPr>
              <w:t>Alors que vous vous seriez engagé à ne pas remettre un contrat définitif (voir supra), acceptez-vous, si demande vous est faites de remettre aux services gestionnaires un duplicata conforme à l’offre remise ?</w:t>
            </w:r>
          </w:p>
          <w:p>
            <w:pPr>
              <w:pStyle w:val="Corpsdetexte"/>
              <w:rPr>
                <w:rFonts w:ascii="Times New Roman" w:hAnsi="Times New Roman" w:cs="Times New Roman"/>
                <w:sz w:val="22"/>
              </w:rPr>
            </w:pPr>
            <w:r>
              <w:rPr>
                <w:rFonts w:cs="Times New Roman" w:ascii="Times New Roman" w:hAnsi="Times New Roman"/>
                <w:sz w:val="22"/>
              </w:rPr>
              <w:t>Dans l’affirmative, sous quel délai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rPr>
            </w:pPr>
            <w:r>
              <w:rPr>
                <w:sz w:val="22"/>
              </w:rPr>
              <w:t>OUI ( ) NON ( )</w:t>
            </w:r>
          </w:p>
          <w:p>
            <w:pPr>
              <w:pStyle w:val="Normal"/>
              <w:jc w:val="both"/>
              <w:rPr>
                <w:sz w:val="22"/>
              </w:rPr>
            </w:pPr>
            <w:r>
              <w:rPr>
                <w:sz w:val="22"/>
              </w:rPr>
            </w:r>
          </w:p>
          <w:p>
            <w:pPr>
              <w:pStyle w:val="Normal"/>
              <w:jc w:val="both"/>
              <w:rPr>
                <w:sz w:val="22"/>
              </w:rPr>
            </w:pPr>
            <w:r>
              <w:rPr>
                <w:sz w:val="22"/>
              </w:rPr>
            </w:r>
          </w:p>
          <w:p>
            <w:pPr>
              <w:pStyle w:val="Normal"/>
              <w:jc w:val="both"/>
              <w:rPr>
                <w:sz w:val="22"/>
              </w:rPr>
            </w:pPr>
            <w:r>
              <w:rPr>
                <w:sz w:val="22"/>
              </w:rPr>
              <w:t>Délai de remise :</w:t>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7"/>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
                <w:b/>
                <w:sz w:val="22"/>
                <w:szCs w:val="22"/>
              </w:rPr>
            </w:pPr>
            <w:r>
              <w:rPr>
                <w:b/>
                <w:bCs/>
                <w:sz w:val="22"/>
                <w:szCs w:val="22"/>
              </w:rPr>
              <w:t>Pérennité du contrat (sauf en cas de non-paiement des primes ou de retrait d’agrément</w:t>
            </w:r>
            <w:r>
              <w:rPr>
                <w:b/>
                <w:sz w:val="22"/>
                <w:szCs w:val="22"/>
              </w:rPr>
              <w:t xml:space="preserve">) – Abandon du droit de résiliation annuel.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
                <w:b/>
                <w:sz w:val="22"/>
                <w:szCs w:val="22"/>
              </w:rPr>
            </w:pPr>
            <w:r>
              <w:rPr>
                <w:b/>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Pendant combien de temps l’assureur accepte-t-il de ne pas modifier le contrat </w:t>
            </w:r>
            <w:r>
              <w:rPr>
                <w:i/>
                <w:sz w:val="22"/>
                <w:szCs w:val="22"/>
                <w:u w:val="single"/>
              </w:rPr>
              <w:t>sauf demande expresse</w:t>
            </w:r>
            <w:r>
              <w:rPr>
                <w:sz w:val="22"/>
                <w:szCs w:val="22"/>
              </w:rPr>
              <w:t xml:space="preserve"> de la collectivité, y compris de ne pas majorer les taux de prime </w:t>
            </w:r>
            <w:r>
              <w:rPr>
                <w:sz w:val="22"/>
                <w:szCs w:val="22"/>
                <w:u w:val="single"/>
              </w:rPr>
              <w:t>unitaire</w:t>
            </w:r>
            <w:r>
              <w:rPr>
                <w:sz w:val="22"/>
                <w:szCs w:val="22"/>
              </w:rPr>
              <w:t> (hors variation de l'indice) ? En conséquence, l’assureur s’engage à ne pas résilier le contrat et ce notamment, par dérogation à la clause de résiliation annuelle, pendant</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 . . . . années</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soit jusqu’au </w:t>
            </w:r>
          </w:p>
          <w:p>
            <w:pPr>
              <w:pStyle w:val="Normal"/>
              <w:jc w:val="both"/>
              <w:rPr>
                <w:sz w:val="22"/>
                <w:szCs w:val="22"/>
              </w:rPr>
            </w:pPr>
            <w:r>
              <w:rPr>
                <w:sz w:val="22"/>
                <w:szCs w:val="22"/>
              </w:rPr>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sz w:val="22"/>
                <w:szCs w:val="22"/>
              </w:rPr>
            </w:pPr>
            <w:r>
              <w:rPr>
                <w:sz w:val="22"/>
                <w:szCs w:val="22"/>
              </w:rPr>
              <w:t xml:space="preserve">31/12/20. . .         </w:t>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u w:val="single"/>
              </w:rPr>
            </w:pPr>
            <w:r>
              <w:rPr>
                <w:sz w:val="22"/>
                <w:szCs w:val="22"/>
                <w:u w:val="single"/>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u w:val="single"/>
              </w:rPr>
              <w:t>Précisions</w:t>
            </w:r>
            <w:r>
              <w:rPr>
                <w:sz w:val="22"/>
                <w:szCs w:val="22"/>
              </w:rPr>
              <w:t> :</w:t>
            </w:r>
            <w:r>
              <w:rPr>
                <w:bCs/>
                <w:sz w:val="22"/>
                <w:szCs w:val="22"/>
              </w:rPr>
              <w:t xml:space="preserve"> Si l’assureur s’engage à ne pas résilier le contrat pendant 3 ans, il retrouvera cette faculté à compter de la quatrième année. En conséquence, toute demande de modification contractuelle ou de résiliation adressée pendant la troisième année en respectant le délai de préavis, sera effective au plus tôt à la date d’échéance de la quatrième année d’assurance.</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7"/>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Cs/>
                <w:sz w:val="22"/>
                <w:szCs w:val="22"/>
                <w:u w:val="single"/>
              </w:rPr>
            </w:pPr>
            <w:r>
              <w:rPr>
                <w:b/>
                <w:bCs/>
                <w:sz w:val="22"/>
                <w:szCs w:val="22"/>
              </w:rPr>
              <w:t xml:space="preserve">NB : </w:t>
            </w:r>
            <w:r>
              <w:rPr>
                <w:sz w:val="22"/>
                <w:szCs w:val="22"/>
              </w:rPr>
              <w:t>le cas échéant, une variante de prix peut être remise si un engagement supérieur à un an a une incidence tarifaire.</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Cs/>
                <w:sz w:val="22"/>
                <w:szCs w:val="22"/>
                <w:u w:val="single"/>
              </w:rPr>
            </w:pPr>
            <w:r>
              <w:rPr>
                <w:bCs/>
                <w:sz w:val="22"/>
                <w:szCs w:val="22"/>
                <w:u w:val="single"/>
              </w:rPr>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7"/>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Délai de préavis de résiliation :</w:t>
            </w:r>
          </w:p>
        </w:tc>
        <w:tc>
          <w:tcPr>
            <w:tcW w:w="26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Pouvez-vous proposer un préavis de résiliation plus long que ce qui est demandé aux conditions particulières ?</w:t>
            </w:r>
          </w:p>
        </w:tc>
        <w:tc>
          <w:tcPr>
            <w:tcW w:w="26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Dans l’affirmative, précisez </w:t>
            </w:r>
          </w:p>
          <w:p>
            <w:pPr>
              <w:pStyle w:val="Normal"/>
              <w:jc w:val="both"/>
              <w:rPr>
                <w:sz w:val="22"/>
                <w:szCs w:val="22"/>
              </w:rPr>
            </w:pPr>
            <w:r>
              <w:rPr>
                <w:sz w:val="22"/>
                <w:szCs w:val="22"/>
              </w:rPr>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right"/>
              <w:rPr>
                <w:sz w:val="22"/>
                <w:szCs w:val="22"/>
              </w:rPr>
            </w:pPr>
            <w:r>
              <w:rPr>
                <w:sz w:val="22"/>
                <w:szCs w:val="22"/>
              </w:rPr>
              <w:t>mois.</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Veuillez alors confirmer le délai de préavis pour l’assuré</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right"/>
              <w:rPr>
                <w:sz w:val="22"/>
                <w:szCs w:val="22"/>
              </w:rPr>
            </w:pPr>
            <w:r>
              <w:rPr>
                <w:sz w:val="22"/>
                <w:szCs w:val="22"/>
              </w:rPr>
              <w:t>mois.</w:t>
            </w:r>
          </w:p>
          <w:p>
            <w:pPr>
              <w:pStyle w:val="Normal"/>
              <w:jc w:val="right"/>
              <w:rPr>
                <w:sz w:val="22"/>
                <w:szCs w:val="22"/>
              </w:rPr>
            </w:pPr>
            <w:r>
              <w:rPr>
                <w:sz w:val="22"/>
                <w:szCs w:val="22"/>
              </w:rPr>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7"/>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Prolongation du contrat en cas de refus d’un avenant de modification contractuelle :</w:t>
            </w:r>
          </w:p>
        </w:tc>
        <w:tc>
          <w:tcPr>
            <w:tcW w:w="26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OUI (  )  NON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Le délai de 3 mois mentionné aux conditions particulières peut-il être majoré et sous quelles conditions ? </w:t>
            </w:r>
          </w:p>
        </w:tc>
        <w:tc>
          <w:tcPr>
            <w:tcW w:w="26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Dans l’affirmative, précisez</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p>
            <w:pPr>
              <w:pStyle w:val="Normal"/>
              <w:jc w:val="both"/>
              <w:rPr>
                <w:sz w:val="22"/>
                <w:szCs w:val="22"/>
              </w:rPr>
            </w:pPr>
            <w:r>
              <w:rPr>
                <w:sz w:val="22"/>
                <w:szCs w:val="22"/>
              </w:rPr>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7"/>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both"/>
              <w:rPr/>
            </w:pPr>
            <w:r>
              <w:rPr>
                <w:b/>
                <w:bCs/>
                <w:sz w:val="22"/>
                <w:szCs w:val="22"/>
              </w:rPr>
              <w:t xml:space="preserve">Avance (articles </w:t>
            </w:r>
            <w:r>
              <w:rPr>
                <w:b/>
                <w:bCs/>
                <w:color w:val="0000FF"/>
                <w:sz w:val="22"/>
                <w:szCs w:val="22"/>
              </w:rPr>
              <w:t>L2191-2 à L2191-3, R2191-3 à R2191-19 du code de la commande</w:t>
            </w:r>
            <w:r>
              <w:rPr>
                <w:b/>
                <w:bCs/>
                <w:sz w:val="22"/>
                <w:szCs w:val="22"/>
              </w:rPr>
              <w:t xml:space="preserve"> : </w:t>
            </w:r>
            <w:r>
              <w:rPr>
                <w:sz w:val="22"/>
                <w:szCs w:val="22"/>
              </w:rPr>
              <w:t xml:space="preserve">Une fois le contrat définitif régularisé, </w:t>
            </w:r>
            <w:r>
              <w:rPr>
                <w:b/>
                <w:bCs/>
                <w:i/>
                <w:iCs/>
                <w:sz w:val="22"/>
                <w:szCs w:val="22"/>
                <w:u w:val="single"/>
              </w:rPr>
              <w:t>la prime d’assurance est payable « à terme à échoir »</w:t>
            </w:r>
            <w:r>
              <w:rPr>
                <w:sz w:val="22"/>
                <w:szCs w:val="22"/>
              </w:rPr>
              <w:t xml:space="preserve"> après présentation d’une quittance à chaque date d’échéance. Du fait du particularisme en assurances du paiement d’avance, le versement de l’avance définie aux articles </w:t>
            </w:r>
            <w:r>
              <w:rPr>
                <w:b/>
                <w:bCs/>
                <w:color w:val="0000FF"/>
                <w:sz w:val="22"/>
                <w:szCs w:val="22"/>
              </w:rPr>
              <w:t>L2191-2 à L2191-3, R2191-3 à R2191-19 du code de la commande publique</w:t>
            </w:r>
            <w:r>
              <w:rPr>
                <w:bCs/>
                <w:sz w:val="22"/>
              </w:rPr>
              <w:t>,</w:t>
            </w:r>
            <w:r>
              <w:rPr>
                <w:sz w:val="22"/>
                <w:szCs w:val="22"/>
              </w:rPr>
              <w:t xml:space="preserve"> peut dans certains cas poser des problèmes.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both"/>
              <w:rPr>
                <w:sz w:val="22"/>
                <w:szCs w:val="22"/>
              </w:rPr>
            </w:pPr>
            <w:r>
              <w:rPr>
                <w:sz w:val="22"/>
                <w:szCs w:val="22"/>
              </w:rPr>
              <w:t xml:space="preserve">L’assureur refuse-t-il le paiement de l’avance prévue aux articles </w:t>
            </w:r>
            <w:r>
              <w:rPr>
                <w:b/>
                <w:bCs/>
                <w:color w:val="0000FF"/>
                <w:sz w:val="22"/>
                <w:szCs w:val="22"/>
              </w:rPr>
              <w:t>L2191-2 à L2191-3, R2191-3 à R2191-19 du code de la commande publique</w:t>
            </w:r>
            <w:r>
              <w:rPr>
                <w:bCs/>
                <w:sz w:val="22"/>
              </w:rPr>
              <w:t>,</w:t>
            </w:r>
            <w:r>
              <w:rPr>
                <w:sz w:val="22"/>
                <w:szCs w:val="22"/>
              </w:rPr>
              <w:t xml:space="preserve"> sachant que le paiement d’avance des primes d’assurance prévu à l’article L113-3 du code des Assurances n’est pas considéré comme étant une avance ?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
                <w:b/>
                <w:bCs/>
                <w:i/>
                <w:i/>
                <w:iCs/>
                <w:sz w:val="22"/>
                <w:szCs w:val="22"/>
              </w:rPr>
            </w:pPr>
            <w:r>
              <w:rPr>
                <w:sz w:val="22"/>
                <w:szCs w:val="22"/>
              </w:rPr>
              <w:t>OUI ( ) NON ( )</w:t>
            </w:r>
            <w:r>
              <w:rPr>
                <w:b/>
                <w:bCs/>
                <w:i/>
                <w:iCs/>
                <w:sz w:val="22"/>
                <w:szCs w:val="22"/>
              </w:rPr>
              <w:t xml:space="preserve"> </w:t>
            </w:r>
          </w:p>
          <w:p>
            <w:pPr>
              <w:pStyle w:val="Normal"/>
              <w:jc w:val="both"/>
              <w:rPr>
                <w:sz w:val="22"/>
                <w:szCs w:val="22"/>
              </w:rPr>
            </w:pPr>
            <w:r>
              <w:rPr>
                <w:b/>
                <w:bCs/>
                <w:i/>
                <w:iCs/>
                <w:sz w:val="22"/>
                <w:szCs w:val="22"/>
              </w:rPr>
              <w:t>Dans la négative, une garantie à première demande sera exigée.</w:t>
            </w:r>
          </w:p>
        </w:tc>
      </w:tr>
    </w:tbl>
    <w:p>
      <w:pPr>
        <w:pStyle w:val="Normal"/>
        <w:rPr/>
      </w:pPr>
      <w:r>
        <w:rPr/>
      </w:r>
    </w:p>
    <w:tbl>
      <w:tblPr>
        <w:tblW w:w="928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636"/>
        <w:gridCol w:w="6042"/>
        <w:gridCol w:w="2606"/>
      </w:tblGrid>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Clause Règlement Général de Protection des Données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L’assureur précise son texte « RGPD » qu’il appliquera, et fera appliquer à tout autre assureur, co-traitant et sous-traitant.</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L’intermédiaire précise son texte « RGPD » qu’il appliquera, et fera appliquer à tout autre intermédiaire, co-traitant et sous-traitant.</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bl>
    <w:p>
      <w:pPr>
        <w:pStyle w:val="Normal"/>
        <w:rPr/>
      </w:pPr>
      <w:r>
        <w:rPr/>
      </w:r>
    </w:p>
    <w:tbl>
      <w:tblPr>
        <w:tblW w:w="928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636"/>
        <w:gridCol w:w="6042"/>
        <w:gridCol w:w="2606"/>
      </w:tblGrid>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Coordonnées du médiateur</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De l’assureur (ou des médiateurs si multiplicité d’assureurs)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7"/>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De l’intermédiaire (ou des médiateurs si multiplicité d’intermédiaires)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bookmarkStart w:id="0" w:name="_Hlk3895081"/>
            <w:bookmarkStart w:id="1" w:name="_Hlk3895081"/>
            <w:bookmarkEnd w:id="1"/>
            <w:r>
              <w:rPr>
                <w:sz w:val="22"/>
                <w:szCs w:val="22"/>
              </w:rPr>
            </w:r>
          </w:p>
        </w:tc>
      </w:tr>
    </w:tbl>
    <w:p>
      <w:pPr>
        <w:pStyle w:val="Normal"/>
        <w:jc w:val="both"/>
        <w:rPr>
          <w:sz w:val="22"/>
          <w:szCs w:val="22"/>
        </w:rPr>
      </w:pPr>
      <w:r>
        <w:rPr>
          <w:sz w:val="22"/>
          <w:szCs w:val="22"/>
        </w:rPr>
      </w:r>
    </w:p>
    <w:p>
      <w:pPr>
        <w:pStyle w:val="Normal"/>
        <w:pBdr>
          <w:top w:val="single" w:sz="4" w:space="1" w:color="000001"/>
          <w:left w:val="single" w:sz="4" w:space="6" w:color="000001"/>
          <w:bottom w:val="single" w:sz="4" w:space="1" w:color="000001"/>
          <w:right w:val="single" w:sz="4" w:space="4" w:color="000001"/>
        </w:pBdr>
        <w:spacing w:lineRule="exact" w:line="240"/>
        <w:jc w:val="both"/>
        <w:rPr/>
      </w:pPr>
      <w:r>
        <w:rPr/>
        <w:t>Une prime minimale irréductible est elle imposée : OUI ( ) NON ( ), et dans l’affirmative</w:t>
      </w:r>
    </w:p>
    <w:p>
      <w:pPr>
        <w:pStyle w:val="Normal"/>
        <w:pBdr>
          <w:top w:val="single" w:sz="4" w:space="1" w:color="000001"/>
          <w:left w:val="single" w:sz="4" w:space="6" w:color="000001"/>
          <w:bottom w:val="single" w:sz="4" w:space="1" w:color="000001"/>
          <w:right w:val="single" w:sz="4" w:space="4" w:color="000001"/>
        </w:pBdr>
        <w:spacing w:lineRule="exact" w:line="240"/>
        <w:jc w:val="both"/>
        <w:rPr>
          <w:sz w:val="22"/>
        </w:rPr>
      </w:pPr>
      <w:r>
        <w:rPr/>
        <w:t>Prime minimale annuelle irréductible :                € TTC</w:t>
      </w:r>
    </w:p>
    <w:p>
      <w:pPr>
        <w:pStyle w:val="Normal"/>
        <w:pBdr>
          <w:top w:val="single" w:sz="4" w:space="1" w:color="000001"/>
          <w:left w:val="single" w:sz="4" w:space="6" w:color="000001"/>
          <w:bottom w:val="single" w:sz="4" w:space="1" w:color="000001"/>
          <w:right w:val="single" w:sz="4" w:space="4" w:color="000001"/>
        </w:pBdr>
        <w:spacing w:lineRule="exact" w:line="240"/>
        <w:jc w:val="both"/>
        <w:rPr>
          <w:sz w:val="22"/>
        </w:rPr>
      </w:pPr>
      <w:r>
        <w:rPr>
          <w:sz w:val="22"/>
        </w:rPr>
      </w:r>
    </w:p>
    <w:p>
      <w:pPr>
        <w:pStyle w:val="Normal"/>
        <w:pBdr>
          <w:top w:val="single" w:sz="4" w:space="1" w:color="000001"/>
          <w:left w:val="single" w:sz="4" w:space="6" w:color="000001"/>
          <w:bottom w:val="single" w:sz="4" w:space="1" w:color="000001"/>
          <w:right w:val="single" w:sz="4" w:space="4" w:color="000001"/>
        </w:pBdr>
        <w:spacing w:lineRule="exact" w:line="240"/>
        <w:jc w:val="both"/>
        <w:rPr/>
      </w:pPr>
      <w:r>
        <w:rPr>
          <w:sz w:val="22"/>
        </w:rPr>
        <w:t>Si l’année d’assurance est inférieure à 12 mois, veuillez confirmer que la prime minimale irréductible sera calculée prorata temporis : OUI (  ) NON (  )</w:t>
      </w:r>
    </w:p>
    <w:p>
      <w:pPr>
        <w:pStyle w:val="Normal"/>
        <w:rPr/>
      </w:pPr>
      <w:r>
        <w:rPr/>
      </w:r>
      <w:r>
        <w:br w:type="page"/>
      </w:r>
    </w:p>
    <w:p>
      <w:pPr>
        <w:pStyle w:val="Normal"/>
        <w:rPr/>
      </w:pPr>
      <w:r>
        <w:rPr/>
      </w:r>
    </w:p>
    <w:p>
      <w:pPr>
        <w:pStyle w:val="Normal"/>
        <w:pBdr>
          <w:top w:val="single" w:sz="4" w:space="1" w:color="000001"/>
          <w:left w:val="single" w:sz="4" w:space="4" w:color="000001"/>
          <w:bottom w:val="single" w:sz="4" w:space="1" w:color="000001"/>
          <w:right w:val="single" w:sz="4" w:space="4" w:color="000001"/>
        </w:pBdr>
        <w:shd w:val="clear" w:color="auto" w:fill="E0E0E0"/>
        <w:rPr>
          <w:b/>
          <w:b/>
          <w:bCs/>
          <w:color w:val="0000FF"/>
          <w:highlight w:val="yellow"/>
        </w:rPr>
      </w:pPr>
      <w:r>
        <w:rPr>
          <w:b/>
          <w:bCs/>
          <w:sz w:val="22"/>
          <w:szCs w:val="22"/>
        </w:rPr>
        <w:t>NOTE METHODOLOGIQUE</w:t>
      </w:r>
    </w:p>
    <w:p>
      <w:pPr>
        <w:pStyle w:val="Normal"/>
        <w:rPr>
          <w:b/>
          <w:b/>
          <w:bCs/>
          <w:color w:val="0000FF"/>
          <w:shd w:fill="FF950E" w:val="clear"/>
        </w:rPr>
      </w:pPr>
      <w:r>
        <w:rPr>
          <w:b/>
          <w:bCs/>
          <w:color w:val="0000FF"/>
          <w:shd w:fill="FF950E" w:val="clear"/>
        </w:rPr>
      </w:r>
    </w:p>
    <w:tbl>
      <w:tblPr>
        <w:tblW w:w="9368" w:type="dxa"/>
        <w:jc w:val="left"/>
        <w:tblInd w:w="-39"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firstRow="0" w:noVBand="0" w:lastRow="0" w:firstColumn="0" w:lastColumn="0" w:noHBand="0" w:val="0000"/>
      </w:tblPr>
      <w:tblGrid>
        <w:gridCol w:w="631"/>
        <w:gridCol w:w="5863"/>
        <w:gridCol w:w="2874"/>
      </w:tblGrid>
      <w:tr>
        <w:trPr/>
        <w:tc>
          <w:tcPr>
            <w:tcW w:w="63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numPr>
                <w:ilvl w:val="0"/>
                <w:numId w:val="3"/>
              </w:numPr>
              <w:snapToGrid w:val="false"/>
              <w:rPr/>
            </w:pPr>
            <w:r>
              <w:rPr/>
            </w:r>
          </w:p>
        </w:tc>
        <w:tc>
          <w:tcPr>
            <w:tcW w:w="58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rPr>
                <w:i/>
                <w:i/>
                <w:iCs/>
                <w:u w:val="single"/>
              </w:rPr>
            </w:pPr>
            <w:r>
              <w:rPr>
                <w:i/>
                <w:iCs/>
              </w:rPr>
              <w:t>Un interlocuteur unique gestionnaire des dossiers sera-t-il nommé ?</w:t>
            </w:r>
          </w:p>
          <w:p>
            <w:pPr>
              <w:pStyle w:val="Normal"/>
              <w:rPr>
                <w:i/>
                <w:i/>
                <w:iCs/>
                <w:u w:val="single"/>
              </w:rPr>
            </w:pPr>
            <w:r>
              <w:rPr>
                <w:i/>
                <w:iCs/>
                <w:u w:val="single"/>
              </w:rPr>
            </w:r>
          </w:p>
        </w:tc>
        <w:tc>
          <w:tcPr>
            <w:tcW w:w="2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jc w:val="both"/>
              <w:rPr>
                <w:szCs w:val="24"/>
              </w:rPr>
            </w:pPr>
            <w:r>
              <w:rPr/>
              <w:t xml:space="preserve">OUI ( ) NON ( )   </w:t>
            </w:r>
          </w:p>
        </w:tc>
      </w:tr>
      <w:tr>
        <w:trPr>
          <w:trHeight w:val="811" w:hRule="atLeast"/>
          <w:cantSplit w:val="true"/>
        </w:trPr>
        <w:tc>
          <w:tcPr>
            <w:tcW w:w="631"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TabulationPoints2"/>
              <w:numPr>
                <w:ilvl w:val="0"/>
                <w:numId w:val="3"/>
              </w:numPr>
              <w:snapToGrid w:val="false"/>
              <w:rPr>
                <w:sz w:val="20"/>
                <w:szCs w:val="24"/>
              </w:rPr>
            </w:pPr>
            <w:r>
              <w:rPr>
                <w:sz w:val="20"/>
                <w:szCs w:val="24"/>
              </w:rPr>
            </w:r>
          </w:p>
        </w:tc>
        <w:tc>
          <w:tcPr>
            <w:tcW w:w="5863"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TabulationPoints2"/>
              <w:rPr>
                <w:i/>
                <w:i/>
                <w:iCs/>
              </w:rPr>
            </w:pPr>
            <w:r>
              <w:rPr>
                <w:i/>
                <w:iCs/>
                <w:sz w:val="20"/>
                <w:szCs w:val="24"/>
              </w:rPr>
              <w:t>Quel est le délai maximal à compter de la date de déclaration du sinistre pour nommer un expert, obtenir et transmettre son rapport :</w:t>
            </w:r>
          </w:p>
          <w:p>
            <w:pPr>
              <w:pStyle w:val="Normal"/>
              <w:numPr>
                <w:ilvl w:val="1"/>
                <w:numId w:val="2"/>
              </w:numPr>
              <w:rPr>
                <w:i/>
                <w:i/>
                <w:iCs/>
              </w:rPr>
            </w:pPr>
            <w:r>
              <w:rPr>
                <w:i/>
                <w:iCs/>
              </w:rPr>
              <w:t>Nomination de l’expert</w:t>
            </w:r>
          </w:p>
          <w:p>
            <w:pPr>
              <w:pStyle w:val="Normal"/>
              <w:rPr>
                <w:i/>
                <w:i/>
                <w:iCs/>
              </w:rPr>
            </w:pPr>
            <w:r>
              <w:rPr>
                <w:i/>
                <w:iCs/>
              </w:rPr>
            </w:r>
          </w:p>
          <w:p>
            <w:pPr>
              <w:pStyle w:val="Normal"/>
              <w:numPr>
                <w:ilvl w:val="1"/>
                <w:numId w:val="2"/>
              </w:numPr>
              <w:rPr/>
            </w:pPr>
            <w:r>
              <w:rPr>
                <w:i/>
                <w:iCs/>
              </w:rPr>
              <w:t>Transmission de son rapport</w:t>
            </w:r>
          </w:p>
        </w:tc>
        <w:tc>
          <w:tcPr>
            <w:tcW w:w="2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both"/>
              <w:rPr/>
            </w:pPr>
            <w:r>
              <w:rPr/>
            </w:r>
          </w:p>
        </w:tc>
      </w:tr>
      <w:tr>
        <w:trPr>
          <w:trHeight w:val="525" w:hRule="atLeast"/>
          <w:cantSplit w:val="true"/>
        </w:trPr>
        <w:tc>
          <w:tcPr>
            <w:tcW w:w="631"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TabulationPoints2"/>
              <w:numPr>
                <w:ilvl w:val="0"/>
                <w:numId w:val="2"/>
              </w:numPr>
              <w:snapToGrid w:val="false"/>
              <w:rPr>
                <w:sz w:val="20"/>
                <w:szCs w:val="24"/>
              </w:rPr>
            </w:pPr>
            <w:r>
              <w:rPr>
                <w:sz w:val="20"/>
                <w:szCs w:val="24"/>
              </w:rPr>
            </w:r>
          </w:p>
        </w:tc>
        <w:tc>
          <w:tcPr>
            <w:tcW w:w="5863"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TabulationPoints2"/>
              <w:numPr>
                <w:ilvl w:val="0"/>
                <w:numId w:val="2"/>
              </w:numPr>
              <w:snapToGrid w:val="false"/>
              <w:rPr>
                <w:i/>
                <w:i/>
                <w:iCs/>
                <w:sz w:val="20"/>
                <w:szCs w:val="24"/>
              </w:rPr>
            </w:pPr>
            <w:r>
              <w:rPr>
                <w:i/>
                <w:iCs/>
                <w:sz w:val="20"/>
                <w:szCs w:val="24"/>
              </w:rPr>
            </w:r>
          </w:p>
        </w:tc>
        <w:tc>
          <w:tcPr>
            <w:tcW w:w="2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both"/>
              <w:rPr/>
            </w:pPr>
            <w:r>
              <w:rPr/>
            </w:r>
          </w:p>
        </w:tc>
      </w:tr>
      <w:tr>
        <w:trPr/>
        <w:tc>
          <w:tcPr>
            <w:tcW w:w="63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TabulationPoints2"/>
              <w:numPr>
                <w:ilvl w:val="0"/>
                <w:numId w:val="3"/>
              </w:numPr>
              <w:snapToGrid w:val="false"/>
              <w:rPr>
                <w:sz w:val="20"/>
              </w:rPr>
            </w:pPr>
            <w:r>
              <w:rPr>
                <w:sz w:val="20"/>
              </w:rPr>
            </w:r>
          </w:p>
        </w:tc>
        <w:tc>
          <w:tcPr>
            <w:tcW w:w="58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TabulationPoints2"/>
              <w:rPr/>
            </w:pPr>
            <w:r>
              <w:rPr>
                <w:i/>
                <w:iCs/>
                <w:sz w:val="20"/>
              </w:rPr>
              <w:t>Quelles sont vos procédures pour obtenir des Services de l’Assuré, toutes les informations nécessaires pour éviter que ne soit opposée à l’Assuré une déchéance de garantie ou une prescription ?</w:t>
            </w:r>
          </w:p>
        </w:tc>
        <w:tc>
          <w:tcPr>
            <w:tcW w:w="2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both"/>
              <w:rPr/>
            </w:pPr>
            <w:r>
              <w:rPr/>
            </w:r>
          </w:p>
        </w:tc>
      </w:tr>
      <w:tr>
        <w:trPr/>
        <w:tc>
          <w:tcPr>
            <w:tcW w:w="63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numPr>
                <w:ilvl w:val="0"/>
                <w:numId w:val="3"/>
              </w:numPr>
              <w:snapToGrid w:val="false"/>
              <w:jc w:val="both"/>
              <w:rPr/>
            </w:pPr>
            <w:r>
              <w:rPr/>
            </w:r>
          </w:p>
        </w:tc>
        <w:tc>
          <w:tcPr>
            <w:tcW w:w="58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jc w:val="both"/>
              <w:rPr/>
            </w:pPr>
            <w:r>
              <w:rPr>
                <w:i/>
                <w:iCs/>
              </w:rPr>
              <w:t>Délai maximal de règlement des sinistres dans l'hypothèse où les services vous envoient avec diligence un dossier complet</w:t>
            </w:r>
          </w:p>
        </w:tc>
        <w:tc>
          <w:tcPr>
            <w:tcW w:w="2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both"/>
              <w:rPr/>
            </w:pPr>
            <w:r>
              <w:rPr/>
            </w:r>
          </w:p>
        </w:tc>
      </w:tr>
      <w:tr>
        <w:trPr/>
        <w:tc>
          <w:tcPr>
            <w:tcW w:w="63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numPr>
                <w:ilvl w:val="0"/>
                <w:numId w:val="3"/>
              </w:numPr>
              <w:snapToGrid w:val="false"/>
              <w:jc w:val="both"/>
              <w:rPr/>
            </w:pPr>
            <w:r>
              <w:rPr/>
            </w:r>
          </w:p>
        </w:tc>
        <w:tc>
          <w:tcPr>
            <w:tcW w:w="58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jc w:val="both"/>
              <w:rPr/>
            </w:pPr>
            <w:r>
              <w:rPr>
                <w:i/>
                <w:iCs/>
              </w:rPr>
              <w:t>Vous engagez-vous à adresser, chaque année, à l’Assuré un état des statistiques triennales de sinistralité et à les commenter ?</w:t>
            </w:r>
          </w:p>
        </w:tc>
        <w:tc>
          <w:tcPr>
            <w:tcW w:w="2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jc w:val="both"/>
              <w:rPr/>
            </w:pPr>
            <w:r>
              <w:rPr/>
              <w:t>OUI ( ) NON ( )</w:t>
            </w:r>
          </w:p>
        </w:tc>
      </w:tr>
      <w:tr>
        <w:trPr/>
        <w:tc>
          <w:tcPr>
            <w:tcW w:w="63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numPr>
                <w:ilvl w:val="0"/>
                <w:numId w:val="3"/>
              </w:numPr>
              <w:snapToGrid w:val="false"/>
              <w:jc w:val="both"/>
              <w:rPr/>
            </w:pPr>
            <w:r>
              <w:rPr/>
            </w:r>
          </w:p>
        </w:tc>
        <w:tc>
          <w:tcPr>
            <w:tcW w:w="58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jc w:val="both"/>
              <w:rPr/>
            </w:pPr>
            <w:r>
              <w:rPr>
                <w:i/>
                <w:iCs/>
              </w:rPr>
              <w:t>Vous engagez-vous, chaque année, en collaboration avec les services, à apurer les provisions non justifiées ?</w:t>
            </w:r>
          </w:p>
        </w:tc>
        <w:tc>
          <w:tcPr>
            <w:tcW w:w="2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jc w:val="both"/>
              <w:rPr>
                <w:szCs w:val="24"/>
              </w:rPr>
            </w:pPr>
            <w:r>
              <w:rPr/>
              <w:t>OUI ( ) NON ( )</w:t>
            </w:r>
          </w:p>
        </w:tc>
      </w:tr>
      <w:tr>
        <w:trPr>
          <w:trHeight w:val="500" w:hRule="atLeast"/>
          <w:cantSplit w:val="true"/>
        </w:trPr>
        <w:tc>
          <w:tcPr>
            <w:tcW w:w="631"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Titre2"/>
              <w:numPr>
                <w:ilvl w:val="0"/>
                <w:numId w:val="3"/>
              </w:numPr>
              <w:snapToGrid w:val="false"/>
              <w:spacing w:lineRule="exact" w:line="240"/>
              <w:rPr>
                <w:rFonts w:ascii="Times New Roman" w:hAnsi="Times New Roman" w:cs="Times New Roman"/>
                <w:b w:val="false"/>
                <w:b w:val="false"/>
                <w:bCs w:val="false"/>
                <w:sz w:val="20"/>
                <w:szCs w:val="24"/>
              </w:rPr>
            </w:pPr>
            <w:r>
              <w:rPr>
                <w:rFonts w:cs="Times New Roman" w:ascii="Times New Roman" w:hAnsi="Times New Roman"/>
                <w:b w:val="false"/>
                <w:bCs w:val="false"/>
                <w:sz w:val="20"/>
                <w:szCs w:val="24"/>
              </w:rPr>
            </w:r>
          </w:p>
        </w:tc>
        <w:tc>
          <w:tcPr>
            <w:tcW w:w="5863" w:type="dxa"/>
            <w:vMerge w:val="restart"/>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Titre2"/>
              <w:spacing w:lineRule="exact" w:line="240"/>
              <w:rPr>
                <w:i/>
                <w:i/>
                <w:iCs/>
              </w:rPr>
            </w:pPr>
            <w:r>
              <w:rPr>
                <w:rFonts w:cs="Times New Roman" w:ascii="Times New Roman" w:hAnsi="Times New Roman"/>
                <w:b w:val="false"/>
                <w:bCs w:val="false"/>
                <w:i/>
                <w:iCs/>
                <w:sz w:val="20"/>
                <w:szCs w:val="24"/>
              </w:rPr>
              <w:t>Formation :</w:t>
            </w:r>
          </w:p>
          <w:p>
            <w:pPr>
              <w:pStyle w:val="Normal"/>
              <w:numPr>
                <w:ilvl w:val="0"/>
                <w:numId w:val="4"/>
              </w:numPr>
              <w:spacing w:lineRule="exact" w:line="240"/>
              <w:jc w:val="both"/>
              <w:rPr>
                <w:i/>
                <w:i/>
                <w:iCs/>
              </w:rPr>
            </w:pPr>
            <w:r>
              <w:rPr>
                <w:i/>
                <w:iCs/>
              </w:rPr>
              <w:t>1 formation/an des agents à Marseille</w:t>
            </w:r>
          </w:p>
          <w:p>
            <w:pPr>
              <w:pStyle w:val="Normal"/>
              <w:spacing w:lineRule="exact" w:line="240"/>
              <w:jc w:val="both"/>
              <w:rPr>
                <w:i/>
                <w:i/>
                <w:iCs/>
              </w:rPr>
            </w:pPr>
            <w:r>
              <w:rPr>
                <w:i/>
                <w:iCs/>
              </w:rPr>
            </w:r>
          </w:p>
          <w:p>
            <w:pPr>
              <w:pStyle w:val="Normal"/>
              <w:spacing w:lineRule="exact" w:line="240"/>
              <w:jc w:val="both"/>
              <w:rPr>
                <w:i/>
                <w:i/>
                <w:iCs/>
              </w:rPr>
            </w:pPr>
            <w:r>
              <w:rPr>
                <w:i/>
                <w:iCs/>
              </w:rPr>
            </w:r>
          </w:p>
          <w:p>
            <w:pPr>
              <w:pStyle w:val="Normal"/>
              <w:spacing w:lineRule="exact" w:line="240"/>
              <w:jc w:val="both"/>
              <w:rPr>
                <w:i/>
                <w:i/>
                <w:iCs/>
              </w:rPr>
            </w:pPr>
            <w:r>
              <w:rPr>
                <w:i/>
                <w:iCs/>
              </w:rPr>
            </w:r>
          </w:p>
          <w:p>
            <w:pPr>
              <w:pStyle w:val="Normal"/>
              <w:numPr>
                <w:ilvl w:val="0"/>
                <w:numId w:val="4"/>
              </w:numPr>
              <w:spacing w:lineRule="exact" w:line="240"/>
              <w:jc w:val="both"/>
              <w:rPr>
                <w:i/>
                <w:i/>
                <w:iCs/>
              </w:rPr>
            </w:pPr>
            <w:r>
              <w:rPr>
                <w:i/>
                <w:iCs/>
              </w:rPr>
              <w:t xml:space="preserve">Quelles démarches de formation, veille juridique, information, prévention proposez-vous pour permettre une maîtrise de l'évolution de la sinistralité ? </w:t>
            </w:r>
          </w:p>
          <w:p>
            <w:pPr>
              <w:pStyle w:val="Normal"/>
              <w:spacing w:lineRule="exact" w:line="240"/>
              <w:jc w:val="both"/>
              <w:rPr>
                <w:i/>
                <w:i/>
                <w:iCs/>
              </w:rPr>
            </w:pPr>
            <w:r>
              <w:rPr>
                <w:i/>
                <w:iCs/>
              </w:rPr>
            </w:r>
          </w:p>
          <w:p>
            <w:pPr>
              <w:pStyle w:val="Normal"/>
              <w:numPr>
                <w:ilvl w:val="0"/>
                <w:numId w:val="4"/>
              </w:numPr>
              <w:spacing w:lineRule="exact" w:line="240"/>
              <w:jc w:val="both"/>
              <w:rPr/>
            </w:pPr>
            <w:r>
              <w:rPr>
                <w:i/>
                <w:iCs/>
              </w:rPr>
              <w:t xml:space="preserve"> </w:t>
            </w:r>
            <w:r>
              <w:rPr>
                <w:i/>
                <w:iCs/>
              </w:rPr>
              <w:t>Commentaires et expériences :</w:t>
            </w:r>
          </w:p>
        </w:tc>
        <w:tc>
          <w:tcPr>
            <w:tcW w:w="2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jc w:val="both"/>
              <w:rPr/>
            </w:pPr>
            <w:r>
              <w:rPr/>
              <w:t xml:space="preserve">OUI ( ) NON ( ), </w:t>
            </w:r>
          </w:p>
          <w:p>
            <w:pPr>
              <w:pStyle w:val="Normal"/>
              <w:jc w:val="both"/>
              <w:rPr/>
            </w:pPr>
            <w:r>
              <w:rPr/>
              <w:t xml:space="preserve">Coût éventuel : </w:t>
            </w:r>
          </w:p>
          <w:p>
            <w:pPr>
              <w:pStyle w:val="Normal"/>
              <w:jc w:val="both"/>
              <w:rPr/>
            </w:pPr>
            <w:r>
              <w:rPr/>
              <w:t>Précisions éventuelles :</w:t>
            </w:r>
          </w:p>
          <w:p>
            <w:pPr>
              <w:pStyle w:val="Normal"/>
              <w:jc w:val="both"/>
              <w:rPr/>
            </w:pPr>
            <w:r>
              <w:rPr/>
            </w:r>
          </w:p>
          <w:p>
            <w:pPr>
              <w:pStyle w:val="Normal"/>
              <w:jc w:val="both"/>
              <w:rPr/>
            </w:pPr>
            <w:r>
              <w:rPr/>
            </w:r>
          </w:p>
        </w:tc>
      </w:tr>
      <w:tr>
        <w:trPr>
          <w:trHeight w:val="500" w:hRule="atLeast"/>
          <w:cantSplit w:val="true"/>
        </w:trPr>
        <w:tc>
          <w:tcPr>
            <w:tcW w:w="631"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Titre2"/>
              <w:numPr>
                <w:ilvl w:val="0"/>
                <w:numId w:val="3"/>
              </w:numPr>
              <w:snapToGrid w:val="false"/>
              <w:spacing w:lineRule="exact" w:line="240"/>
              <w:rPr>
                <w:rFonts w:ascii="Times New Roman" w:hAnsi="Times New Roman" w:cs="Times New Roman"/>
                <w:b w:val="false"/>
                <w:b w:val="false"/>
                <w:bCs w:val="false"/>
                <w:sz w:val="20"/>
                <w:szCs w:val="24"/>
              </w:rPr>
            </w:pPr>
            <w:r>
              <w:rPr>
                <w:rFonts w:cs="Times New Roman" w:ascii="Times New Roman" w:hAnsi="Times New Roman"/>
                <w:b w:val="false"/>
                <w:bCs w:val="false"/>
                <w:sz w:val="20"/>
                <w:szCs w:val="24"/>
              </w:rPr>
            </w:r>
          </w:p>
        </w:tc>
        <w:tc>
          <w:tcPr>
            <w:tcW w:w="5863"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Titre2"/>
              <w:snapToGrid w:val="false"/>
              <w:spacing w:lineRule="exact" w:line="240"/>
              <w:rPr>
                <w:rFonts w:ascii="Times New Roman" w:hAnsi="Times New Roman" w:cs="Times New Roman"/>
                <w:b w:val="false"/>
                <w:b w:val="false"/>
                <w:bCs w:val="false"/>
                <w:i/>
                <w:i/>
                <w:iCs/>
                <w:sz w:val="20"/>
                <w:szCs w:val="24"/>
              </w:rPr>
            </w:pPr>
            <w:r>
              <w:rPr>
                <w:rFonts w:cs="Times New Roman" w:ascii="Times New Roman" w:hAnsi="Times New Roman"/>
                <w:b w:val="false"/>
                <w:bCs w:val="false"/>
                <w:i/>
                <w:iCs/>
                <w:sz w:val="20"/>
                <w:szCs w:val="24"/>
              </w:rPr>
            </w:r>
          </w:p>
        </w:tc>
        <w:tc>
          <w:tcPr>
            <w:tcW w:w="2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both"/>
              <w:rPr/>
            </w:pPr>
            <w:r>
              <w:rPr/>
            </w:r>
          </w:p>
          <w:p>
            <w:pPr>
              <w:pStyle w:val="Normal"/>
              <w:jc w:val="both"/>
              <w:rPr/>
            </w:pPr>
            <w:r>
              <w:rPr/>
            </w:r>
          </w:p>
          <w:p>
            <w:pPr>
              <w:pStyle w:val="Normal"/>
              <w:jc w:val="both"/>
              <w:rPr/>
            </w:pPr>
            <w:r>
              <w:rPr/>
            </w:r>
          </w:p>
          <w:p>
            <w:pPr>
              <w:pStyle w:val="Normal"/>
              <w:jc w:val="both"/>
              <w:rPr/>
            </w:pPr>
            <w:r>
              <w:rPr/>
            </w:r>
          </w:p>
        </w:tc>
      </w:tr>
      <w:tr>
        <w:trPr>
          <w:trHeight w:val="840" w:hRule="atLeast"/>
          <w:cantSplit w:val="true"/>
        </w:trPr>
        <w:tc>
          <w:tcPr>
            <w:tcW w:w="631"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numPr>
                <w:ilvl w:val="0"/>
                <w:numId w:val="4"/>
              </w:numPr>
              <w:snapToGrid w:val="false"/>
              <w:spacing w:lineRule="exact" w:line="240"/>
              <w:jc w:val="both"/>
              <w:rPr/>
            </w:pPr>
            <w:r>
              <w:rPr/>
            </w:r>
          </w:p>
        </w:tc>
        <w:tc>
          <w:tcPr>
            <w:tcW w:w="5863"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numPr>
                <w:ilvl w:val="0"/>
                <w:numId w:val="4"/>
              </w:numPr>
              <w:snapToGrid w:val="false"/>
              <w:spacing w:lineRule="exact" w:line="240"/>
              <w:jc w:val="both"/>
              <w:rPr>
                <w:i/>
                <w:i/>
                <w:iCs/>
              </w:rPr>
            </w:pPr>
            <w:r>
              <w:rPr>
                <w:i/>
                <w:iCs/>
              </w:rPr>
            </w:r>
          </w:p>
        </w:tc>
        <w:tc>
          <w:tcPr>
            <w:tcW w:w="2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both"/>
              <w:rPr/>
            </w:pPr>
            <w:r>
              <w:rPr/>
            </w:r>
          </w:p>
        </w:tc>
      </w:tr>
      <w:tr>
        <w:trPr>
          <w:trHeight w:val="847" w:hRule="atLeast"/>
          <w:cantSplit w:val="true"/>
        </w:trPr>
        <w:tc>
          <w:tcPr>
            <w:tcW w:w="631"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numPr>
                <w:ilvl w:val="0"/>
                <w:numId w:val="3"/>
              </w:numPr>
              <w:snapToGrid w:val="false"/>
              <w:jc w:val="both"/>
              <w:rPr/>
            </w:pPr>
            <w:r>
              <w:rPr/>
            </w:r>
          </w:p>
        </w:tc>
        <w:tc>
          <w:tcPr>
            <w:tcW w:w="586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jc w:val="both"/>
              <w:rPr>
                <w:i/>
                <w:i/>
                <w:iCs/>
              </w:rPr>
            </w:pPr>
            <w:r>
              <w:rPr>
                <w:i/>
                <w:iCs/>
              </w:rPr>
              <w:t>Autres prestations proposées :</w:t>
            </w:r>
          </w:p>
          <w:p>
            <w:pPr>
              <w:pStyle w:val="Normal"/>
              <w:jc w:val="both"/>
              <w:rPr>
                <w:i/>
                <w:i/>
                <w:iCs/>
              </w:rPr>
            </w:pPr>
            <w:r>
              <w:rPr>
                <w:i/>
                <w:iCs/>
              </w:rPr>
            </w:r>
          </w:p>
          <w:p>
            <w:pPr>
              <w:pStyle w:val="Normal"/>
              <w:jc w:val="both"/>
              <w:rPr>
                <w:i/>
                <w:i/>
                <w:iCs/>
              </w:rPr>
            </w:pPr>
            <w:r>
              <w:rPr>
                <w:i/>
                <w:iCs/>
              </w:rPr>
            </w:r>
          </w:p>
          <w:p>
            <w:pPr>
              <w:pStyle w:val="Normal"/>
              <w:jc w:val="both"/>
              <w:rPr>
                <w:i/>
                <w:i/>
                <w:iCs/>
              </w:rPr>
            </w:pPr>
            <w:r>
              <w:rPr>
                <w:i/>
                <w:iCs/>
              </w:rPr>
            </w:r>
          </w:p>
          <w:p>
            <w:pPr>
              <w:pStyle w:val="Normal"/>
              <w:jc w:val="both"/>
              <w:rPr>
                <w:i/>
                <w:i/>
                <w:iCs/>
              </w:rPr>
            </w:pPr>
            <w:r>
              <w:rPr>
                <w:i/>
                <w:iCs/>
              </w:rPr>
            </w:r>
          </w:p>
          <w:p>
            <w:pPr>
              <w:pStyle w:val="Normal"/>
              <w:jc w:val="both"/>
              <w:rPr>
                <w:i/>
                <w:i/>
                <w:iCs/>
              </w:rPr>
            </w:pPr>
            <w:r>
              <w:rPr>
                <w:i/>
                <w:iCs/>
              </w:rPr>
            </w:r>
          </w:p>
          <w:p>
            <w:pPr>
              <w:pStyle w:val="Normal"/>
              <w:jc w:val="both"/>
              <w:rPr>
                <w:i/>
                <w:i/>
                <w:iCs/>
              </w:rPr>
            </w:pPr>
            <w:r>
              <w:rPr>
                <w:i/>
                <w:iCs/>
              </w:rPr>
            </w:r>
          </w:p>
        </w:tc>
        <w:tc>
          <w:tcPr>
            <w:tcW w:w="28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both"/>
              <w:rPr/>
            </w:pPr>
            <w:r>
              <w:rPr/>
            </w:r>
          </w:p>
        </w:tc>
      </w:tr>
    </w:tbl>
    <w:p>
      <w:pPr>
        <w:pStyle w:val="Normal"/>
        <w:rPr>
          <w:b/>
          <w:b/>
          <w:sz w:val="22"/>
          <w:szCs w:val="22"/>
          <w:u w:val="single"/>
        </w:rPr>
      </w:pPr>
      <w:r>
        <w:rPr>
          <w:b/>
          <w:sz w:val="22"/>
          <w:szCs w:val="22"/>
          <w:u w:val="single"/>
        </w:rPr>
        <w:t xml:space="preserve"> </w:t>
      </w:r>
      <w:r>
        <w:br w:type="page"/>
      </w:r>
    </w:p>
    <w:p>
      <w:pPr>
        <w:pStyle w:val="Normal"/>
        <w:rPr>
          <w:b/>
          <w:b/>
          <w:sz w:val="22"/>
          <w:szCs w:val="22"/>
          <w:u w:val="single"/>
        </w:rPr>
      </w:pPr>
      <w:r>
        <w:rPr>
          <w:b/>
          <w:sz w:val="22"/>
          <w:szCs w:val="22"/>
          <w:u w:val="single"/>
        </w:rPr>
      </w:r>
    </w:p>
    <w:tbl>
      <w:tblPr>
        <w:tblW w:w="9686" w:type="dxa"/>
        <w:jc w:val="left"/>
        <w:tblInd w:w="-138"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 w:type="dxa"/>
        </w:tblCellMar>
        <w:tblLook w:firstRow="0" w:noVBand="0" w:lastRow="0" w:firstColumn="0" w:lastColumn="0" w:noHBand="0" w:val="0000"/>
      </w:tblPr>
      <w:tblGrid>
        <w:gridCol w:w="4644"/>
        <w:gridCol w:w="2481"/>
        <w:gridCol w:w="2561"/>
      </w:tblGrid>
      <w:tr>
        <w:trPr/>
        <w:tc>
          <w:tcPr>
            <w:tcW w:w="4644"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sz w:val="22"/>
                <w:szCs w:val="22"/>
              </w:rPr>
            </w:pPr>
            <w:r>
              <w:rPr>
                <w:sz w:val="22"/>
                <w:szCs w:val="22"/>
              </w:rPr>
              <w:t>LCI tous risques expositions maximale pouvant être prposées</w:t>
            </w:r>
          </w:p>
        </w:tc>
        <w:tc>
          <w:tcPr>
            <w:tcW w:w="2481"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jc w:val="right"/>
              <w:rPr>
                <w:sz w:val="22"/>
                <w:szCs w:val="22"/>
              </w:rPr>
            </w:pPr>
            <w:r>
              <w:rPr>
                <w:sz w:val="22"/>
                <w:szCs w:val="22"/>
              </w:rPr>
              <w:t>€</w:t>
            </w:r>
          </w:p>
          <w:p>
            <w:pPr>
              <w:pStyle w:val="Normal"/>
              <w:snapToGrid w:val="false"/>
              <w:jc w:val="right"/>
              <w:rPr>
                <w:sz w:val="22"/>
                <w:szCs w:val="22"/>
              </w:rPr>
            </w:pPr>
            <w:r>
              <w:rPr>
                <w:sz w:val="22"/>
                <w:szCs w:val="22"/>
              </w:rPr>
              <w:t>commentez</w:t>
            </w:r>
          </w:p>
        </w:tc>
        <w:tc>
          <w:tcPr>
            <w:tcW w:w="25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napToGrid w:val="false"/>
              <w:jc w:val="right"/>
              <w:rPr>
                <w:sz w:val="22"/>
                <w:szCs w:val="22"/>
              </w:rPr>
            </w:pPr>
            <w:r>
              <w:rPr>
                <w:sz w:val="22"/>
                <w:szCs w:val="22"/>
              </w:rPr>
            </w:r>
          </w:p>
        </w:tc>
      </w:tr>
      <w:tr>
        <w:trPr/>
        <w:tc>
          <w:tcPr>
            <w:tcW w:w="4644"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sz w:val="22"/>
                <w:szCs w:val="22"/>
              </w:rPr>
            </w:pPr>
            <w:r>
              <w:rPr>
                <w:sz w:val="22"/>
                <w:szCs w:val="22"/>
              </w:rPr>
              <w:t>SEJOUR : A partir de quel montant de valeur exposée, imposerez-vous des mesures de prévention, de sécurisation supplémentaires à celles existantes</w:t>
            </w:r>
          </w:p>
          <w:p>
            <w:pPr>
              <w:pStyle w:val="Normal"/>
              <w:snapToGrid w:val="false"/>
              <w:ind w:left="720" w:hanging="0"/>
              <w:rPr>
                <w:sz w:val="22"/>
                <w:szCs w:val="22"/>
              </w:rPr>
            </w:pPr>
            <w:r>
              <w:rPr>
                <w:sz w:val="22"/>
                <w:szCs w:val="22"/>
              </w:rPr>
            </w:r>
          </w:p>
          <w:p>
            <w:pPr>
              <w:pStyle w:val="Normal"/>
              <w:snapToGrid w:val="false"/>
              <w:rPr>
                <w:sz w:val="22"/>
                <w:szCs w:val="22"/>
              </w:rPr>
            </w:pPr>
            <w:r>
              <w:rPr>
                <w:sz w:val="22"/>
                <w:szCs w:val="22"/>
              </w:rPr>
            </w:r>
          </w:p>
          <w:p>
            <w:pPr>
              <w:pStyle w:val="Normal"/>
              <w:snapToGrid w:val="false"/>
              <w:rPr>
                <w:sz w:val="22"/>
                <w:szCs w:val="22"/>
              </w:rPr>
            </w:pPr>
            <w:r>
              <w:rPr>
                <w:sz w:val="22"/>
                <w:szCs w:val="22"/>
              </w:rPr>
            </w:r>
          </w:p>
        </w:tc>
        <w:tc>
          <w:tcPr>
            <w:tcW w:w="2481"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jc w:val="right"/>
              <w:rPr>
                <w:sz w:val="22"/>
                <w:szCs w:val="22"/>
              </w:rPr>
            </w:pPr>
            <w:r>
              <w:rPr>
                <w:sz w:val="22"/>
                <w:szCs w:val="22"/>
              </w:rPr>
              <w:t>€</w:t>
            </w:r>
          </w:p>
          <w:p>
            <w:pPr>
              <w:pStyle w:val="Normal"/>
              <w:snapToGrid w:val="false"/>
              <w:jc w:val="right"/>
              <w:rPr>
                <w:sz w:val="22"/>
                <w:szCs w:val="22"/>
              </w:rPr>
            </w:pPr>
            <w:r>
              <w:rPr>
                <w:sz w:val="22"/>
                <w:szCs w:val="22"/>
              </w:rPr>
              <w:t>commentez</w:t>
            </w:r>
          </w:p>
        </w:tc>
        <w:tc>
          <w:tcPr>
            <w:tcW w:w="25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napToGrid w:val="false"/>
              <w:jc w:val="right"/>
              <w:rPr>
                <w:sz w:val="22"/>
                <w:szCs w:val="22"/>
              </w:rPr>
            </w:pPr>
            <w:r>
              <w:rPr>
                <w:sz w:val="22"/>
                <w:szCs w:val="22"/>
              </w:rPr>
              <w:t>€</w:t>
            </w:r>
          </w:p>
          <w:p>
            <w:pPr>
              <w:pStyle w:val="Normal"/>
              <w:snapToGrid w:val="false"/>
              <w:jc w:val="right"/>
              <w:rPr>
                <w:sz w:val="22"/>
                <w:szCs w:val="22"/>
              </w:rPr>
            </w:pPr>
            <w:r>
              <w:rPr>
                <w:sz w:val="22"/>
                <w:szCs w:val="22"/>
              </w:rPr>
              <w:t>commentez</w:t>
            </w:r>
          </w:p>
        </w:tc>
      </w:tr>
      <w:tr>
        <w:trPr/>
        <w:tc>
          <w:tcPr>
            <w:tcW w:w="4644"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sz w:val="22"/>
                <w:szCs w:val="22"/>
              </w:rPr>
            </w:pPr>
            <w:r>
              <w:rPr>
                <w:sz w:val="22"/>
                <w:szCs w:val="22"/>
              </w:rPr>
              <w:t>Veuillez confirmer dans quelle mesure la tarification transport remise en bordereau de prix unitaire, est applicable :</w:t>
            </w:r>
          </w:p>
          <w:p>
            <w:pPr>
              <w:pStyle w:val="Normal"/>
              <w:numPr>
                <w:ilvl w:val="0"/>
                <w:numId w:val="6"/>
              </w:numPr>
              <w:snapToGrid w:val="false"/>
              <w:rPr>
                <w:sz w:val="22"/>
                <w:szCs w:val="22"/>
              </w:rPr>
            </w:pPr>
            <w:r>
              <w:rPr>
                <w:sz w:val="22"/>
                <w:szCs w:val="22"/>
              </w:rPr>
              <w:t>Dans le cadre d’exposition temporaire où la garantie séjour ne serait pas demandée (car assurée par ailleurs)</w:t>
            </w:r>
          </w:p>
          <w:p>
            <w:pPr>
              <w:pStyle w:val="Normal"/>
              <w:numPr>
                <w:ilvl w:val="0"/>
                <w:numId w:val="6"/>
              </w:numPr>
              <w:snapToGrid w:val="false"/>
              <w:rPr>
                <w:sz w:val="22"/>
                <w:szCs w:val="22"/>
              </w:rPr>
            </w:pPr>
            <w:r>
              <w:rPr>
                <w:sz w:val="22"/>
                <w:szCs w:val="22"/>
              </w:rPr>
              <w:t>Pour les œuvres permanentes</w:t>
            </w:r>
          </w:p>
        </w:tc>
        <w:tc>
          <w:tcPr>
            <w:tcW w:w="2481"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jc w:val="right"/>
              <w:rPr>
                <w:sz w:val="22"/>
                <w:szCs w:val="22"/>
              </w:rPr>
            </w:pPr>
            <w:r>
              <w:rPr>
                <w:sz w:val="22"/>
                <w:szCs w:val="22"/>
              </w:rPr>
            </w:r>
          </w:p>
          <w:p>
            <w:pPr>
              <w:pStyle w:val="Normal"/>
              <w:snapToGrid w:val="false"/>
              <w:jc w:val="right"/>
              <w:rPr>
                <w:sz w:val="22"/>
                <w:szCs w:val="22"/>
              </w:rPr>
            </w:pPr>
            <w:r>
              <w:rPr>
                <w:sz w:val="22"/>
                <w:szCs w:val="22"/>
              </w:rPr>
            </w:r>
          </w:p>
          <w:p>
            <w:pPr>
              <w:pStyle w:val="Normal"/>
              <w:snapToGrid w:val="false"/>
              <w:jc w:val="right"/>
              <w:rPr>
                <w:sz w:val="22"/>
                <w:szCs w:val="22"/>
              </w:rPr>
            </w:pPr>
            <w:r>
              <w:rPr>
                <w:sz w:val="22"/>
                <w:szCs w:val="22"/>
              </w:rPr>
            </w:r>
          </w:p>
          <w:p>
            <w:pPr>
              <w:pStyle w:val="Normal"/>
              <w:snapToGrid w:val="false"/>
              <w:jc w:val="right"/>
              <w:rPr>
                <w:sz w:val="22"/>
                <w:szCs w:val="22"/>
              </w:rPr>
            </w:pPr>
            <w:r>
              <w:rPr>
                <w:sz w:val="22"/>
                <w:szCs w:val="22"/>
              </w:rPr>
              <w:t>OUI ( ) NON ( )</w:t>
            </w:r>
          </w:p>
          <w:p>
            <w:pPr>
              <w:pStyle w:val="Normal"/>
              <w:snapToGrid w:val="false"/>
              <w:jc w:val="right"/>
              <w:rPr>
                <w:sz w:val="22"/>
                <w:szCs w:val="22"/>
              </w:rPr>
            </w:pPr>
            <w:r>
              <w:rPr>
                <w:sz w:val="22"/>
                <w:szCs w:val="22"/>
              </w:rPr>
            </w:r>
          </w:p>
          <w:p>
            <w:pPr>
              <w:pStyle w:val="Normal"/>
              <w:snapToGrid w:val="false"/>
              <w:jc w:val="right"/>
              <w:rPr>
                <w:sz w:val="22"/>
                <w:szCs w:val="22"/>
              </w:rPr>
            </w:pPr>
            <w:r>
              <w:rPr>
                <w:sz w:val="22"/>
                <w:szCs w:val="22"/>
              </w:rPr>
            </w:r>
          </w:p>
          <w:p>
            <w:pPr>
              <w:pStyle w:val="Normal"/>
              <w:snapToGrid w:val="false"/>
              <w:jc w:val="right"/>
              <w:rPr>
                <w:sz w:val="22"/>
                <w:szCs w:val="22"/>
              </w:rPr>
            </w:pPr>
            <w:r>
              <w:rPr>
                <w:sz w:val="22"/>
                <w:szCs w:val="22"/>
              </w:rPr>
              <w:t>OUI ( ) NON ( )</w:t>
            </w:r>
          </w:p>
        </w:tc>
        <w:tc>
          <w:tcPr>
            <w:tcW w:w="25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napToGrid w:val="false"/>
              <w:jc w:val="right"/>
              <w:rPr>
                <w:sz w:val="22"/>
                <w:szCs w:val="22"/>
              </w:rPr>
            </w:pPr>
            <w:r>
              <w:rPr>
                <w:sz w:val="22"/>
                <w:szCs w:val="22"/>
              </w:rPr>
            </w:r>
          </w:p>
        </w:tc>
      </w:tr>
      <w:tr>
        <w:trPr/>
        <w:tc>
          <w:tcPr>
            <w:tcW w:w="4644"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rPr>
                <w:sz w:val="22"/>
                <w:szCs w:val="22"/>
              </w:rPr>
            </w:pPr>
            <w:r>
              <w:rPr>
                <w:sz w:val="22"/>
                <w:szCs w:val="22"/>
              </w:rPr>
              <w:t>Biens permanents.</w:t>
            </w:r>
          </w:p>
          <w:p>
            <w:pPr>
              <w:pStyle w:val="Normal"/>
              <w:snapToGrid w:val="false"/>
              <w:rPr>
                <w:sz w:val="22"/>
                <w:szCs w:val="22"/>
              </w:rPr>
            </w:pPr>
            <w:r>
              <w:rPr>
                <w:sz w:val="22"/>
                <w:szCs w:val="22"/>
              </w:rPr>
              <w:t>Veuillez confirmer accepter accorder la garantie alors qu’il ne vous est pas remis un listing exhaustif valorisé (et apporter toutes précisions si nécessaire)</w:t>
            </w:r>
          </w:p>
        </w:tc>
        <w:tc>
          <w:tcPr>
            <w:tcW w:w="2481"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napToGrid w:val="false"/>
              <w:jc w:val="right"/>
              <w:rPr>
                <w:sz w:val="22"/>
                <w:szCs w:val="22"/>
              </w:rPr>
            </w:pPr>
            <w:r>
              <w:rPr>
                <w:sz w:val="22"/>
                <w:szCs w:val="22"/>
              </w:rPr>
            </w:r>
          </w:p>
          <w:p>
            <w:pPr>
              <w:pStyle w:val="Normal"/>
              <w:snapToGrid w:val="false"/>
              <w:jc w:val="right"/>
              <w:rPr>
                <w:sz w:val="22"/>
                <w:szCs w:val="22"/>
              </w:rPr>
            </w:pPr>
            <w:r>
              <w:rPr>
                <w:sz w:val="22"/>
                <w:szCs w:val="22"/>
              </w:rPr>
              <w:t>OUI ( ) NON ( )</w:t>
            </w:r>
          </w:p>
        </w:tc>
        <w:tc>
          <w:tcPr>
            <w:tcW w:w="25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napToGrid w:val="false"/>
              <w:jc w:val="right"/>
              <w:rPr>
                <w:sz w:val="22"/>
                <w:szCs w:val="22"/>
              </w:rPr>
            </w:pPr>
            <w:r>
              <w:rPr>
                <w:sz w:val="22"/>
                <w:szCs w:val="22"/>
              </w:rPr>
            </w:r>
          </w:p>
        </w:tc>
      </w:tr>
    </w:tbl>
    <w:p>
      <w:pPr>
        <w:pStyle w:val="Normal"/>
        <w:rPr/>
      </w:pPr>
      <w:r>
        <w:rPr/>
      </w:r>
    </w:p>
    <w:p>
      <w:pPr>
        <w:pStyle w:val="Normal"/>
        <w:rPr>
          <w:b/>
          <w:b/>
          <w:sz w:val="22"/>
          <w:szCs w:val="22"/>
          <w:u w:val="single"/>
        </w:rPr>
      </w:pPr>
      <w:r>
        <w:rPr>
          <w:b/>
          <w:sz w:val="22"/>
          <w:szCs w:val="22"/>
          <w:u w:val="single"/>
        </w:rPr>
      </w:r>
    </w:p>
    <w:p>
      <w:pPr>
        <w:pStyle w:val="Normal"/>
        <w:spacing w:lineRule="exact" w:line="240"/>
        <w:rPr>
          <w:sz w:val="22"/>
          <w:szCs w:val="22"/>
        </w:rPr>
      </w:pPr>
      <w:r>
        <w:rPr>
          <w:sz w:val="22"/>
          <w:szCs w:val="22"/>
        </w:rPr>
        <w:t>Quels montants de garantie(LCI) maxima sont ils proposés ?</w:t>
      </w:r>
    </w:p>
    <w:p>
      <w:pPr>
        <w:pStyle w:val="Normal"/>
        <w:spacing w:lineRule="exact" w:line="240"/>
        <w:rPr>
          <w:sz w:val="22"/>
          <w:szCs w:val="22"/>
        </w:rPr>
      </w:pPr>
      <w:r>
        <w:rPr>
          <w:sz w:val="22"/>
          <w:szCs w:val="22"/>
        </w:rPr>
      </w:r>
    </w:p>
    <w:tbl>
      <w:tblPr>
        <w:tblW w:w="9291" w:type="dxa"/>
        <w:jc w:val="left"/>
        <w:tblInd w:w="-4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3069"/>
        <w:gridCol w:w="2001"/>
        <w:gridCol w:w="4221"/>
      </w:tblGrid>
      <w:tr>
        <w:trPr/>
        <w:tc>
          <w:tcPr>
            <w:tcW w:w="306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exact" w:line="240"/>
              <w:rPr>
                <w:sz w:val="22"/>
                <w:szCs w:val="22"/>
              </w:rPr>
            </w:pPr>
            <w:r>
              <w:rPr>
                <w:sz w:val="22"/>
                <w:szCs w:val="22"/>
              </w:rPr>
              <w:t>Exposition temporaires</w:t>
            </w:r>
          </w:p>
        </w:tc>
        <w:tc>
          <w:tcPr>
            <w:tcW w:w="20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exact" w:line="240"/>
              <w:rPr>
                <w:b/>
                <w:b/>
                <w:bCs/>
                <w:sz w:val="22"/>
                <w:szCs w:val="22"/>
              </w:rPr>
            </w:pPr>
            <w:r>
              <w:rPr>
                <w:sz w:val="22"/>
                <w:szCs w:val="22"/>
              </w:rPr>
              <w:t>Montants de garantie maxima (LCI)</w:t>
            </w:r>
          </w:p>
        </w:tc>
        <w:tc>
          <w:tcPr>
            <w:tcW w:w="42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exact" w:line="240"/>
              <w:rPr>
                <w:sz w:val="22"/>
                <w:szCs w:val="22"/>
              </w:rPr>
            </w:pPr>
            <w:r>
              <w:rPr>
                <w:b/>
                <w:bCs/>
                <w:sz w:val="22"/>
                <w:szCs w:val="22"/>
              </w:rPr>
              <w:t>Observations éventuelles </w:t>
            </w:r>
          </w:p>
        </w:tc>
      </w:tr>
      <w:tr>
        <w:trPr/>
        <w:tc>
          <w:tcPr>
            <w:tcW w:w="306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exact" w:line="240"/>
              <w:rPr>
                <w:sz w:val="22"/>
                <w:szCs w:val="22"/>
              </w:rPr>
            </w:pPr>
            <w:r>
              <w:rPr>
                <w:sz w:val="22"/>
                <w:szCs w:val="22"/>
              </w:rPr>
              <w:t xml:space="preserve">Garanties séjour, compte tenu des moyens de prévention et de sécurisation existant </w:t>
            </w:r>
          </w:p>
        </w:tc>
        <w:tc>
          <w:tcPr>
            <w:tcW w:w="20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lineRule="exact" w:line="240"/>
              <w:jc w:val="right"/>
              <w:rPr>
                <w:sz w:val="22"/>
                <w:szCs w:val="22"/>
              </w:rPr>
            </w:pPr>
            <w:r>
              <w:rPr>
                <w:sz w:val="22"/>
                <w:szCs w:val="22"/>
              </w:rPr>
            </w:r>
          </w:p>
          <w:p>
            <w:pPr>
              <w:pStyle w:val="Normal"/>
              <w:spacing w:lineRule="exact" w:line="240"/>
              <w:jc w:val="right"/>
              <w:rPr>
                <w:sz w:val="22"/>
                <w:szCs w:val="22"/>
              </w:rPr>
            </w:pPr>
            <w:r>
              <w:rPr>
                <w:sz w:val="22"/>
                <w:szCs w:val="22"/>
              </w:rPr>
            </w:r>
          </w:p>
          <w:p>
            <w:pPr>
              <w:pStyle w:val="Normal"/>
              <w:spacing w:lineRule="exact" w:line="240"/>
              <w:jc w:val="right"/>
              <w:rPr>
                <w:sz w:val="22"/>
                <w:szCs w:val="22"/>
              </w:rPr>
            </w:pPr>
            <w:r>
              <w:rPr>
                <w:sz w:val="22"/>
                <w:szCs w:val="22"/>
              </w:rPr>
              <w:t>€</w:t>
            </w:r>
          </w:p>
        </w:tc>
        <w:tc>
          <w:tcPr>
            <w:tcW w:w="42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spacing w:lineRule="exact" w:line="240"/>
              <w:rPr>
                <w:sz w:val="22"/>
                <w:szCs w:val="22"/>
              </w:rPr>
            </w:pPr>
            <w:r>
              <w:rPr>
                <w:sz w:val="22"/>
                <w:szCs w:val="22"/>
              </w:rPr>
            </w:r>
          </w:p>
        </w:tc>
      </w:tr>
      <w:tr>
        <w:trPr/>
        <w:tc>
          <w:tcPr>
            <w:tcW w:w="306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exact" w:line="240"/>
              <w:rPr>
                <w:sz w:val="22"/>
                <w:szCs w:val="22"/>
              </w:rPr>
            </w:pPr>
            <w:r>
              <w:rPr>
                <w:sz w:val="22"/>
                <w:szCs w:val="22"/>
              </w:rPr>
              <w:t>TRANSPORT par un professionnel</w:t>
            </w:r>
          </w:p>
        </w:tc>
        <w:tc>
          <w:tcPr>
            <w:tcW w:w="20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lineRule="exact" w:line="240"/>
              <w:jc w:val="right"/>
              <w:rPr>
                <w:sz w:val="22"/>
                <w:szCs w:val="22"/>
              </w:rPr>
            </w:pPr>
            <w:r>
              <w:rPr>
                <w:sz w:val="22"/>
                <w:szCs w:val="22"/>
              </w:rPr>
            </w:r>
          </w:p>
          <w:p>
            <w:pPr>
              <w:pStyle w:val="Normal"/>
              <w:spacing w:lineRule="exact" w:line="240"/>
              <w:jc w:val="right"/>
              <w:rPr>
                <w:sz w:val="22"/>
                <w:szCs w:val="22"/>
              </w:rPr>
            </w:pPr>
            <w:r>
              <w:rPr>
                <w:sz w:val="22"/>
                <w:szCs w:val="22"/>
              </w:rPr>
              <w:t>€</w:t>
            </w:r>
          </w:p>
        </w:tc>
        <w:tc>
          <w:tcPr>
            <w:tcW w:w="42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spacing w:lineRule="exact" w:line="240"/>
              <w:rPr>
                <w:sz w:val="22"/>
                <w:szCs w:val="22"/>
              </w:rPr>
            </w:pPr>
            <w:r>
              <w:rPr>
                <w:sz w:val="22"/>
                <w:szCs w:val="22"/>
              </w:rPr>
            </w:r>
          </w:p>
        </w:tc>
      </w:tr>
      <w:tr>
        <w:trPr/>
        <w:tc>
          <w:tcPr>
            <w:tcW w:w="306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exact" w:line="240"/>
              <w:rPr>
                <w:sz w:val="22"/>
                <w:szCs w:val="22"/>
              </w:rPr>
            </w:pPr>
            <w:r>
              <w:rPr>
                <w:sz w:val="22"/>
                <w:szCs w:val="22"/>
              </w:rPr>
              <w:t>TRANSPORT en régie directe (par des agents (et/ou élu) de la collectivité</w:t>
            </w:r>
          </w:p>
        </w:tc>
        <w:tc>
          <w:tcPr>
            <w:tcW w:w="20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lineRule="exact" w:line="240"/>
              <w:jc w:val="right"/>
              <w:rPr>
                <w:sz w:val="22"/>
                <w:szCs w:val="22"/>
              </w:rPr>
            </w:pPr>
            <w:r>
              <w:rPr>
                <w:sz w:val="22"/>
                <w:szCs w:val="22"/>
              </w:rPr>
            </w:r>
          </w:p>
          <w:p>
            <w:pPr>
              <w:pStyle w:val="Normal"/>
              <w:spacing w:lineRule="exact" w:line="240"/>
              <w:jc w:val="right"/>
              <w:rPr>
                <w:sz w:val="22"/>
                <w:szCs w:val="22"/>
              </w:rPr>
            </w:pPr>
            <w:r>
              <w:rPr>
                <w:sz w:val="22"/>
                <w:szCs w:val="22"/>
              </w:rPr>
              <w:t>€</w:t>
            </w:r>
          </w:p>
        </w:tc>
        <w:tc>
          <w:tcPr>
            <w:tcW w:w="42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spacing w:lineRule="exact" w:line="240"/>
              <w:rPr>
                <w:sz w:val="22"/>
                <w:szCs w:val="22"/>
              </w:rPr>
            </w:pPr>
            <w:r>
              <w:rPr>
                <w:sz w:val="22"/>
                <w:szCs w:val="22"/>
              </w:rPr>
            </w:r>
          </w:p>
        </w:tc>
      </w:tr>
      <w:tr>
        <w:trPr/>
        <w:tc>
          <w:tcPr>
            <w:tcW w:w="306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exact" w:line="240"/>
              <w:rPr>
                <w:sz w:val="22"/>
                <w:szCs w:val="22"/>
              </w:rPr>
            </w:pPr>
            <w:r>
              <w:rPr>
                <w:sz w:val="22"/>
                <w:szCs w:val="22"/>
              </w:rPr>
              <w:t>TRANSPORT avec des véhicules personnels d’agents ou d’élus</w:t>
            </w:r>
          </w:p>
        </w:tc>
        <w:tc>
          <w:tcPr>
            <w:tcW w:w="20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lineRule="exact" w:line="240"/>
              <w:jc w:val="right"/>
              <w:rPr>
                <w:sz w:val="22"/>
                <w:szCs w:val="22"/>
              </w:rPr>
            </w:pPr>
            <w:r>
              <w:rPr>
                <w:sz w:val="22"/>
                <w:szCs w:val="22"/>
              </w:rPr>
            </w:r>
          </w:p>
          <w:p>
            <w:pPr>
              <w:pStyle w:val="Normal"/>
              <w:spacing w:lineRule="exact" w:line="240"/>
              <w:jc w:val="right"/>
              <w:rPr>
                <w:sz w:val="22"/>
                <w:szCs w:val="22"/>
              </w:rPr>
            </w:pPr>
            <w:r>
              <w:rPr>
                <w:sz w:val="22"/>
                <w:szCs w:val="22"/>
              </w:rPr>
              <w:t>€</w:t>
            </w:r>
          </w:p>
        </w:tc>
        <w:tc>
          <w:tcPr>
            <w:tcW w:w="42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spacing w:lineRule="exact" w:line="240"/>
              <w:rPr>
                <w:sz w:val="22"/>
                <w:szCs w:val="22"/>
              </w:rPr>
            </w:pPr>
            <w:r>
              <w:rPr>
                <w:sz w:val="22"/>
                <w:szCs w:val="22"/>
              </w:rPr>
            </w:r>
          </w:p>
        </w:tc>
      </w:tr>
    </w:tbl>
    <w:p>
      <w:pPr>
        <w:pStyle w:val="Normal"/>
        <w:spacing w:lineRule="exact" w:line="240"/>
        <w:rPr/>
      </w:pPr>
      <w:r>
        <w:rPr/>
      </w:r>
    </w:p>
    <w:tbl>
      <w:tblPr>
        <w:tblW w:w="9291" w:type="dxa"/>
        <w:jc w:val="left"/>
        <w:tblInd w:w="-4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3069"/>
        <w:gridCol w:w="2001"/>
        <w:gridCol w:w="4221"/>
      </w:tblGrid>
      <w:tr>
        <w:trPr/>
        <w:tc>
          <w:tcPr>
            <w:tcW w:w="306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exact" w:line="240"/>
              <w:rPr>
                <w:sz w:val="22"/>
                <w:szCs w:val="22"/>
              </w:rPr>
            </w:pPr>
            <w:r>
              <w:rPr>
                <w:sz w:val="22"/>
                <w:szCs w:val="22"/>
              </w:rPr>
              <w:t>Biens permanents</w:t>
            </w:r>
            <w:r>
              <w:rPr>
                <w:b/>
                <w:sz w:val="28"/>
                <w:szCs w:val="28"/>
              </w:rPr>
              <w:t xml:space="preserve"> </w:t>
            </w:r>
          </w:p>
        </w:tc>
        <w:tc>
          <w:tcPr>
            <w:tcW w:w="20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exact" w:line="240"/>
              <w:rPr>
                <w:vanish/>
                <w:sz w:val="22"/>
                <w:szCs w:val="22"/>
              </w:rPr>
            </w:pPr>
            <w:r>
              <w:rPr>
                <w:sz w:val="22"/>
                <w:szCs w:val="22"/>
              </w:rPr>
              <w:t>Montants de garantie maxima (LCI)</w:t>
            </w:r>
          </w:p>
          <w:p>
            <w:pPr>
              <w:pStyle w:val="Normal"/>
              <w:spacing w:lineRule="exact" w:line="240"/>
              <w:rPr>
                <w:vanish/>
                <w:sz w:val="22"/>
                <w:szCs w:val="22"/>
              </w:rPr>
            </w:pPr>
            <w:r>
              <w:rPr>
                <w:vanish/>
                <w:sz w:val="22"/>
                <w:szCs w:val="22"/>
              </w:rPr>
            </w:r>
          </w:p>
          <w:p>
            <w:pPr>
              <w:pStyle w:val="Normal"/>
              <w:spacing w:lineRule="exact" w:line="240"/>
              <w:rPr/>
            </w:pPr>
            <w:r>
              <w:rPr>
                <w:vanish/>
                <w:sz w:val="22"/>
                <w:szCs w:val="22"/>
              </w:rPr>
              <w:t>our : 2 000 000 € maxiximums)e :</w:t>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r>
              <w:rPr>
                <w:vanish/>
                <w:sz w:val="22"/>
                <w:szCs w:val="22"/>
              </w:rPr>
              <w:fldChar w:fldCharType="begin"/>
            </w:r>
            <w:r>
              <w:instrText> PAGE </w:instrText>
            </w:r>
            <w:r>
              <w:fldChar w:fldCharType="separate"/>
            </w:r>
            <w:r>
              <w:t>0</w:t>
            </w:r>
            <w:r>
              <w:fldChar w:fldCharType="end"/>
            </w:r>
          </w:p>
        </w:tc>
        <w:tc>
          <w:tcPr>
            <w:tcW w:w="42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pacing w:lineRule="exact" w:line="240"/>
              <w:rPr>
                <w:sz w:val="22"/>
                <w:szCs w:val="22"/>
              </w:rPr>
            </w:pPr>
            <w:r>
              <w:rPr>
                <w:b/>
                <w:bCs/>
                <w:sz w:val="22"/>
                <w:szCs w:val="22"/>
              </w:rPr>
              <w:t>Observations éventuelles </w:t>
            </w:r>
          </w:p>
          <w:p>
            <w:pPr>
              <w:pStyle w:val="Normal"/>
              <w:spacing w:lineRule="exact" w:line="240"/>
              <w:rPr>
                <w:sz w:val="22"/>
                <w:szCs w:val="22"/>
              </w:rPr>
            </w:pPr>
            <w:r>
              <w:rPr>
                <w:sz w:val="22"/>
                <w:szCs w:val="22"/>
              </w:rPr>
            </w:r>
          </w:p>
        </w:tc>
      </w:tr>
      <w:tr>
        <w:trPr/>
        <w:tc>
          <w:tcPr>
            <w:tcW w:w="306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exact" w:line="240"/>
              <w:rPr>
                <w:sz w:val="22"/>
                <w:szCs w:val="22"/>
              </w:rPr>
            </w:pPr>
            <w:r>
              <w:rPr>
                <w:sz w:val="22"/>
                <w:szCs w:val="22"/>
              </w:rPr>
              <w:t>Garanties séjour, compte tenu des moyens de prévention et de sécurisation existant</w:t>
            </w:r>
          </w:p>
        </w:tc>
        <w:tc>
          <w:tcPr>
            <w:tcW w:w="20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lineRule="exact" w:line="240"/>
              <w:jc w:val="right"/>
              <w:rPr>
                <w:sz w:val="22"/>
                <w:szCs w:val="22"/>
              </w:rPr>
            </w:pPr>
            <w:r>
              <w:rPr>
                <w:sz w:val="22"/>
                <w:szCs w:val="22"/>
              </w:rPr>
            </w:r>
          </w:p>
          <w:p>
            <w:pPr>
              <w:pStyle w:val="Normal"/>
              <w:spacing w:lineRule="exact" w:line="240"/>
              <w:jc w:val="right"/>
              <w:rPr>
                <w:sz w:val="22"/>
                <w:szCs w:val="22"/>
              </w:rPr>
            </w:pPr>
            <w:r>
              <w:rPr>
                <w:sz w:val="22"/>
                <w:szCs w:val="22"/>
              </w:rPr>
            </w:r>
          </w:p>
          <w:p>
            <w:pPr>
              <w:pStyle w:val="Normal"/>
              <w:spacing w:lineRule="exact" w:line="240"/>
              <w:jc w:val="right"/>
              <w:rPr>
                <w:sz w:val="22"/>
                <w:szCs w:val="22"/>
              </w:rPr>
            </w:pPr>
            <w:r>
              <w:rPr>
                <w:sz w:val="22"/>
                <w:szCs w:val="22"/>
              </w:rPr>
              <w:t>€</w:t>
            </w:r>
          </w:p>
        </w:tc>
        <w:tc>
          <w:tcPr>
            <w:tcW w:w="42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spacing w:lineRule="exact" w:line="240"/>
              <w:rPr>
                <w:sz w:val="22"/>
                <w:szCs w:val="22"/>
              </w:rPr>
            </w:pPr>
            <w:r>
              <w:rPr>
                <w:sz w:val="22"/>
                <w:szCs w:val="22"/>
              </w:rPr>
            </w:r>
          </w:p>
        </w:tc>
      </w:tr>
      <w:tr>
        <w:trPr/>
        <w:tc>
          <w:tcPr>
            <w:tcW w:w="306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exact" w:line="240"/>
              <w:rPr>
                <w:sz w:val="22"/>
                <w:szCs w:val="22"/>
              </w:rPr>
            </w:pPr>
            <w:r>
              <w:rPr>
                <w:sz w:val="22"/>
                <w:szCs w:val="22"/>
              </w:rPr>
              <w:t>TRANSPORT par un professionnel</w:t>
            </w:r>
          </w:p>
        </w:tc>
        <w:tc>
          <w:tcPr>
            <w:tcW w:w="20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lineRule="exact" w:line="240"/>
              <w:jc w:val="right"/>
              <w:rPr>
                <w:sz w:val="22"/>
                <w:szCs w:val="22"/>
              </w:rPr>
            </w:pPr>
            <w:r>
              <w:rPr>
                <w:sz w:val="22"/>
                <w:szCs w:val="22"/>
              </w:rPr>
            </w:r>
          </w:p>
          <w:p>
            <w:pPr>
              <w:pStyle w:val="Normal"/>
              <w:spacing w:lineRule="exact" w:line="240"/>
              <w:jc w:val="right"/>
              <w:rPr>
                <w:sz w:val="22"/>
                <w:szCs w:val="22"/>
              </w:rPr>
            </w:pPr>
            <w:r>
              <w:rPr>
                <w:sz w:val="22"/>
                <w:szCs w:val="22"/>
              </w:rPr>
              <w:t>€</w:t>
            </w:r>
          </w:p>
        </w:tc>
        <w:tc>
          <w:tcPr>
            <w:tcW w:w="42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spacing w:lineRule="exact" w:line="240"/>
              <w:rPr>
                <w:sz w:val="22"/>
                <w:szCs w:val="22"/>
              </w:rPr>
            </w:pPr>
            <w:r>
              <w:rPr>
                <w:sz w:val="22"/>
                <w:szCs w:val="22"/>
              </w:rPr>
            </w:r>
          </w:p>
        </w:tc>
      </w:tr>
      <w:tr>
        <w:trPr/>
        <w:tc>
          <w:tcPr>
            <w:tcW w:w="306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exact" w:line="240"/>
              <w:rPr>
                <w:sz w:val="22"/>
                <w:szCs w:val="22"/>
              </w:rPr>
            </w:pPr>
            <w:r>
              <w:rPr>
                <w:sz w:val="22"/>
                <w:szCs w:val="22"/>
              </w:rPr>
              <w:t>TRANSPORT en régie directe (par des agents (et/ou élu) de la collectivité</w:t>
            </w:r>
          </w:p>
        </w:tc>
        <w:tc>
          <w:tcPr>
            <w:tcW w:w="20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lineRule="exact" w:line="240"/>
              <w:jc w:val="right"/>
              <w:rPr>
                <w:sz w:val="22"/>
                <w:szCs w:val="22"/>
              </w:rPr>
            </w:pPr>
            <w:r>
              <w:rPr>
                <w:sz w:val="22"/>
                <w:szCs w:val="22"/>
              </w:rPr>
            </w:r>
          </w:p>
          <w:p>
            <w:pPr>
              <w:pStyle w:val="Normal"/>
              <w:spacing w:lineRule="exact" w:line="240"/>
              <w:jc w:val="right"/>
              <w:rPr>
                <w:sz w:val="22"/>
                <w:szCs w:val="22"/>
              </w:rPr>
            </w:pPr>
            <w:r>
              <w:rPr>
                <w:sz w:val="22"/>
                <w:szCs w:val="22"/>
              </w:rPr>
              <w:t>€</w:t>
            </w:r>
          </w:p>
        </w:tc>
        <w:tc>
          <w:tcPr>
            <w:tcW w:w="42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spacing w:lineRule="exact" w:line="240"/>
              <w:rPr>
                <w:sz w:val="22"/>
                <w:szCs w:val="22"/>
              </w:rPr>
            </w:pPr>
            <w:r>
              <w:rPr>
                <w:sz w:val="22"/>
                <w:szCs w:val="22"/>
              </w:rPr>
            </w:r>
          </w:p>
        </w:tc>
      </w:tr>
      <w:tr>
        <w:trPr/>
        <w:tc>
          <w:tcPr>
            <w:tcW w:w="306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lineRule="exact" w:line="240"/>
              <w:rPr>
                <w:sz w:val="22"/>
                <w:szCs w:val="22"/>
              </w:rPr>
            </w:pPr>
            <w:r>
              <w:rPr>
                <w:sz w:val="22"/>
                <w:szCs w:val="22"/>
              </w:rPr>
              <w:t>TRANSPORT avec des véhicules personnels d’agents ou de d’élus</w:t>
            </w:r>
          </w:p>
        </w:tc>
        <w:tc>
          <w:tcPr>
            <w:tcW w:w="200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lineRule="exact" w:line="240"/>
              <w:jc w:val="right"/>
              <w:rPr>
                <w:sz w:val="22"/>
                <w:szCs w:val="22"/>
              </w:rPr>
            </w:pPr>
            <w:r>
              <w:rPr>
                <w:sz w:val="22"/>
                <w:szCs w:val="22"/>
              </w:rPr>
            </w:r>
          </w:p>
          <w:p>
            <w:pPr>
              <w:pStyle w:val="Normal"/>
              <w:spacing w:lineRule="exact" w:line="240"/>
              <w:jc w:val="right"/>
              <w:rPr>
                <w:sz w:val="22"/>
                <w:szCs w:val="22"/>
              </w:rPr>
            </w:pPr>
            <w:r>
              <w:rPr>
                <w:sz w:val="22"/>
                <w:szCs w:val="22"/>
              </w:rPr>
              <w:t>€</w:t>
            </w:r>
          </w:p>
        </w:tc>
        <w:tc>
          <w:tcPr>
            <w:tcW w:w="42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snapToGrid w:val="false"/>
              <w:spacing w:lineRule="exact" w:line="240"/>
              <w:rPr>
                <w:sz w:val="22"/>
                <w:szCs w:val="22"/>
              </w:rPr>
            </w:pPr>
            <w:r>
              <w:rPr>
                <w:sz w:val="22"/>
                <w:szCs w:val="22"/>
              </w:rPr>
            </w:r>
          </w:p>
        </w:tc>
      </w:tr>
    </w:tbl>
    <w:p>
      <w:pPr>
        <w:pStyle w:val="Normal"/>
        <w:jc w:val="center"/>
        <w:rPr>
          <w:sz w:val="22"/>
          <w:szCs w:val="22"/>
        </w:rPr>
      </w:pPr>
      <w:r>
        <w:rPr>
          <w:sz w:val="22"/>
          <w:szCs w:val="22"/>
        </w:rPr>
        <w:t xml:space="preserve">- Il est demandé au candidat de remplir </w:t>
      </w:r>
      <w:r>
        <w:rPr>
          <w:b/>
          <w:bCs/>
          <w:sz w:val="22"/>
          <w:szCs w:val="22"/>
        </w:rPr>
        <w:t>le tableau estimatif ci-annexé.</w:t>
      </w:r>
    </w:p>
    <w:p>
      <w:pPr>
        <w:pStyle w:val="Normal"/>
        <w:jc w:val="center"/>
        <w:rPr/>
      </w:pPr>
      <w:r>
        <w:rPr>
          <w:sz w:val="22"/>
          <w:szCs w:val="22"/>
        </w:rPr>
        <w:t xml:space="preserve">     </w:t>
      </w:r>
      <w:r>
        <w:rPr>
          <w:sz w:val="22"/>
          <w:szCs w:val="22"/>
        </w:rPr>
        <w:t>- Si nécessaire , le candidat peut joindre  en  annexe une note méthodologique détaillant les modalités mises en œuvre pour la gestion du contrat et des dossiers sinistres y afférents.</w:t>
        <w:tab/>
      </w:r>
    </w:p>
    <w:sectPr>
      <w:headerReference w:type="default" r:id="rId2"/>
      <w:footerReference w:type="default" r:id="rId3"/>
      <w:type w:val="nextPage"/>
      <w:pgSz w:w="11906" w:h="16838"/>
      <w:pgMar w:left="1418" w:right="1418" w:header="426" w:top="1276" w:footer="720" w:bottom="77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w:altName w:val="Courier New"/>
    <w:charset w:val="00"/>
    <w:family w:val="roman"/>
    <w:pitch w:val="variable"/>
  </w:font>
  <w:font w:name="Courier New">
    <w:charset w:val="00"/>
    <w:family w:val="roman"/>
    <w:pitch w:val="variable"/>
  </w:font>
  <w:font w:name="Arial">
    <w:charset w:val="00"/>
    <w:family w:val="roman"/>
    <w:pitch w:val="variable"/>
  </w:font>
  <w:font w:name="Symbol">
    <w:charset w:val="00"/>
    <w:family w:val="roman"/>
    <w:pitch w:val="variable"/>
  </w:font>
  <w:font w:name="Wingdings">
    <w:charset w:val="00"/>
    <w:family w:val="roman"/>
    <w:pitch w:val="variable"/>
  </w:font>
  <w:font w:name="Liberation Sans">
    <w:altName w:val="Arial"/>
    <w:charset w:val="00"/>
    <w:family w:val="swiss"/>
    <w:pitch w:val="variable"/>
  </w:font>
  <w:font w:name="Comic Sans MS">
    <w:charset w:val="00"/>
    <w:family w:val="roman"/>
    <w:pitch w:val="variable"/>
  </w:font>
  <w:font w:name="Tahom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p>
    <w:pPr>
      <w:pStyle w:val="Entte"/>
      <w:rPr/>
    </w:pPr>
    <w:r>
      <w:rPr/>
    </w:r>
  </w:p>
  <w:p>
    <w:pPr>
      <w:pStyle w:val="Entte"/>
      <w:rPr/>
    </w:pPr>
    <w:r>
      <w:rPr/>
    </w:r>
  </w:p>
  <w:p>
    <w:pPr>
      <w:pStyle w:val="Entte"/>
      <w:rPr/>
    </w:pPr>
    <w:r>
      <w:rPr/>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9"/>
      <w:pStyle w:val="Titre6"/>
      <w:numFmt w:val="upperLetter"/>
      <w:lvlText w:val="%1."/>
      <w:lvlJc w:val="left"/>
      <w:pPr>
        <w:tabs>
          <w:tab w:val="num" w:pos="720"/>
        </w:tabs>
        <w:ind w:left="720" w:hanging="360"/>
      </w:pPr>
      <w:rPr>
        <w:b/>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Titre5"/>
      <w:numFmt w:val="decimal"/>
      <w:lvlText w:val="%5."/>
      <w:lvlJc w:val="left"/>
      <w:pPr>
        <w:tabs>
          <w:tab w:val="num" w:pos="2160"/>
        </w:tabs>
        <w:ind w:left="2160" w:hanging="36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tabs>
          <w:tab w:val="num" w:pos="720"/>
        </w:tabs>
        <w:ind w:left="720" w:hanging="360"/>
      </w:pPr>
      <w:rPr>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720" w:hanging="360"/>
      </w:pPr>
      <w:rPr>
        <w:rFonts w:ascii="Symbol" w:hAnsi="Symbol" w:cs="Symbol" w:hint="default"/>
        <w:sz w:val="22"/>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60"/>
      </w:pPr>
    </w:lvl>
    <w:lvl w:ilvl="2">
      <w:start w:val="1"/>
      <w:numFmt w:val="lowerRoman"/>
      <w:lvlText w:val="%3."/>
      <w:lvlJc w:val="right"/>
      <w:pPr>
        <w:tabs>
          <w:tab w:val="num" w:pos="1457"/>
        </w:tabs>
        <w:ind w:left="1457" w:hanging="180"/>
      </w:pPr>
    </w:lvl>
    <w:lvl w:ilvl="3">
      <w:start w:val="1"/>
      <w:numFmt w:val="decimal"/>
      <w:lvlText w:val="%4."/>
      <w:lvlJc w:val="left"/>
      <w:pPr>
        <w:tabs>
          <w:tab w:val="num" w:pos="2177"/>
        </w:tabs>
        <w:ind w:left="2177" w:hanging="360"/>
      </w:pPr>
    </w:lvl>
    <w:lvl w:ilvl="4">
      <w:start w:val="1"/>
      <w:numFmt w:val="lowerLetter"/>
      <w:lvlText w:val="%5."/>
      <w:lvlJc w:val="left"/>
      <w:pPr>
        <w:tabs>
          <w:tab w:val="num" w:pos="2897"/>
        </w:tabs>
        <w:ind w:left="2897" w:hanging="360"/>
      </w:pPr>
    </w:lvl>
    <w:lvl w:ilvl="5">
      <w:start w:val="1"/>
      <w:numFmt w:val="lowerRoman"/>
      <w:lvlText w:val="%6."/>
      <w:lvlJc w:val="right"/>
      <w:pPr>
        <w:tabs>
          <w:tab w:val="num" w:pos="3617"/>
        </w:tabs>
        <w:ind w:left="3617" w:hanging="180"/>
      </w:pPr>
    </w:lvl>
    <w:lvl w:ilvl="6">
      <w:start w:val="1"/>
      <w:numFmt w:val="decimal"/>
      <w:lvlText w:val="%7."/>
      <w:lvlJc w:val="left"/>
      <w:pPr>
        <w:tabs>
          <w:tab w:val="num" w:pos="4337"/>
        </w:tabs>
        <w:ind w:left="4337" w:hanging="360"/>
      </w:pPr>
    </w:lvl>
    <w:lvl w:ilvl="7">
      <w:start w:val="1"/>
      <w:numFmt w:val="lowerLetter"/>
      <w:lvlText w:val="%8."/>
      <w:lvlJc w:val="left"/>
      <w:pPr>
        <w:tabs>
          <w:tab w:val="num" w:pos="5057"/>
        </w:tabs>
        <w:ind w:left="5057" w:hanging="360"/>
      </w:pPr>
    </w:lvl>
    <w:lvl w:ilvl="8">
      <w:start w:val="1"/>
      <w:numFmt w:val="lowerRoman"/>
      <w:lvlText w:val="%9."/>
      <w:lvlJc w:val="right"/>
      <w:pPr>
        <w:tabs>
          <w:tab w:val="num" w:pos="5777"/>
        </w:tabs>
        <w:ind w:left="5777"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embedSystemFonts/>
  <w:defaultTabStop w:val="703"/>
  <w:autoHyphenation w:val="false"/>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jc w:val="left"/>
    </w:pPr>
    <w:rPr>
      <w:rFonts w:ascii="Times New Roman" w:hAnsi="Times New Roman" w:eastAsia="Times New Roman" w:cs="Times New Roman"/>
      <w:color w:val="auto"/>
      <w:sz w:val="20"/>
      <w:szCs w:val="20"/>
      <w:lang w:eastAsia="zh-CN" w:val="fr-FR" w:bidi="ar-SA"/>
    </w:rPr>
  </w:style>
  <w:style w:type="paragraph" w:styleId="Titre1">
    <w:name w:val="Heading 1"/>
    <w:basedOn w:val="Normal"/>
    <w:next w:val="Normal"/>
    <w:qFormat/>
    <w:pPr>
      <w:keepNext w:val="true"/>
      <w:outlineLvl w:val="0"/>
    </w:pPr>
    <w:rPr>
      <w:rFonts w:ascii="Courier" w:hAnsi="Courier" w:cs="Courier"/>
      <w:b/>
      <w:sz w:val="24"/>
    </w:rPr>
  </w:style>
  <w:style w:type="paragraph" w:styleId="Titre2">
    <w:name w:val="Heading 2"/>
    <w:basedOn w:val="Normal"/>
    <w:next w:val="Normal"/>
    <w:qFormat/>
    <w:pPr>
      <w:keepNext w:val="true"/>
      <w:jc w:val="both"/>
      <w:outlineLvl w:val="1"/>
    </w:pPr>
    <w:rPr>
      <w:rFonts w:ascii="Courier New" w:hAnsi="Courier New" w:cs="Courier New"/>
      <w:b/>
      <w:bCs/>
      <w:sz w:val="24"/>
    </w:rPr>
  </w:style>
  <w:style w:type="paragraph" w:styleId="Titre3">
    <w:name w:val="Heading 3"/>
    <w:basedOn w:val="Normal"/>
    <w:next w:val="Normal"/>
    <w:qFormat/>
    <w:pPr>
      <w:keepNext w:val="true"/>
      <w:spacing w:lineRule="exact" w:line="240"/>
      <w:jc w:val="center"/>
      <w:outlineLvl w:val="2"/>
    </w:pPr>
    <w:rPr>
      <w:rFonts w:ascii="Courier" w:hAnsi="Courier" w:cs="Courier"/>
      <w:b/>
      <w:bCs/>
      <w:sz w:val="22"/>
    </w:rPr>
  </w:style>
  <w:style w:type="paragraph" w:styleId="Titre4">
    <w:name w:val="Heading 4"/>
    <w:basedOn w:val="Normal"/>
    <w:next w:val="Normal"/>
    <w:qFormat/>
    <w:pPr>
      <w:keepNext w:val="true"/>
      <w:pBdr>
        <w:top w:val="single" w:sz="4" w:space="1" w:color="000001"/>
        <w:left w:val="single" w:sz="4" w:space="4" w:color="000001"/>
        <w:bottom w:val="single" w:sz="4" w:space="1" w:color="000001"/>
        <w:right w:val="single" w:sz="4" w:space="4" w:color="000001"/>
      </w:pBdr>
      <w:shd w:val="clear" w:color="auto" w:fill="E6E6E6"/>
      <w:spacing w:lineRule="exact" w:line="240"/>
      <w:jc w:val="both"/>
      <w:outlineLvl w:val="3"/>
    </w:pPr>
    <w:rPr>
      <w:b/>
      <w:bCs/>
      <w:sz w:val="22"/>
    </w:rPr>
  </w:style>
  <w:style w:type="paragraph" w:styleId="Titre5">
    <w:name w:val="Heading 5"/>
    <w:basedOn w:val="Normal"/>
    <w:next w:val="Normal"/>
    <w:qFormat/>
    <w:pPr>
      <w:keepNext w:val="true"/>
      <w:numPr>
        <w:ilvl w:val="4"/>
        <w:numId w:val="1"/>
      </w:numPr>
      <w:spacing w:lineRule="exact" w:line="240"/>
      <w:outlineLvl w:val="4"/>
    </w:pPr>
    <w:rPr>
      <w:rFonts w:ascii="Courier" w:hAnsi="Courier" w:cs="Courier"/>
      <w:sz w:val="24"/>
    </w:rPr>
  </w:style>
  <w:style w:type="paragraph" w:styleId="Titre6">
    <w:name w:val="Heading 6"/>
    <w:basedOn w:val="Normal"/>
    <w:next w:val="Normal"/>
    <w:qFormat/>
    <w:pPr>
      <w:keepNext w:val="true"/>
      <w:numPr>
        <w:ilvl w:val="0"/>
        <w:numId w:val="1"/>
      </w:numPr>
      <w:jc w:val="both"/>
      <w:outlineLvl w:val="0"/>
    </w:pPr>
    <w:rPr>
      <w:rFonts w:ascii="Arial" w:hAnsi="Arial" w:cs="Arial"/>
      <w:sz w:val="24"/>
    </w:rPr>
  </w:style>
  <w:style w:type="paragraph" w:styleId="Titre8">
    <w:name w:val="Heading 8"/>
    <w:basedOn w:val="Normal"/>
    <w:next w:val="Normal"/>
    <w:qFormat/>
    <w:pPr>
      <w:spacing w:before="240" w:after="60"/>
      <w:outlineLvl w:val="7"/>
    </w:pPr>
    <w:rPr>
      <w:i/>
      <w:iCs/>
      <w:sz w:val="24"/>
      <w:szCs w:val="24"/>
    </w:rPr>
  </w:style>
  <w:style w:type="paragraph" w:styleId="Titre9">
    <w:name w:val="Heading 9"/>
    <w:basedOn w:val="Normal"/>
    <w:next w:val="Normal"/>
    <w:qFormat/>
    <w:pPr>
      <w:keepNext w:val="true"/>
      <w:jc w:val="center"/>
      <w:outlineLvl w:val="8"/>
    </w:pPr>
    <w:rPr>
      <w:rFonts w:ascii="Arial" w:hAnsi="Arial" w:cs="Arial"/>
      <w:b/>
      <w:i/>
      <w:iCs/>
      <w:sz w:val="24"/>
    </w:rPr>
  </w:style>
  <w:style w:type="character" w:styleId="DefaultParagraphFont" w:default="1">
    <w:name w:val="Default Paragraph Font"/>
    <w:uiPriority w:val="1"/>
    <w:semiHidden/>
    <w:unhideWhenUsed/>
    <w:qFormat/>
    <w:rPr/>
  </w:style>
  <w:style w:type="character" w:styleId="WW8Num2z0" w:customStyle="1">
    <w:name w:val="WW8Num2z0"/>
    <w:qFormat/>
    <w:rPr>
      <w:b/>
    </w:rPr>
  </w:style>
  <w:style w:type="character" w:styleId="WW8Num4z0" w:customStyle="1">
    <w:name w:val="WW8Num4z0"/>
    <w:qFormat/>
    <w:rPr>
      <w:rFonts w:ascii="Symbol" w:hAnsi="Symbol" w:cs="Symbol"/>
    </w:rPr>
  </w:style>
  <w:style w:type="character" w:styleId="WW8Num7z0" w:customStyle="1">
    <w:name w:val="WW8Num7z0"/>
    <w:qFormat/>
    <w:rPr>
      <w:rFonts w:ascii="Symbol" w:hAnsi="Symbol" w:cs="Symbol"/>
    </w:rPr>
  </w:style>
  <w:style w:type="character" w:styleId="WW8Num10z0" w:customStyle="1">
    <w:name w:val="WW8Num10z0"/>
    <w:qFormat/>
    <w:rPr>
      <w:rFonts w:ascii="Symbol" w:hAnsi="Symbol" w:cs="Symbol"/>
    </w:rPr>
  </w:style>
  <w:style w:type="character" w:styleId="WW8Num11z0" w:customStyle="1">
    <w:name w:val="WW8Num11z0"/>
    <w:qFormat/>
    <w:rPr>
      <w:b/>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3z0" w:customStyle="1">
    <w:name w:val="WW8Num13z0"/>
    <w:qFormat/>
    <w:rPr>
      <w:rFonts w:ascii="Symbol" w:hAnsi="Symbol" w:cs="Symbol"/>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ascii="Symbol" w:hAnsi="Symbol" w:cs="Symbol"/>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Policepardfaut3" w:customStyle="1">
    <w:name w:val="Police par défaut3"/>
    <w:qFormat/>
    <w:rPr/>
  </w:style>
  <w:style w:type="character" w:styleId="Policepardfaut2" w:customStyle="1">
    <w:name w:val="Police par défaut2"/>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8Num1z0" w:customStyle="1">
    <w:name w:val="WW8Num1z0"/>
    <w:qFormat/>
    <w:rPr>
      <w:rFonts w:ascii="Symbol" w:hAnsi="Symbol" w:cs="Courier"/>
    </w:rPr>
  </w:style>
  <w:style w:type="character" w:styleId="WW8Num2z1" w:customStyle="1">
    <w:name w:val="WW8Num2z1"/>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Policepardfaut1" w:customStyle="1">
    <w:name w:val="Police par défaut1"/>
    <w:qFormat/>
    <w:rPr/>
  </w:style>
  <w:style w:type="character" w:styleId="Pagenumber">
    <w:name w:val="page number"/>
    <w:basedOn w:val="Policepardfaut1"/>
    <w:qFormat/>
    <w:rPr/>
  </w:style>
  <w:style w:type="character" w:styleId="Caractresdenotedebasdepage" w:customStyle="1">
    <w:name w:val="Caractères de note de bas de page"/>
    <w:qFormat/>
    <w:rPr>
      <w:vertAlign w:val="superscript"/>
    </w:rPr>
  </w:style>
  <w:style w:type="character" w:styleId="Marquedecommentaire1" w:customStyle="1">
    <w:name w:val="Marque de commentaire1"/>
    <w:qFormat/>
    <w:rPr>
      <w:sz w:val="16"/>
      <w:szCs w:val="16"/>
    </w:rPr>
  </w:style>
  <w:style w:type="character" w:styleId="CorpsdetexteCar" w:customStyle="1">
    <w:name w:val="Corps de texte Car"/>
    <w:qFormat/>
    <w:rPr>
      <w:rFonts w:ascii="Courier" w:hAnsi="Courier" w:cs="Courier"/>
      <w:sz w:val="24"/>
    </w:rPr>
  </w:style>
  <w:style w:type="character" w:styleId="Titre2Car" w:customStyle="1">
    <w:name w:val="Titre 2 Car"/>
    <w:qFormat/>
    <w:rPr>
      <w:rFonts w:ascii="Courier New" w:hAnsi="Courier New" w:cs="Courier New"/>
      <w:b/>
      <w:bCs/>
      <w:sz w:val="24"/>
    </w:rPr>
  </w:style>
  <w:style w:type="character" w:styleId="Appelnotedebasdep1" w:customStyle="1">
    <w:name w:val="Appel note de bas de p.1"/>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Endnotereference">
    <w:name w:val="endnote reference"/>
    <w:qFormat/>
    <w:rPr>
      <w:vertAlign w:val="superscript"/>
    </w:rPr>
  </w:style>
  <w:style w:type="character" w:styleId="Marquedecommentaire2" w:customStyle="1">
    <w:name w:val="Marque de commentaire2"/>
    <w:qFormat/>
    <w:rPr>
      <w:sz w:val="16"/>
      <w:szCs w:val="16"/>
    </w:rPr>
  </w:style>
  <w:style w:type="character" w:styleId="CommentaireCar" w:customStyle="1">
    <w:name w:val="Commentaire Car"/>
    <w:qFormat/>
    <w:rPr>
      <w:lang w:eastAsia="zh-CN"/>
    </w:rPr>
  </w:style>
  <w:style w:type="character" w:styleId="ObjetducommentaireCar" w:customStyle="1">
    <w:name w:val="Objet du commentaire Car"/>
    <w:qFormat/>
    <w:rPr>
      <w:b/>
      <w:bCs/>
      <w:lang w:eastAsia="zh-CN"/>
    </w:rPr>
  </w:style>
  <w:style w:type="character" w:styleId="Appelnotedebasdep2" w:customStyle="1">
    <w:name w:val="Appel note de bas de p.2"/>
    <w:qFormat/>
    <w:rPr>
      <w:vertAlign w:val="superscript"/>
    </w:rPr>
  </w:style>
  <w:style w:type="character" w:styleId="ListLabel1">
    <w:name w:val="ListLabel 1"/>
    <w:qFormat/>
    <w:rPr>
      <w:b/>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b/>
      <w:sz w:val="22"/>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jc w:val="both"/>
    </w:pPr>
    <w:rPr>
      <w:rFonts w:ascii="Courier" w:hAnsi="Courier" w:cs="Courier"/>
      <w:sz w:val="24"/>
      <w:lang w:val="x-none"/>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Mangal"/>
    </w:rPr>
  </w:style>
  <w:style w:type="paragraph" w:styleId="Titre31" w:customStyle="1">
    <w:name w:val="Titre3"/>
    <w:basedOn w:val="Normal"/>
    <w:qFormat/>
    <w:pPr>
      <w:keepNext w:val="true"/>
      <w:spacing w:before="240" w:after="120"/>
    </w:pPr>
    <w:rPr>
      <w:rFonts w:ascii="Arial" w:hAnsi="Arial" w:eastAsia="Lucida Sans Unicode"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itre21" w:customStyle="1">
    <w:name w:val="Titre2"/>
    <w:basedOn w:val="Normal"/>
    <w:qFormat/>
    <w:pPr>
      <w:keepNext w:val="true"/>
      <w:spacing w:before="240" w:after="120"/>
    </w:pPr>
    <w:rPr>
      <w:rFonts w:ascii="Arial" w:hAnsi="Arial" w:eastAsia="Lucida Sans Unicode" w:cs="Mangal"/>
      <w:sz w:val="28"/>
      <w:szCs w:val="28"/>
    </w:rPr>
  </w:style>
  <w:style w:type="paragraph" w:styleId="Titre11" w:customStyle="1">
    <w:name w:val="Titre1"/>
    <w:basedOn w:val="Normal"/>
    <w:qFormat/>
    <w:pPr>
      <w:pBdr>
        <w:top w:val="single" w:sz="4" w:space="1" w:color="000001"/>
        <w:left w:val="single" w:sz="4" w:space="4" w:color="000001"/>
        <w:bottom w:val="single" w:sz="4" w:space="1" w:color="000001"/>
        <w:right w:val="single" w:sz="4" w:space="4" w:color="000001"/>
      </w:pBdr>
      <w:spacing w:lineRule="exact" w:line="240"/>
      <w:jc w:val="center"/>
    </w:pPr>
    <w:rPr>
      <w:rFonts w:ascii="Comic Sans MS" w:hAnsi="Comic Sans MS" w:cs="Comic Sans MS"/>
      <w:b/>
      <w:sz w:val="24"/>
    </w:rPr>
  </w:style>
  <w:style w:type="paragraph" w:styleId="Entte">
    <w:name w:val="Header"/>
    <w:basedOn w:val="Normal"/>
    <w:pPr>
      <w:tabs>
        <w:tab w:val="center" w:pos="4536" w:leader="none"/>
        <w:tab w:val="right" w:pos="9072" w:leader="none"/>
      </w:tabs>
    </w:pPr>
    <w:rPr/>
  </w:style>
  <w:style w:type="paragraph" w:styleId="Pieddepage">
    <w:name w:val="Footer"/>
    <w:basedOn w:val="Normal"/>
    <w:pPr>
      <w:tabs>
        <w:tab w:val="center" w:pos="4536" w:leader="none"/>
        <w:tab w:val="right" w:pos="9072" w:leader="none"/>
      </w:tabs>
    </w:pPr>
    <w:rPr/>
  </w:style>
  <w:style w:type="paragraph" w:styleId="Retraitdecorpsdetexte">
    <w:name w:val="Body Text Indent"/>
    <w:basedOn w:val="Normal"/>
    <w:pPr>
      <w:pBdr>
        <w:top w:val="single" w:sz="4" w:space="1" w:color="000001"/>
        <w:left w:val="single" w:sz="4" w:space="4" w:color="000001"/>
        <w:bottom w:val="single" w:sz="4" w:space="1" w:color="000001"/>
        <w:right w:val="single" w:sz="4" w:space="4" w:color="000001"/>
      </w:pBdr>
      <w:ind w:left="709" w:hanging="0"/>
    </w:pPr>
    <w:rPr>
      <w:rFonts w:ascii="Courier" w:hAnsi="Courier" w:cs="Courier"/>
      <w:b/>
      <w:sz w:val="24"/>
    </w:rPr>
  </w:style>
  <w:style w:type="paragraph" w:styleId="Corpsdetexte21" w:customStyle="1">
    <w:name w:val="Corps de texte 21"/>
    <w:basedOn w:val="Normal"/>
    <w:qFormat/>
    <w:pPr/>
    <w:rPr>
      <w:rFonts w:ascii="Courier" w:hAnsi="Courier" w:cs="Courier"/>
      <w:sz w:val="24"/>
    </w:rPr>
  </w:style>
  <w:style w:type="paragraph" w:styleId="Retraitcorpsdetexte21" w:customStyle="1">
    <w:name w:val="Retrait corps de texte 21"/>
    <w:basedOn w:val="Normal"/>
    <w:qFormat/>
    <w:pPr>
      <w:ind w:firstLine="708"/>
      <w:jc w:val="both"/>
    </w:pPr>
    <w:rPr>
      <w:rFonts w:ascii="Courier New" w:hAnsi="Courier New" w:cs="Courier New"/>
      <w:sz w:val="24"/>
    </w:rPr>
  </w:style>
  <w:style w:type="paragraph" w:styleId="Corpsdetexte31" w:customStyle="1">
    <w:name w:val="Corps de texte 31"/>
    <w:basedOn w:val="Normal"/>
    <w:qFormat/>
    <w:pPr>
      <w:pBdr>
        <w:top w:val="single" w:sz="4" w:space="1" w:color="000001"/>
        <w:left w:val="single" w:sz="4" w:space="4" w:color="000001"/>
        <w:bottom w:val="single" w:sz="4" w:space="1" w:color="000001"/>
        <w:right w:val="single" w:sz="4" w:space="4" w:color="000001"/>
      </w:pBdr>
      <w:jc w:val="both"/>
    </w:pPr>
    <w:rPr>
      <w:rFonts w:ascii="Courier" w:hAnsi="Courier" w:cs="Courier"/>
      <w:sz w:val="24"/>
    </w:rPr>
  </w:style>
  <w:style w:type="paragraph" w:styleId="BalloonText">
    <w:name w:val="Balloon Text"/>
    <w:basedOn w:val="Normal"/>
    <w:qFormat/>
    <w:pPr/>
    <w:rPr>
      <w:rFonts w:ascii="Tahoma" w:hAnsi="Tahoma" w:cs="Tahoma"/>
      <w:sz w:val="16"/>
      <w:szCs w:val="16"/>
    </w:rPr>
  </w:style>
  <w:style w:type="paragraph" w:styleId="Footnotetext">
    <w:name w:val="footnote text"/>
    <w:basedOn w:val="Normal"/>
    <w:qFormat/>
    <w:pPr/>
    <w:rPr>
      <w:sz w:val="16"/>
      <w:szCs w:val="16"/>
    </w:rPr>
  </w:style>
  <w:style w:type="paragraph" w:styleId="TabulationPoints2" w:customStyle="1">
    <w:name w:val="Tabulation - Points 2"/>
    <w:basedOn w:val="Normal"/>
    <w:qFormat/>
    <w:pPr>
      <w:tabs>
        <w:tab w:val="left" w:pos="9072" w:leader="dot"/>
      </w:tabs>
    </w:pPr>
    <w:rPr>
      <w:sz w:val="22"/>
      <w:szCs w:val="22"/>
    </w:rPr>
  </w:style>
  <w:style w:type="paragraph" w:styleId="TabulationPoints" w:customStyle="1">
    <w:name w:val="Tabulation - Points"/>
    <w:basedOn w:val="Normal"/>
    <w:qFormat/>
    <w:pPr>
      <w:tabs>
        <w:tab w:val="left" w:pos="9072" w:leader="dot"/>
      </w:tabs>
      <w:ind w:left="284" w:hanging="0"/>
    </w:pPr>
    <w:rPr>
      <w:sz w:val="22"/>
      <w:szCs w:val="22"/>
    </w:rPr>
  </w:style>
  <w:style w:type="paragraph" w:styleId="Personnemorale" w:customStyle="1">
    <w:name w:val="Personne morale"/>
    <w:basedOn w:val="Normal"/>
    <w:qFormat/>
    <w:pPr/>
    <w:rPr>
      <w:b/>
      <w:bCs/>
      <w:sz w:val="22"/>
      <w:szCs w:val="22"/>
      <w:lang w:eastAsia="fr-FR"/>
    </w:rPr>
  </w:style>
  <w:style w:type="paragraph" w:styleId="Retraitcorpsdetexte31" w:customStyle="1">
    <w:name w:val="Retrait corps de texte 31"/>
    <w:basedOn w:val="Normal"/>
    <w:qFormat/>
    <w:pPr>
      <w:ind w:left="360" w:hanging="0"/>
      <w:jc w:val="both"/>
    </w:pPr>
    <w:rPr>
      <w:rFonts w:ascii="Arial Narrow" w:hAnsi="Arial Narrow" w:cs="Arial"/>
      <w:sz w:val="22"/>
    </w:rPr>
  </w:style>
  <w:style w:type="paragraph" w:styleId="Commentaire1" w:customStyle="1">
    <w:name w:val="Commentaire1"/>
    <w:basedOn w:val="Normal"/>
    <w:qFormat/>
    <w:pPr/>
    <w:rPr/>
  </w:style>
  <w:style w:type="paragraph" w:styleId="ListParagraph">
    <w:name w:val="List Paragraph"/>
    <w:basedOn w:val="Normal"/>
    <w:qFormat/>
    <w:pPr>
      <w:ind w:left="708" w:hanging="0"/>
    </w:pPr>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tyle>
  <w:style w:type="paragraph" w:styleId="Annotationsubject">
    <w:name w:val="annotation subject"/>
    <w:basedOn w:val="Commentaire2"/>
    <w:next w:val="Commentaire2"/>
    <w:qFormat/>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LibreOffice/5.3.6.1$Windows_x86 LibreOffice_project/686f202eff87ef707079aeb7f485847613344eb7</Application>
  <Pages>6</Pages>
  <Words>1544</Words>
  <Characters>7744</Characters>
  <CharactersWithSpaces>9393</CharactersWithSpaces>
  <Paragraphs>211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2021-07-01T16:34:00Z</dcterms:created>
  <dc:creator>audit assurances</dc:creator>
  <dc:description/>
  <cp:keywords>VILLE</cp:keywords>
  <dc:language>fr-FR</dc:language>
  <cp:lastModifiedBy/>
  <cp:lastPrinted>2014-07-06T19:56:00Z</cp:lastPrinted>
  <dcterms:modified xsi:type="dcterms:W3CDTF">2021-07-22T11:58:44Z</dcterms:modified>
  <cp:revision>4</cp:revision>
  <dc:subject/>
  <dc:title>FORM DOMMAGES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