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2.wmf" ContentType="image/x-wmf"/>
  <Override PartName="/word/media/image1.jpeg" ContentType="image/jpeg"/>
  <Override PartName="/word/media/image4.png" ContentType="image/png"/>
  <Override PartName="/word/media/image27.jpeg" ContentType="image/jpeg"/>
  <Override PartName="/word/media/image3.wmf" ContentType="image/x-wmf"/>
  <Override PartName="/word/media/image8.jpeg" ContentType="image/jpeg"/>
  <Override PartName="/word/media/image16.jpeg" ContentType="image/jpeg"/>
  <Override PartName="/word/media/image5.wmf" ContentType="image/x-wmf"/>
  <Override PartName="/word/media/image6.wmf" ContentType="image/x-wmf"/>
  <Override PartName="/word/media/image7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color w:val="FF0000"/>
        </w:rPr>
      </w:pPr>
      <w:r>
        <w:rPr>
          <w:b/>
          <w:bCs/>
          <w:color w:val="FF0000"/>
        </w:rPr>
        <w:t xml:space="preserve">CCTP – Livre 1 - </w:t>
      </w:r>
      <w:r>
        <w:rPr>
          <w:b/>
          <w:bCs/>
          <w:color w:val="FF0000"/>
        </w:rPr>
        <w:t xml:space="preserve">ANNEXE 1 </w:t>
      </w:r>
    </w:p>
    <w:p>
      <w:pPr>
        <w:pStyle w:val="Normal"/>
        <w:jc w:val="center"/>
        <w:rPr/>
      </w:pPr>
      <w:r>
        <w:rPr>
          <w:b/>
          <w:bCs/>
        </w:rPr>
        <w:t>CARACTÉRISTIQUES PHYSICOCHIMIQUES DES SÉDIMENTS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2"/>
        </w:numPr>
        <w:jc w:val="center"/>
        <w:rPr>
          <w:b/>
          <w:b/>
          <w:bCs/>
        </w:rPr>
      </w:pPr>
      <w:r>
        <w:rPr>
          <w:b/>
          <w:bCs/>
        </w:rPr>
        <w:t>PRÉLÈVEMENT DES SÉDIMENTS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120" w:after="120"/>
        <w:jc w:val="both"/>
        <w:rPr>
          <w:rFonts w:ascii="Ebrima" w:hAnsi="Ebrima" w:cs="Tahoma"/>
        </w:rPr>
      </w:pPr>
      <w:r>
        <w:rPr>
          <w:rFonts w:cs="Tahoma" w:ascii="Ebrima" w:hAnsi="Ebrima"/>
        </w:rPr>
        <w:t xml:space="preserve">Les prélèvements ont été réalisés les 19 et 20 octobre 2020 par une équipe de 3 scaphandriers classe 2B depuis un bateau semi-rigide de 7,5 m de long. </w:t>
      </w:r>
    </w:p>
    <w:p>
      <w:pPr>
        <w:pStyle w:val="Normal"/>
        <w:spacing w:lineRule="auto" w:line="240" w:before="120" w:after="60"/>
        <w:jc w:val="both"/>
        <w:rPr>
          <w:rFonts w:ascii="Ebrima" w:hAnsi="Ebrima" w:cs="Tahoma"/>
        </w:rPr>
      </w:pPr>
      <w:r>
        <w:rPr>
          <w:rFonts w:cs="Tahoma" w:ascii="Ebrima" w:hAnsi="Ebrima"/>
        </w:rPr>
        <w:t xml:space="preserve">Trois outils ont été utilisés : </w:t>
      </w:r>
    </w:p>
    <w:p>
      <w:pPr>
        <w:pStyle w:val="ListParagraph"/>
        <w:numPr>
          <w:ilvl w:val="0"/>
          <w:numId w:val="1"/>
        </w:numPr>
        <w:spacing w:lineRule="auto" w:line="240" w:before="60" w:after="60"/>
        <w:ind w:left="714" w:hanging="357"/>
        <w:jc w:val="both"/>
        <w:rPr>
          <w:rFonts w:ascii="Ebrima" w:hAnsi="Ebrima" w:cs="Tahoma"/>
        </w:rPr>
      </w:pPr>
      <w:r>
        <w:rPr>
          <w:rFonts w:cs="Tahoma" w:ascii="Ebrima" w:hAnsi="Ebrima"/>
        </w:rPr>
        <w:t>Carottier tube inox manuel de diamètre D60 mm, hauteur 2.4 m équipé d’une tarière pour les carottes sur sédiments grossiers ;</w:t>
      </w:r>
    </w:p>
    <w:p>
      <w:pPr>
        <w:pStyle w:val="ListParagraph"/>
        <w:numPr>
          <w:ilvl w:val="0"/>
          <w:numId w:val="1"/>
        </w:numPr>
        <w:spacing w:lineRule="auto" w:line="240" w:before="60" w:after="60"/>
        <w:ind w:left="714" w:hanging="357"/>
        <w:jc w:val="both"/>
        <w:rPr>
          <w:rFonts w:ascii="Ebrima" w:hAnsi="Ebrima" w:cs="Tahoma"/>
        </w:rPr>
      </w:pPr>
      <w:r>
        <w:rPr>
          <w:rFonts w:cs="Tahoma" w:ascii="Ebrima" w:hAnsi="Ebrima"/>
        </w:rPr>
        <w:t>Carottier tube inox manuel de diamètre D45 mm, hauteur 2.0 m pour les carottes sur sédiments fins ;</w:t>
      </w:r>
    </w:p>
    <w:p>
      <w:pPr>
        <w:pStyle w:val="ListParagraph"/>
        <w:numPr>
          <w:ilvl w:val="0"/>
          <w:numId w:val="1"/>
        </w:numPr>
        <w:spacing w:lineRule="auto" w:line="240" w:before="60" w:after="120"/>
        <w:ind w:left="714" w:hanging="357"/>
        <w:jc w:val="both"/>
        <w:rPr>
          <w:rFonts w:ascii="Ebrima" w:hAnsi="Ebrima" w:cs="Tahoma"/>
        </w:rPr>
      </w:pPr>
      <w:r>
        <w:rPr>
          <w:rFonts w:cs="Tahoma" w:ascii="Ebrima" w:hAnsi="Ebrima"/>
        </w:rPr>
        <w:t>Benne Van Veen inox portable pour le prélèvement des sédiments superficiels.</w:t>
      </w:r>
    </w:p>
    <w:p>
      <w:pPr>
        <w:pStyle w:val="Normal"/>
        <w:spacing w:lineRule="auto" w:line="240" w:before="60" w:after="120"/>
        <w:jc w:val="both"/>
        <w:rPr>
          <w:rFonts w:ascii="Ebrima" w:hAnsi="Ebrima" w:cs="Tahoma"/>
        </w:rPr>
      </w:pPr>
      <w:r>
        <w:rPr>
          <w:rFonts w:cs="Tahoma" w:ascii="Ebrima" w:hAnsi="Ebrima"/>
        </w:rPr>
        <w:t>Les carottages ont été effectués sur la totalité de la hauteur de la matrice sédimentaire jusqu’à -2,6 m NGF qui correspondait à la cote d’avant-projet.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bookmarkStart w:id="0" w:name="_GoBack"/>
      <w:bookmarkEnd w:id="0"/>
      <w:r>
        <w:rPr/>
        <w:drawing>
          <wp:inline distT="0" distB="0" distL="0" distR="0">
            <wp:extent cx="5756910" cy="4077335"/>
            <wp:effectExtent l="0" t="0" r="0" b="0"/>
            <wp:docPr id="1" name="Imag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Ebrima" w:hAnsi="Ebrima"/>
          <w:sz w:val="20"/>
          <w:szCs w:val="20"/>
        </w:rPr>
      </w:pPr>
      <w:r>
        <w:rPr>
          <w:rFonts w:ascii="Ebrima" w:hAnsi="Ebrima"/>
          <w:sz w:val="20"/>
          <w:szCs w:val="20"/>
        </w:rPr>
        <w:t>FIGURE A1 :Plan de l’échantillonnage des sédiments réalisé les 19 et 20 octobre 2020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Caption"/>
        <w:jc w:val="both"/>
        <w:rPr>
          <w:rFonts w:ascii="Ebrima" w:hAnsi="Ebrima"/>
          <w:sz w:val="20"/>
          <w:szCs w:val="20"/>
        </w:rPr>
      </w:pPr>
      <w:r>
        <w:rPr>
          <w:rFonts w:ascii="Ebrima" w:hAnsi="Ebrima"/>
          <w:sz w:val="20"/>
          <w:szCs w:val="20"/>
        </w:rPr>
        <w:t>TABLEAU A1 : Regroupement des sous-échantillons prélevés</w:t>
      </w:r>
    </w:p>
    <w:tbl>
      <w:tblPr>
        <w:tblStyle w:val="Grilledutableau1"/>
        <w:tblW w:w="935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121"/>
        <w:gridCol w:w="1842"/>
        <w:gridCol w:w="4111"/>
        <w:gridCol w:w="1276"/>
      </w:tblGrid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b/>
                <w:bCs/>
                <w:sz w:val="20"/>
                <w:szCs w:val="20"/>
                <w:lang w:val="en-GB" w:eastAsia="en-GB"/>
              </w:rPr>
              <w:t>Sous-échantillon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b/>
                <w:bCs/>
                <w:sz w:val="20"/>
                <w:szCs w:val="20"/>
                <w:lang w:val="en-GB" w:eastAsia="en-GB"/>
              </w:rPr>
              <w:t>Hauteur de prélèvement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b/>
                <w:bCs/>
                <w:sz w:val="20"/>
                <w:szCs w:val="20"/>
                <w:lang w:val="en-GB" w:eastAsia="en-GB"/>
              </w:rPr>
              <w:t>Observation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b/>
                <w:bCs/>
                <w:sz w:val="20"/>
                <w:szCs w:val="20"/>
                <w:lang w:val="en-GB" w:eastAsia="en-GB"/>
              </w:rPr>
              <w:t>Échantillon</w:t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A1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0,8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Graviers colmatés par des vases limoneuses</w:t>
            </w:r>
          </w:p>
        </w:tc>
        <w:tc>
          <w:tcPr>
            <w:tcW w:w="1276" w:type="dxa"/>
            <w:vMerge w:val="restart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A</w:t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A2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1,0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Dépôt de feuilles de posidonie (épaiss. 0,6 m), vase noire limoneuse et fibres de feuilles décomposées (épaiss. 0,4 m)</w:t>
            </w:r>
          </w:p>
        </w:tc>
        <w:tc>
          <w:tcPr>
            <w:tcW w:w="1276" w:type="dxa"/>
            <w:vMerge w:val="continue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rFonts w:ascii="Calibri" w:hAnsi="Calibri" w:eastAsia="SimSu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A3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0,6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Vase noire limoneuse et fibres de feuilles de posidonie décomposées</w:t>
            </w:r>
          </w:p>
        </w:tc>
        <w:tc>
          <w:tcPr>
            <w:tcW w:w="1276" w:type="dxa"/>
            <w:vMerge w:val="continue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rFonts w:ascii="Calibri" w:hAnsi="Calibri" w:eastAsia="SimSu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B2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1,6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Feuilles de posidonie en décomposition (vase noire), sables fins.</w:t>
            </w:r>
          </w:p>
        </w:tc>
        <w:tc>
          <w:tcPr>
            <w:tcW w:w="1276" w:type="dxa"/>
            <w:vMerge w:val="restart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B</w:t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B3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1,1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Feuilles de posidonie en décomposition (vase noire, feuilles moins décomposées qu’en B2), sables fins</w:t>
            </w:r>
          </w:p>
        </w:tc>
        <w:tc>
          <w:tcPr>
            <w:tcW w:w="1276" w:type="dxa"/>
            <w:vMerge w:val="continue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rFonts w:ascii="Calibri" w:hAnsi="Calibri" w:eastAsia="SimSu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B1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1,1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Sables fins propres</w:t>
            </w:r>
          </w:p>
        </w:tc>
        <w:tc>
          <w:tcPr>
            <w:tcW w:w="1276" w:type="dxa"/>
            <w:vMerge w:val="restart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C</w:t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C2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0,8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Sables fins propres</w:t>
            </w:r>
          </w:p>
        </w:tc>
        <w:tc>
          <w:tcPr>
            <w:tcW w:w="1276" w:type="dxa"/>
            <w:vMerge w:val="continue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rFonts w:ascii="Calibri" w:hAnsi="Calibri" w:eastAsia="SimSu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C3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1,0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Sables fins propres</w:t>
            </w:r>
          </w:p>
        </w:tc>
        <w:tc>
          <w:tcPr>
            <w:tcW w:w="1276" w:type="dxa"/>
            <w:vMerge w:val="continue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rFonts w:ascii="Calibri" w:hAnsi="Calibri" w:eastAsia="SimSu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C1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1,2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Sables fins, quelques fibres de feuilles de posidonie</w:t>
            </w:r>
          </w:p>
        </w:tc>
        <w:tc>
          <w:tcPr>
            <w:tcW w:w="1276" w:type="dxa"/>
            <w:vMerge w:val="restart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D</w:t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D1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1,8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Sable fin gris-brun cohésif sans stratification, présence diffuse de fibres de feuilles de posidonie</w:t>
            </w:r>
          </w:p>
        </w:tc>
        <w:tc>
          <w:tcPr>
            <w:tcW w:w="1276" w:type="dxa"/>
            <w:vMerge w:val="continue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rFonts w:ascii="Calibri" w:hAnsi="Calibri" w:eastAsia="SimSu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D2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1,6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Sable fin gris-brun avec 1 strate de fibres de feuilles de posidonie de 15 cm</w:t>
            </w:r>
          </w:p>
        </w:tc>
        <w:tc>
          <w:tcPr>
            <w:tcW w:w="1276" w:type="dxa"/>
            <w:vMerge w:val="continue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rFonts w:ascii="Calibri" w:hAnsi="Calibri" w:eastAsia="SimSu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D3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1,2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Alternance de strates de fibres de posidonie, de sables moyens gris-brun et de sables gris-sombre</w:t>
            </w:r>
          </w:p>
        </w:tc>
        <w:tc>
          <w:tcPr>
            <w:tcW w:w="1276" w:type="dxa"/>
            <w:vMerge w:val="continue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rFonts w:ascii="Calibri" w:hAnsi="Calibri" w:eastAsia="SimSu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G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0,2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Vase limoneuse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G</w:t>
            </w:r>
          </w:p>
        </w:tc>
      </w:tr>
      <w:tr>
        <w:trPr/>
        <w:tc>
          <w:tcPr>
            <w:tcW w:w="212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H</w:t>
            </w:r>
          </w:p>
        </w:tc>
        <w:tc>
          <w:tcPr>
            <w:tcW w:w="184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0,2 m</w:t>
            </w:r>
          </w:p>
        </w:tc>
        <w:tc>
          <w:tcPr>
            <w:tcW w:w="411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Vase limoneuse</w:t>
            </w:r>
          </w:p>
        </w:tc>
        <w:tc>
          <w:tcPr>
            <w:tcW w:w="127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ACRI"/>
              <w:spacing w:lineRule="auto" w:line="240" w:before="0" w:after="120"/>
              <w:jc w:val="both"/>
              <w:rPr>
                <w:sz w:val="20"/>
                <w:szCs w:val="20"/>
              </w:rPr>
            </w:pPr>
            <w:r>
              <w:rPr>
                <w:rFonts w:eastAsia="SimSun" w:cs="Times New Roman" w:ascii="Calibri" w:hAnsi="Calibri"/>
                <w:sz w:val="20"/>
                <w:szCs w:val="20"/>
                <w:lang w:val="en-GB" w:eastAsia="en-GB"/>
              </w:rPr>
              <w:t>H</w:t>
            </w:r>
          </w:p>
        </w:tc>
      </w:tr>
    </w:tbl>
    <w:p>
      <w:pPr>
        <w:pStyle w:val="Normal"/>
        <w:spacing w:lineRule="auto" w:line="240" w:before="120" w:after="120"/>
        <w:jc w:val="both"/>
        <w:rPr>
          <w:rFonts w:ascii="Ebrima" w:hAnsi="Ebrima" w:cs="Tahoma"/>
        </w:rPr>
      </w:pPr>
      <w:r>
        <w:rPr>
          <w:rFonts w:cs="Tahoma" w:ascii="Ebrima" w:hAnsi="Ebrima"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Les fiches de prélèvement des sous-échantillons avec photographies sont présentées en section C de la présente annexe.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2"/>
        </w:numPr>
        <w:jc w:val="center"/>
        <w:rPr>
          <w:b/>
          <w:b/>
          <w:bCs/>
        </w:rPr>
      </w:pPr>
      <w:r>
        <w:rPr>
          <w:b/>
          <w:bCs/>
        </w:rPr>
        <w:t>RÉSULTATS ANALYTIQUES</w:t>
      </w:r>
    </w:p>
    <w:p>
      <w:pPr>
        <w:pStyle w:val="Normal"/>
        <w:jc w:val="both"/>
        <w:rPr/>
      </w:pPr>
      <w:r>
        <w:rPr/>
        <w:t>Les résultats des analyses physicochimiques (Laboratoire Eurofins) des sédiments sur les prélèvements réalisés en octobre 2020 sont reportés dans les 4 tableaux et la figures ci-dessous.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Caption"/>
        <w:jc w:val="both"/>
        <w:rPr>
          <w:rFonts w:ascii="Ebrima" w:hAnsi="Ebrima"/>
          <w:sz w:val="20"/>
          <w:szCs w:val="20"/>
        </w:rPr>
      </w:pPr>
      <w:r>
        <w:rPr>
          <w:rFonts w:ascii="Ebrima" w:hAnsi="Ebrima"/>
          <w:sz w:val="20"/>
          <w:szCs w:val="20"/>
        </w:rPr>
        <w:t>TABLEAU A1 : Tableau des principales caractéristiques granulométriques et chimiques des échantillons</w:t>
      </w:r>
    </w:p>
    <w:p>
      <w:pPr>
        <w:pStyle w:val="Normal"/>
        <w:spacing w:lineRule="auto" w:line="240" w:before="120" w:after="120"/>
        <w:jc w:val="both"/>
        <w:rPr>
          <w:rFonts w:ascii="Ebrima" w:hAnsi="Ebrima" w:cs="Tahoma"/>
        </w:rPr>
      </w:pPr>
      <w:r>
        <w:rPr/>
        <w:drawing>
          <wp:inline distT="0" distB="0" distL="0" distR="0">
            <wp:extent cx="5888355" cy="2157095"/>
            <wp:effectExtent l="0" t="0" r="0" b="0"/>
            <wp:docPr id="2" name="Image 5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0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901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ascii="Ebrima" w:hAnsi="Ebrima"/>
          <w:sz w:val="20"/>
          <w:szCs w:val="20"/>
        </w:rPr>
      </w:pPr>
      <w:r>
        <w:rPr>
          <w:rFonts w:ascii="Ebrima" w:hAnsi="Ebrima"/>
          <w:sz w:val="20"/>
          <w:szCs w:val="20"/>
        </w:rPr>
      </w:r>
    </w:p>
    <w:p>
      <w:pPr>
        <w:pStyle w:val="Caption"/>
        <w:rPr>
          <w:rFonts w:ascii="Ebrima" w:hAnsi="Ebrima" w:cs="Tahoma"/>
          <w:sz w:val="20"/>
          <w:szCs w:val="20"/>
        </w:rPr>
      </w:pPr>
      <w:r>
        <w:rPr>
          <w:rFonts w:ascii="Ebrima" w:hAnsi="Ebrima"/>
          <w:sz w:val="20"/>
          <w:szCs w:val="20"/>
        </w:rPr>
        <w:t>TABLEAU A2</w:t>
      </w:r>
      <w:r>
        <w:rPr>
          <w:rFonts w:cs="Tahoma" w:ascii="Ebrima" w:hAnsi="Ebrima"/>
          <w:sz w:val="20"/>
          <w:szCs w:val="20"/>
        </w:rPr>
        <w:t> : Tableau des indices granulométriques (en gras) et report des données de l'instrument de mesure laser.</w:t>
      </w:r>
    </w:p>
    <w:p>
      <w:pPr>
        <w:pStyle w:val="Normal"/>
        <w:spacing w:lineRule="auto" w:line="240" w:before="120" w:after="120"/>
        <w:jc w:val="both"/>
        <w:rPr>
          <w:rFonts w:ascii="Ebrima" w:hAnsi="Ebrima" w:cs="Tahoma"/>
        </w:rPr>
      </w:pPr>
      <w:r>
        <w:rPr/>
        <w:drawing>
          <wp:inline distT="0" distB="0" distL="0" distR="0">
            <wp:extent cx="5869940" cy="2309495"/>
            <wp:effectExtent l="0" t="0" r="0" b="0"/>
            <wp:docPr id="3" name="Image 4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4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900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120" w:after="120"/>
        <w:jc w:val="center"/>
        <w:rPr>
          <w:rFonts w:ascii="Ebrima" w:hAnsi="Ebrima" w:cs="Tahoma"/>
        </w:rPr>
      </w:pPr>
      <w:r>
        <w:rPr/>
        <w:drawing>
          <wp:inline distT="0" distB="0" distL="0" distR="0">
            <wp:extent cx="5760720" cy="7297420"/>
            <wp:effectExtent l="0" t="0" r="0" b="0"/>
            <wp:docPr id="4" name="Image 4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4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ascii="Ebrima" w:hAnsi="Ebrima" w:cs="Tahoma"/>
          <w:sz w:val="20"/>
          <w:szCs w:val="20"/>
        </w:rPr>
      </w:pPr>
      <w:r>
        <w:rPr>
          <w:rFonts w:ascii="Ebrima" w:hAnsi="Ebrima"/>
          <w:sz w:val="20"/>
          <w:szCs w:val="20"/>
        </w:rPr>
        <w:t>FIGURE A1</w:t>
      </w:r>
      <w:r>
        <w:rPr>
          <w:rFonts w:cs="Tahoma" w:ascii="Ebrima" w:hAnsi="Ebrima"/>
          <w:sz w:val="20"/>
          <w:szCs w:val="20"/>
        </w:rPr>
        <w:t> : Distribution granulométrique et distribution cumulée pour chaque échantillon.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Caption"/>
        <w:jc w:val="both"/>
        <w:rPr>
          <w:rFonts w:ascii="Ebrima" w:hAnsi="Ebrima"/>
          <w:sz w:val="20"/>
          <w:szCs w:val="20"/>
        </w:rPr>
      </w:pPr>
      <w:r>
        <w:rPr>
          <w:rFonts w:ascii="Ebrima" w:hAnsi="Ebrima"/>
          <w:sz w:val="20"/>
          <w:szCs w:val="20"/>
        </w:rPr>
        <w:t>TABLEAU A3 : Tableau de synthèse des résultats des analyses physicochimiques des sédiments sur la fraction &lt;2mm et comparaison par rapport aux seuils réglementaires N1 et N2</w:t>
      </w:r>
    </w:p>
    <w:p>
      <w:pPr>
        <w:pStyle w:val="Normal"/>
        <w:spacing w:lineRule="auto" w:line="240" w:before="120" w:after="120"/>
        <w:jc w:val="center"/>
        <w:rPr>
          <w:rFonts w:ascii="Ebrima" w:hAnsi="Ebrima" w:cs="Tahoma"/>
        </w:rPr>
      </w:pPr>
      <w:r>
        <w:rPr/>
        <w:drawing>
          <wp:inline distT="19050" distB="28575" distL="19050" distR="11430">
            <wp:extent cx="5760720" cy="6010275"/>
            <wp:effectExtent l="0" t="0" r="0" b="0"/>
            <wp:docPr id="5" name="Image 4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5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1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20" w:after="120"/>
        <w:ind w:left="567" w:hanging="567"/>
        <w:jc w:val="both"/>
        <w:rPr>
          <w:rFonts w:ascii="Ebrima" w:hAnsi="Ebrima" w:cs="Tahoma"/>
        </w:rPr>
      </w:pPr>
      <w:r>
        <w:rPr>
          <w:rFonts w:cs="Tahoma" w:ascii="Ebrima" w:hAnsi="Ebrima"/>
          <w:b/>
          <w:bCs/>
        </w:rPr>
        <w:t>Nota</w:t>
      </w:r>
      <w:r>
        <w:rPr>
          <w:rFonts w:cs="Tahoma" w:ascii="Ebrima" w:hAnsi="Ebrima"/>
        </w:rPr>
        <w:t xml:space="preserve"> : N1 et N2 : Les valeurs seuil définies par l'arrêté du 09/08/2006 complété par les arrêtés du 23/12/2009, du 08/02/2013 et du 17/07/2014 sont rappelées en référence à la droite du tableau. Ces valeurs seuil définissent la dangerosité du sédiment vis-à-vis de l'environnement dans le cadre d'un dragage ou de travaux y afférent. </w:t>
      </w:r>
    </w:p>
    <w:p>
      <w:pPr>
        <w:pStyle w:val="Normal"/>
        <w:spacing w:lineRule="auto" w:line="240" w:before="120" w:after="120"/>
        <w:ind w:left="567" w:hanging="0"/>
        <w:jc w:val="both"/>
        <w:rPr>
          <w:rFonts w:ascii="Ebrima" w:hAnsi="Ebrima" w:cs="Tahoma"/>
        </w:rPr>
      </w:pPr>
      <w:r>
        <w:rPr>
          <w:rFonts w:cs="Tahoma" w:ascii="Ebrima" w:hAnsi="Ebrima"/>
        </w:rPr>
        <w:t>En vert : les concentrations mesurées sont inférieures au seuil N1 : absence de risque environnemental.</w:t>
      </w:r>
    </w:p>
    <w:p>
      <w:pPr>
        <w:pStyle w:val="Normal"/>
        <w:spacing w:lineRule="auto" w:line="240" w:before="120" w:after="120"/>
        <w:ind w:left="567" w:hanging="0"/>
        <w:jc w:val="both"/>
        <w:rPr>
          <w:rFonts w:ascii="Ebrima" w:hAnsi="Ebrima" w:cs="Tahoma"/>
        </w:rPr>
      </w:pPr>
      <w:r>
        <w:rPr>
          <w:rFonts w:cs="Tahoma" w:ascii="Ebrima" w:hAnsi="Ebrima"/>
        </w:rPr>
        <w:t>En orange : les concentrations mesurées sont supérieures au seuil N1 mais inférieures au seuil N2 : risque faible.</w:t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Caption"/>
        <w:rPr>
          <w:rFonts w:ascii="Ebrima" w:hAnsi="Ebrima"/>
          <w:sz w:val="20"/>
          <w:szCs w:val="20"/>
        </w:rPr>
      </w:pPr>
      <w:r>
        <w:rPr>
          <w:rFonts w:ascii="Ebrima" w:hAnsi="Ebrima"/>
          <w:sz w:val="20"/>
          <w:szCs w:val="20"/>
        </w:rPr>
        <w:t>TABLEAU A4: Tableau de synthèse des résultats des analyses physicochimiques effectuées sur le sédiment brut et sur l’éluat obtenu après test de lixiviation 10L/kg en 24h</w:t>
      </w:r>
    </w:p>
    <w:p>
      <w:pPr>
        <w:pStyle w:val="Normal"/>
        <w:spacing w:lineRule="auto" w:line="240" w:before="120" w:after="120"/>
        <w:jc w:val="center"/>
        <w:rPr>
          <w:rFonts w:ascii="Ebrima" w:hAnsi="Ebrima" w:cs="Tahoma"/>
        </w:rPr>
      </w:pPr>
      <w:r>
        <w:rPr/>
        <w:drawing>
          <wp:inline distT="0" distB="1270" distL="0" distR="0">
            <wp:extent cx="5760720" cy="5770880"/>
            <wp:effectExtent l="0" t="0" r="0" b="0"/>
            <wp:docPr id="6" name="Image 4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5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20" w:after="120"/>
        <w:jc w:val="both"/>
        <w:rPr>
          <w:rFonts w:ascii="Ebrima" w:hAnsi="Ebrima" w:cs="Tahoma"/>
        </w:rPr>
      </w:pPr>
      <w:r>
        <w:rPr>
          <w:rFonts w:cs="Tahoma" w:ascii="Ebrima" w:hAnsi="Ebrima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2"/>
        </w:numPr>
        <w:jc w:val="center"/>
        <w:rPr>
          <w:b/>
          <w:b/>
          <w:bCs/>
        </w:rPr>
      </w:pPr>
      <w:r>
        <w:rPr>
          <w:b/>
          <w:bCs/>
        </w:rPr>
        <w:t>FICHES DE PRÉLÈVEMENTS DES SOUS-ÉCHANTILLONS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/>
        <w:drawing>
          <wp:inline distT="19050" distB="11430" distL="19050" distR="11430">
            <wp:extent cx="5760720" cy="8141970"/>
            <wp:effectExtent l="0" t="0" r="0" b="0"/>
            <wp:docPr id="7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8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9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10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11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12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13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14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15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16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17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18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19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41970"/>
            <wp:effectExtent l="0" t="0" r="0" b="0"/>
            <wp:docPr id="20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21" name="Imag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22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23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24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25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26" name="Imag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0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27" name="Imag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28" name="Imag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29" name="Imag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30" name="Imag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31" name="Imag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2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32" name="Imag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26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19050" distB="11430" distL="19050" distR="11430">
            <wp:extent cx="5760720" cy="8141970"/>
            <wp:effectExtent l="0" t="0" r="0" b="0"/>
            <wp:docPr id="33" name="Imag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7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/>
        <w:drawing>
          <wp:inline distT="19050" distB="11430" distL="19050" distR="11430">
            <wp:extent cx="5760720" cy="8141970"/>
            <wp:effectExtent l="0" t="0" r="0" b="0"/>
            <wp:docPr id="34" name="Imag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29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jc w:val="center"/>
        <w:rPr/>
      </w:pPr>
      <w:r>
        <w:rPr/>
      </w:r>
    </w:p>
    <w:sectPr>
      <w:footerReference w:type="default" r:id="rId36"/>
      <w:type w:val="nextPage"/>
      <w:pgSz w:w="11906" w:h="16838"/>
      <w:pgMar w:left="1417" w:right="1417" w:header="0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Ebri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rPr/>
    </w:pPr>
    <w:r>
      <w:rPr>
        <w:rStyle w:val="Pagenumber"/>
      </w:rPr>
      <w:fldChar w:fldCharType="begin"/>
    </w:r>
    <w:r>
      <w:instrText> PAGE </w:instrText>
    </w:r>
    <w:r>
      <w:fldChar w:fldCharType="separate"/>
    </w:r>
    <w:r>
      <w:t>34</w:t>
    </w:r>
    <w: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instrText> NUMPAGES </w:instrText>
    </w:r>
    <w:r>
      <w:fldChar w:fldCharType="separate"/>
    </w:r>
    <w:r>
      <w:t>34</w:t>
    </w:r>
    <w:r>
      <w:fldChar w:fldCharType="end"/>
    </w:r>
    <w:r>
      <w:rPr>
        <w:rStyle w:val="Pagenumber"/>
      </w:rPr>
      <w:t xml:space="preserve"> - </w:t>
    </w:r>
    <w:r>
      <w:rPr/>
      <w:t>AMÉNAGEMENT MARITIME STADE NAUTIQUE DU ROUCAS BLANC</w:t>
    </w:r>
  </w:p>
  <w:p>
    <w:pPr>
      <w:pStyle w:val="Pieddepage"/>
      <w:rPr/>
    </w:pPr>
    <w:r>
      <w:rPr/>
      <w:t>ANNEXES AU CCTP LIVRE 1 LOT 1</w:t>
    </w:r>
  </w:p>
  <w:p>
    <w:pPr>
      <w:pStyle w:val="Normal"/>
      <w:widowControl/>
      <w:bidi w:val="0"/>
      <w:spacing w:lineRule="auto" w:line="259" w:before="0" w:after="160"/>
      <w:jc w:val="left"/>
      <w:rPr>
        <w:b/>
        <w:b/>
        <w:bCs/>
      </w:rPr>
    </w:pPr>
    <w:r>
      <w:rPr>
        <w:b/>
        <w:bCs/>
      </w:rPr>
      <w:t>ANNEXE 1 – CARACTÉRISTIQUES PHYSICOCHIMIQUES DES SÉDIMENTS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upperLetter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9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ubtleEmphasis">
    <w:name w:val="Subtle Emphasis"/>
    <w:basedOn w:val="DefaultParagraphFont"/>
    <w:uiPriority w:val="19"/>
    <w:qFormat/>
    <w:rsid w:val="00b35ffb"/>
    <w:rPr>
      <w:i/>
      <w:iCs/>
      <w:color w:val="404040" w:themeColor="text1" w:themeTint="bf"/>
    </w:rPr>
  </w:style>
  <w:style w:type="character" w:styleId="LgendeCar" w:customStyle="1">
    <w:name w:val="Légende Car"/>
    <w:basedOn w:val="DefaultParagraphFont"/>
    <w:link w:val="Lgende"/>
    <w:qFormat/>
    <w:rsid w:val="00136a38"/>
    <w:rPr>
      <w:b/>
      <w:bCs/>
      <w:color w:val="4472C4" w:themeColor="accent1"/>
      <w:sz w:val="18"/>
      <w:szCs w:val="18"/>
    </w:rPr>
  </w:style>
  <w:style w:type="character" w:styleId="EntteCar" w:customStyle="1">
    <w:name w:val="En-tête Car"/>
    <w:basedOn w:val="DefaultParagraphFont"/>
    <w:link w:val="En-tte"/>
    <w:uiPriority w:val="99"/>
    <w:qFormat/>
    <w:rsid w:val="000b0a3f"/>
    <w:rPr/>
  </w:style>
  <w:style w:type="character" w:styleId="PieddepageCar" w:customStyle="1">
    <w:name w:val="Pied de page Car"/>
    <w:basedOn w:val="DefaultParagraphFont"/>
    <w:link w:val="Pieddepage"/>
    <w:qFormat/>
    <w:rsid w:val="000b0a3f"/>
    <w:rPr/>
  </w:style>
  <w:style w:type="character" w:styleId="Pagenumber">
    <w:name w:val="page number"/>
    <w:basedOn w:val="DefaultParagraphFont"/>
    <w:semiHidden/>
    <w:unhideWhenUsed/>
    <w:qFormat/>
    <w:rsid w:val="000b0a3f"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9d0420"/>
    <w:rPr>
      <w:rFonts w:ascii="Segoe UI" w:hAnsi="Segoe UI" w:cs="Segoe UI"/>
      <w:sz w:val="18"/>
      <w:szCs w:val="18"/>
    </w:rPr>
  </w:style>
  <w:style w:type="character" w:styleId="ParagraphedelisteCar" w:customStyle="1">
    <w:name w:val="Paragraphe de liste Car"/>
    <w:basedOn w:val="DefaultParagraphFont"/>
    <w:link w:val="Paragraphedeliste"/>
    <w:uiPriority w:val="34"/>
    <w:qFormat/>
    <w:rsid w:val="009d0420"/>
    <w:rPr/>
  </w:style>
  <w:style w:type="character" w:styleId="NormalACRICar" w:customStyle="1">
    <w:name w:val="normal_ACRI Car"/>
    <w:link w:val="normalACRI"/>
    <w:uiPriority w:val="99"/>
    <w:qFormat/>
    <w:rsid w:val="00f82c8a"/>
    <w:rPr>
      <w:rFonts w:ascii="Ebrima" w:hAnsi="Ebrima" w:eastAsia="SimSun" w:cs="Times New Roman"/>
      <w:lang w:eastAsia="fr-B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next w:val="Normal"/>
    <w:link w:val="LgendeCar"/>
    <w:unhideWhenUsed/>
    <w:qFormat/>
    <w:rsid w:val="00136a38"/>
    <w:pPr>
      <w:spacing w:lineRule="auto" w:line="240" w:before="0" w:after="200"/>
    </w:pPr>
    <w:rPr>
      <w:b/>
      <w:bCs/>
      <w:color w:val="4472C4" w:themeColor="accent1"/>
      <w:sz w:val="18"/>
      <w:szCs w:val="18"/>
    </w:rPr>
  </w:style>
  <w:style w:type="paragraph" w:styleId="Entte">
    <w:name w:val="Header"/>
    <w:basedOn w:val="Normal"/>
    <w:link w:val="En-tteCar"/>
    <w:uiPriority w:val="99"/>
    <w:unhideWhenUsed/>
    <w:rsid w:val="000b0a3f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nhideWhenUsed/>
    <w:rsid w:val="000b0a3f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d042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ParagraphedelisteCar"/>
    <w:uiPriority w:val="34"/>
    <w:qFormat/>
    <w:rsid w:val="009d0420"/>
    <w:pPr>
      <w:spacing w:before="0" w:after="160"/>
      <w:ind w:left="720" w:hanging="0"/>
      <w:contextualSpacing/>
    </w:pPr>
    <w:rPr/>
  </w:style>
  <w:style w:type="paragraph" w:styleId="NormalACRI" w:customStyle="1">
    <w:name w:val="normal_ACRI"/>
    <w:basedOn w:val="Normal"/>
    <w:link w:val="normalACRICar"/>
    <w:autoRedefine/>
    <w:uiPriority w:val="99"/>
    <w:qFormat/>
    <w:rsid w:val="00f82c8a"/>
    <w:pPr>
      <w:spacing w:lineRule="auto" w:line="240" w:before="60" w:after="120"/>
      <w:jc w:val="center"/>
    </w:pPr>
    <w:rPr>
      <w:rFonts w:ascii="Ebrima" w:hAnsi="Ebrima" w:eastAsia="SimSun" w:cs="Times New Roman"/>
      <w:lang w:eastAsia="fr-B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rsid w:val="00f82c8a"/>
    <w:pPr>
      <w:spacing w:after="120" w:line="240" w:lineRule="auto"/>
      <w:jc w:val="both"/>
    </w:pPr>
    <w:rPr>
      <w:lang w:val="en-GB" w:eastAsia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lledutableau">
    <w:name w:val="Table Grid"/>
    <w:basedOn w:val="TableauNormal"/>
    <w:uiPriority w:val="39"/>
    <w:rsid w:val="00f82c8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png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footer" Target="footer1.xml"/><Relationship Id="rId37" Type="http://schemas.openxmlformats.org/officeDocument/2006/relationships/numbering" Target="numbering.xml"/><Relationship Id="rId38" Type="http://schemas.openxmlformats.org/officeDocument/2006/relationships/fontTable" Target="fontTable.xml"/><Relationship Id="rId39" Type="http://schemas.openxmlformats.org/officeDocument/2006/relationships/settings" Target="settings.xml"/><Relationship Id="rId4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Application>LibreOffice/5.3.6.1$Windows_x86 LibreOffice_project/686f202eff87ef707079aeb7f485847613344eb7</Application>
  <Pages>34</Pages>
  <Words>582</Words>
  <Characters>3054</Characters>
  <CharactersWithSpaces>3559</CharactersWithSpaces>
  <Paragraphs>86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2021-07-15T17:09:00Z</dcterms:created>
  <dc:creator>laurent striby</dc:creator>
  <dc:description/>
  <dc:language>fr-FR</dc:language>
  <cp:lastModifiedBy/>
  <cp:lastPrinted>2021-09-21T12:47:08Z</cp:lastPrinted>
  <dcterms:modified xsi:type="dcterms:W3CDTF">2021-09-21T12:48:12Z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