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A7" w:rsidRDefault="004A2A56" w:rsidP="006538A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6910" cy="700405"/>
            <wp:effectExtent l="1905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00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A7" w:rsidRDefault="006538A7" w:rsidP="006538A7">
      <w:pPr>
        <w:pStyle w:val="NormalWeb"/>
        <w:jc w:val="center"/>
        <w:rPr>
          <w:rFonts w:ascii="Arial" w:hAnsi="Arial" w:cs="Arial"/>
          <w:b/>
          <w:bCs/>
        </w:rPr>
      </w:pPr>
    </w:p>
    <w:p w:rsidR="006538A7" w:rsidRDefault="006538A7" w:rsidP="006538A7">
      <w:pPr>
        <w:pStyle w:val="NormalWeb"/>
        <w:jc w:val="center"/>
      </w:pPr>
      <w:r>
        <w:rPr>
          <w:rFonts w:ascii="Arial" w:hAnsi="Arial" w:cs="Arial"/>
          <w:b/>
          <w:bCs/>
          <w:sz w:val="40"/>
          <w:szCs w:val="40"/>
        </w:rPr>
        <w:t>Ville de Marseille - Mairie de Marseille</w:t>
      </w:r>
    </w:p>
    <w:p w:rsidR="006538A7" w:rsidRDefault="006538A7" w:rsidP="006538A7">
      <w:pPr>
        <w:pStyle w:val="NormalWeb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DGASIS (19001)</w:t>
      </w:r>
    </w:p>
    <w:p w:rsidR="00B90ECA" w:rsidRDefault="00B90ECA" w:rsidP="006538A7">
      <w:pPr>
        <w:pStyle w:val="NormalWeb"/>
        <w:jc w:val="center"/>
      </w:pPr>
    </w:p>
    <w:p w:rsidR="006538A7" w:rsidRDefault="006538A7" w:rsidP="006538A7">
      <w:pPr>
        <w:pStyle w:val="typedocument3-western"/>
        <w:rPr>
          <w:sz w:val="24"/>
          <w:szCs w:val="24"/>
        </w:rPr>
      </w:pPr>
    </w:p>
    <w:p w:rsidR="006538A7" w:rsidRDefault="006538A7" w:rsidP="006538A7">
      <w:pPr>
        <w:pStyle w:val="typedocument3-western"/>
      </w:pPr>
      <w:r>
        <w:t>A</w:t>
      </w:r>
      <w:r w:rsidR="00B46A4E">
        <w:t>NNEXE 1 DE L’ACTE D’ENGAGEMENT </w:t>
      </w:r>
    </w:p>
    <w:p w:rsidR="006538A7" w:rsidRDefault="006538A7" w:rsidP="006538A7">
      <w:pPr>
        <w:pStyle w:val="typedocument3-western"/>
        <w:rPr>
          <w:sz w:val="40"/>
          <w:szCs w:val="40"/>
        </w:rPr>
      </w:pPr>
      <w:r>
        <w:rPr>
          <w:sz w:val="40"/>
          <w:szCs w:val="40"/>
        </w:rPr>
        <w:t xml:space="preserve"> « OFFRE » </w:t>
      </w:r>
    </w:p>
    <w:p w:rsidR="006538A7" w:rsidRDefault="006538A7" w:rsidP="006538A7">
      <w:pPr>
        <w:pStyle w:val="typedocument3-western"/>
        <w:spacing w:before="0"/>
      </w:pPr>
    </w:p>
    <w:p w:rsidR="006538A7" w:rsidRDefault="006538A7" w:rsidP="00537A0A">
      <w:pPr>
        <w:pStyle w:val="typedocument3-western"/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spacing w:before="0"/>
        <w:rPr>
          <w:sz w:val="20"/>
          <w:szCs w:val="20"/>
        </w:rPr>
      </w:pPr>
    </w:p>
    <w:p w:rsidR="00537A0A" w:rsidRPr="00537A0A" w:rsidRDefault="008D2D17" w:rsidP="00537A0A">
      <w:pPr>
        <w:pStyle w:val="typedocument3-western"/>
        <w:pBdr>
          <w:top w:val="single" w:sz="12" w:space="1" w:color="000000"/>
          <w:left w:val="single" w:sz="12" w:space="4" w:color="000000"/>
          <w:bottom w:val="single" w:sz="12" w:space="11" w:color="000000"/>
          <w:right w:val="single" w:sz="12" w:space="4" w:color="000000"/>
        </w:pBdr>
        <w:spacing w:before="0" w:beforeAutospacing="0" w:after="240"/>
        <w:rPr>
          <w:sz w:val="40"/>
          <w:szCs w:val="40"/>
        </w:rPr>
      </w:pPr>
      <w:r w:rsidRPr="008D2D17">
        <w:rPr>
          <w:sz w:val="40"/>
          <w:szCs w:val="40"/>
        </w:rPr>
        <w:t xml:space="preserve">Fourniture et livraison de radeaux de survie et leurs accessoires, de prestations de contrôle réglementaire, de reconditionnement et de maintenance corrective au profit du Bataillon </w:t>
      </w:r>
      <w:r>
        <w:rPr>
          <w:sz w:val="40"/>
          <w:szCs w:val="40"/>
        </w:rPr>
        <w:t>de Marins-Pompiers de Marseille</w:t>
      </w:r>
      <w:r w:rsidR="00537A0A" w:rsidRPr="00537A0A">
        <w:rPr>
          <w:sz w:val="40"/>
          <w:szCs w:val="40"/>
        </w:rPr>
        <w:t>.</w:t>
      </w:r>
    </w:p>
    <w:p w:rsidR="00537A0A" w:rsidRDefault="00537A0A" w:rsidP="006538A7">
      <w:pPr>
        <w:pStyle w:val="NormalWeb"/>
        <w:ind w:left="3600" w:hanging="2700"/>
        <w:rPr>
          <w:rFonts w:ascii="Arial" w:hAnsi="Arial" w:cs="Arial"/>
          <w:b/>
          <w:bCs/>
          <w:color w:val="000000"/>
          <w:u w:val="single"/>
        </w:rPr>
      </w:pPr>
    </w:p>
    <w:p w:rsidR="006538A7" w:rsidRDefault="006538A7" w:rsidP="006538A7">
      <w:pPr>
        <w:pStyle w:val="NormalWeb"/>
        <w:ind w:left="3600" w:hanging="2700"/>
      </w:pPr>
      <w:r>
        <w:rPr>
          <w:rFonts w:ascii="Arial" w:hAnsi="Arial" w:cs="Arial"/>
          <w:b/>
          <w:bCs/>
          <w:color w:val="000000"/>
          <w:u w:val="single"/>
        </w:rPr>
        <w:t>Numéro de la consultation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b/>
          <w:bCs/>
          <w:color w:val="000000"/>
        </w:rPr>
        <w:tab/>
      </w:r>
      <w:r w:rsidR="0021510D">
        <w:rPr>
          <w:rFonts w:ascii="Arial" w:hAnsi="Arial" w:cs="Arial"/>
          <w:b/>
          <w:bCs/>
          <w:color w:val="000000"/>
          <w:shd w:val="clear" w:color="auto" w:fill="FFFFFF"/>
        </w:rPr>
        <w:t>2021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_19001_</w:t>
      </w:r>
      <w:r w:rsidR="002C0C46">
        <w:rPr>
          <w:rFonts w:ascii="Arial" w:hAnsi="Arial" w:cs="Arial"/>
          <w:b/>
          <w:bCs/>
          <w:color w:val="000000"/>
          <w:shd w:val="clear" w:color="auto" w:fill="FFFFFF"/>
        </w:rPr>
        <w:t>0029</w:t>
      </w:r>
    </w:p>
    <w:p w:rsidR="006538A7" w:rsidRDefault="006538A7" w:rsidP="006538A7">
      <w:pPr>
        <w:pStyle w:val="western"/>
        <w:spacing w:before="240"/>
        <w:rPr>
          <w:b/>
          <w:bCs/>
        </w:rPr>
      </w:pPr>
    </w:p>
    <w:p w:rsidR="006538A7" w:rsidRPr="00030EED" w:rsidRDefault="006538A7" w:rsidP="006538A7">
      <w:pPr>
        <w:pStyle w:val="NormalWeb"/>
        <w:ind w:left="3600" w:hanging="2700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  <w:u w:val="single"/>
        </w:rPr>
        <w:t>Procédure de passation</w:t>
      </w:r>
      <w:r w:rsidRPr="00030EED">
        <w:rPr>
          <w:rFonts w:ascii="Arial" w:hAnsi="Arial" w:cs="Arial"/>
          <w:b/>
          <w:bCs/>
          <w:color w:val="000000"/>
          <w:u w:val="single"/>
        </w:rPr>
        <w:t xml:space="preserve"> :</w:t>
      </w:r>
      <w:r w:rsidRPr="00030EED">
        <w:rPr>
          <w:rFonts w:ascii="Arial" w:hAnsi="Arial" w:cs="Arial"/>
          <w:b/>
          <w:bCs/>
          <w:color w:val="000000"/>
        </w:rPr>
        <w:tab/>
      </w:r>
      <w:r w:rsidR="00863026">
        <w:rPr>
          <w:rFonts w:ascii="Arial" w:hAnsi="Arial" w:cs="Arial"/>
          <w:b/>
          <w:bCs/>
          <w:color w:val="000000"/>
        </w:rPr>
        <w:t>Procédure adaptée</w:t>
      </w:r>
    </w:p>
    <w:p w:rsidR="006538A7" w:rsidRDefault="006538A7" w:rsidP="006538A7">
      <w:pPr>
        <w:pStyle w:val="NormalWeb"/>
        <w:ind w:left="3601" w:hanging="2699"/>
      </w:pPr>
    </w:p>
    <w:p w:rsidR="00E44DDC" w:rsidRDefault="00E44DD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br w:type="page"/>
      </w:r>
    </w:p>
    <w:p w:rsidR="00E44DDC" w:rsidRDefault="00E44DDC" w:rsidP="00366D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"/>
          <w:tab w:val="left" w:pos="924"/>
        </w:tabs>
        <w:spacing w:before="120" w:after="80" w:line="240" w:lineRule="atLeast"/>
        <w:jc w:val="center"/>
        <w:rPr>
          <w:rFonts w:ascii="Arial" w:hAnsi="Arial" w:cs="Arial"/>
          <w:b/>
          <w:sz w:val="40"/>
          <w:szCs w:val="40"/>
        </w:rPr>
        <w:sectPr w:rsidR="00E44DDC" w:rsidSect="006538A7">
          <w:footerReference w:type="default" r:id="rId9"/>
          <w:pgSz w:w="11906" w:h="16838" w:code="9"/>
          <w:pgMar w:top="720" w:right="902" w:bottom="1077" w:left="720" w:header="0" w:footer="284" w:gutter="0"/>
          <w:cols w:space="708"/>
          <w:docGrid w:linePitch="360"/>
        </w:sectPr>
      </w:pPr>
    </w:p>
    <w:p w:rsidR="00E44DDC" w:rsidRDefault="00E44DDC" w:rsidP="00E44DDC">
      <w:pPr>
        <w:pStyle w:val="Titre1"/>
        <w:ind w:left="432"/>
      </w:pPr>
      <w:bookmarkStart w:id="0" w:name="_Toc15999201"/>
      <w:r>
        <w:rPr>
          <w:kern w:val="1"/>
          <w:sz w:val="28"/>
          <w:szCs w:val="28"/>
        </w:rPr>
        <w:lastRenderedPageBreak/>
        <w:t>Article 1 – Bordereau de Prix Unitaires (BPU)</w:t>
      </w:r>
      <w:bookmarkEnd w:id="0"/>
    </w:p>
    <w:p w:rsidR="00E44DDC" w:rsidRPr="0097528B" w:rsidRDefault="00E44DDC" w:rsidP="0097528B">
      <w:pPr>
        <w:pStyle w:val="Titre1Themis"/>
        <w:tabs>
          <w:tab w:val="right" w:pos="14940"/>
        </w:tabs>
        <w:spacing w:after="120"/>
        <w:rPr>
          <w:rFonts w:ascii="Arial" w:hAnsi="Arial"/>
          <w:szCs w:val="24"/>
          <w:u w:val="single"/>
        </w:rPr>
      </w:pPr>
      <w:r w:rsidRPr="0097528B">
        <w:rPr>
          <w:rFonts w:ascii="Arial" w:hAnsi="Arial"/>
          <w:szCs w:val="24"/>
          <w:u w:val="single"/>
        </w:rPr>
        <w:t xml:space="preserve">Article 1.1 Fourniture et livraison de radeaux de survie </w:t>
      </w:r>
      <w:r w:rsidR="003434AE">
        <w:rPr>
          <w:rFonts w:ascii="Arial" w:hAnsi="Arial"/>
          <w:szCs w:val="24"/>
          <w:u w:val="single"/>
        </w:rPr>
        <w:t xml:space="preserve">et leurs </w:t>
      </w:r>
      <w:r w:rsidR="0097528B" w:rsidRPr="0097528B">
        <w:rPr>
          <w:rFonts w:ascii="Arial" w:hAnsi="Arial"/>
          <w:szCs w:val="24"/>
          <w:u w:val="single"/>
        </w:rPr>
        <w:t xml:space="preserve">accessoires </w:t>
      </w:r>
      <w:r w:rsidRPr="0097528B">
        <w:rPr>
          <w:rFonts w:ascii="Arial" w:hAnsi="Arial"/>
          <w:szCs w:val="24"/>
          <w:u w:val="single"/>
        </w:rPr>
        <w:t>(poste 1)</w:t>
      </w:r>
    </w:p>
    <w:p w:rsidR="0097528B" w:rsidRPr="0097528B" w:rsidRDefault="0097528B" w:rsidP="0097528B">
      <w:pPr>
        <w:spacing w:after="240"/>
        <w:rPr>
          <w:rFonts w:ascii="Arial" w:hAnsi="Arial"/>
          <w:b/>
        </w:rPr>
      </w:pPr>
      <w:r w:rsidRPr="0097528B">
        <w:rPr>
          <w:rFonts w:ascii="Arial" w:hAnsi="Arial"/>
          <w:b/>
        </w:rPr>
        <w:t xml:space="preserve">Article </w:t>
      </w:r>
      <w:r>
        <w:rPr>
          <w:rFonts w:ascii="Arial" w:hAnsi="Arial"/>
          <w:b/>
        </w:rPr>
        <w:t>1.1</w:t>
      </w:r>
      <w:r w:rsidRPr="0097528B">
        <w:rPr>
          <w:rFonts w:ascii="Arial" w:hAnsi="Arial"/>
          <w:b/>
        </w:rPr>
        <w:t>.</w:t>
      </w:r>
      <w:r w:rsidR="00375AB3">
        <w:rPr>
          <w:rFonts w:ascii="Arial" w:hAnsi="Arial"/>
          <w:b/>
        </w:rPr>
        <w:t>1 Fourniture et</w:t>
      </w:r>
      <w:r w:rsidR="003434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livraison</w:t>
      </w:r>
      <w:r w:rsidR="003434A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 radeaux de survie</w:t>
      </w:r>
    </w:p>
    <w:tbl>
      <w:tblPr>
        <w:tblpPr w:leftFromText="141" w:rightFromText="141" w:vertAnchor="text" w:tblpXSpec="center" w:tblpY="1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727"/>
        <w:gridCol w:w="2342"/>
      </w:tblGrid>
      <w:tr w:rsidR="00E44DDC" w:rsidRPr="006A70E3" w:rsidTr="00E44DDC">
        <w:trPr>
          <w:trHeight w:val="564"/>
        </w:trPr>
        <w:tc>
          <w:tcPr>
            <w:tcW w:w="6096" w:type="dxa"/>
            <w:shd w:val="clear" w:color="auto" w:fill="C0C0C0"/>
            <w:vAlign w:val="center"/>
          </w:tcPr>
          <w:p w:rsidR="00E44DDC" w:rsidRPr="003434AE" w:rsidRDefault="003434AE" w:rsidP="00E44DDC">
            <w:pPr>
              <w:jc w:val="center"/>
              <w:rPr>
                <w:rFonts w:ascii="Arial" w:hAnsi="Arial" w:cs="Arial"/>
                <w:b/>
                <w:bCs/>
              </w:rPr>
            </w:pPr>
            <w:r w:rsidRPr="003434AE">
              <w:rPr>
                <w:rFonts w:ascii="Arial" w:hAnsi="Arial"/>
                <w:b/>
              </w:rPr>
              <w:t>Type de radeau</w:t>
            </w:r>
          </w:p>
        </w:tc>
        <w:tc>
          <w:tcPr>
            <w:tcW w:w="2727" w:type="dxa"/>
            <w:shd w:val="clear" w:color="auto" w:fill="C0C0C0"/>
            <w:vAlign w:val="center"/>
          </w:tcPr>
          <w:p w:rsidR="00E44DDC" w:rsidRPr="00E44DDC" w:rsidRDefault="00E44DDC" w:rsidP="00E44D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DDC">
              <w:rPr>
                <w:rFonts w:ascii="Arial" w:hAnsi="Arial" w:cs="Arial"/>
                <w:b/>
                <w:bCs/>
              </w:rPr>
              <w:t>Référence</w:t>
            </w:r>
          </w:p>
        </w:tc>
        <w:tc>
          <w:tcPr>
            <w:tcW w:w="2342" w:type="dxa"/>
            <w:shd w:val="clear" w:color="auto" w:fill="C0C0C0"/>
            <w:vAlign w:val="center"/>
          </w:tcPr>
          <w:p w:rsidR="00DE282D" w:rsidRDefault="00DE282D" w:rsidP="00E44DD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Prix unitaire</w:t>
            </w:r>
            <w:r w:rsidR="00E44DDC" w:rsidRPr="00E44DDC">
              <w:rPr>
                <w:rFonts w:ascii="Arial" w:hAnsi="Arial" w:cs="Arial"/>
                <w:b/>
                <w:bCs/>
              </w:rPr>
              <w:t xml:space="preserve"> HT</w:t>
            </w:r>
          </w:p>
          <w:p w:rsidR="00E44DDC" w:rsidRPr="00E44DDC" w:rsidRDefault="00E44DDC" w:rsidP="00E44DD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4DDC">
              <w:rPr>
                <w:rFonts w:ascii="Arial" w:hAnsi="Arial" w:cs="Arial"/>
                <w:b/>
                <w:bCs/>
              </w:rPr>
              <w:t xml:space="preserve"> en €</w:t>
            </w:r>
          </w:p>
        </w:tc>
      </w:tr>
      <w:tr w:rsidR="00E44DDC" w:rsidRPr="006A70E3" w:rsidTr="00501052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E44DDC" w:rsidRPr="00501052" w:rsidRDefault="00501052" w:rsidP="00B5599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Radeau à jet (</w:t>
            </w:r>
            <w:proofErr w:type="spellStart"/>
            <w:r>
              <w:rPr>
                <w:rFonts w:ascii="Arial" w:hAnsi="Arial" w:cs="Arial"/>
                <w:color w:val="000000"/>
              </w:rPr>
              <w:t>throw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over </w:t>
            </w:r>
            <w:proofErr w:type="spellStart"/>
            <w:r>
              <w:rPr>
                <w:rFonts w:ascii="Arial" w:hAnsi="Arial" w:cs="Arial"/>
                <w:color w:val="000000"/>
              </w:rPr>
              <w:t>board</w:t>
            </w:r>
            <w:proofErr w:type="spellEnd"/>
            <w:r>
              <w:rPr>
                <w:rFonts w:ascii="Arial" w:hAnsi="Arial" w:cs="Arial"/>
                <w:color w:val="000000"/>
              </w:rPr>
              <w:t>) SOLAS Pack B en container cylindrique, 10 places</w:t>
            </w:r>
          </w:p>
        </w:tc>
        <w:tc>
          <w:tcPr>
            <w:tcW w:w="2727" w:type="dxa"/>
          </w:tcPr>
          <w:p w:rsidR="00E44DDC" w:rsidRPr="006A70E3" w:rsidRDefault="00E44DDC" w:rsidP="00E44DD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E44DDC" w:rsidRPr="006A70E3" w:rsidRDefault="00E44DDC" w:rsidP="00E44DD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44DDC" w:rsidRPr="006A70E3" w:rsidTr="00E44DDC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E44DDC" w:rsidRPr="00E44DDC" w:rsidRDefault="00E44DDC" w:rsidP="00E44DDC">
            <w:pPr>
              <w:jc w:val="both"/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à jet (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throw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 over 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board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) SOLAS Pack B en container cylindrique, 12 places </w:t>
            </w:r>
            <w:r w:rsidR="004F188D" w:rsidRPr="00B5599C">
              <w:rPr>
                <w:rFonts w:ascii="Arial" w:hAnsi="Arial" w:cs="Arial"/>
                <w:b/>
                <w:color w:val="000000"/>
              </w:rPr>
              <w:t>auto redressant</w:t>
            </w:r>
            <w:r w:rsidRPr="00E44DDC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2727" w:type="dxa"/>
          </w:tcPr>
          <w:p w:rsidR="00E44DDC" w:rsidRPr="006A70E3" w:rsidRDefault="00E44DDC" w:rsidP="00E44DD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E44DDC" w:rsidRPr="006A70E3" w:rsidRDefault="00E44DDC" w:rsidP="00E44DDC">
            <w:pPr>
              <w:jc w:val="center"/>
              <w:rPr>
                <w:b/>
                <w:bCs/>
                <w:sz w:val="22"/>
              </w:rPr>
            </w:pPr>
          </w:p>
        </w:tc>
      </w:tr>
      <w:tr w:rsidR="00E44DDC" w:rsidRPr="006A70E3" w:rsidTr="00E44DDC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E44DDC" w:rsidRPr="00E44DDC" w:rsidRDefault="00E44DDC" w:rsidP="00E44DDC">
            <w:pPr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à jet (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throw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 over 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board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) SOLAS pack A en container cylindrique, 16 places, </w:t>
            </w:r>
            <w:r w:rsidRPr="00E44DDC">
              <w:rPr>
                <w:rFonts w:ascii="Arial" w:hAnsi="Arial" w:cs="Arial"/>
                <w:b/>
                <w:color w:val="000000"/>
              </w:rPr>
              <w:t>non auto-redressant.</w:t>
            </w:r>
          </w:p>
        </w:tc>
        <w:tc>
          <w:tcPr>
            <w:tcW w:w="2727" w:type="dxa"/>
          </w:tcPr>
          <w:p w:rsidR="00E44DDC" w:rsidRPr="006A70E3" w:rsidRDefault="00E44DDC" w:rsidP="00E44DDC">
            <w:pPr>
              <w:jc w:val="center"/>
              <w:rPr>
                <w:b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E44DDC" w:rsidRPr="006A70E3" w:rsidRDefault="00E44DDC" w:rsidP="00E44DDC">
            <w:pPr>
              <w:jc w:val="center"/>
              <w:rPr>
                <w:b/>
              </w:rPr>
            </w:pPr>
          </w:p>
        </w:tc>
      </w:tr>
      <w:tr w:rsidR="00E44DDC" w:rsidTr="00E44DDC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E44DDC" w:rsidRPr="00E44DDC" w:rsidRDefault="00E44DDC" w:rsidP="00E44DDC">
            <w:pPr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sous bossoir (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davit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E44DDC">
              <w:rPr>
                <w:rFonts w:ascii="Arial" w:hAnsi="Arial" w:cs="Arial"/>
                <w:color w:val="000000"/>
              </w:rPr>
              <w:t>launched</w:t>
            </w:r>
            <w:proofErr w:type="spellEnd"/>
            <w:r w:rsidRPr="00E44DDC">
              <w:rPr>
                <w:rFonts w:ascii="Arial" w:hAnsi="Arial" w:cs="Arial"/>
                <w:color w:val="000000"/>
              </w:rPr>
              <w:t xml:space="preserve">) SOLAS pack A en container, 16 places </w:t>
            </w:r>
            <w:r w:rsidRPr="00E44DDC">
              <w:rPr>
                <w:rFonts w:ascii="Arial" w:hAnsi="Arial" w:cs="Arial"/>
                <w:b/>
                <w:color w:val="000000"/>
              </w:rPr>
              <w:t xml:space="preserve"> non auto-redressant.</w:t>
            </w:r>
          </w:p>
        </w:tc>
        <w:tc>
          <w:tcPr>
            <w:tcW w:w="2727" w:type="dxa"/>
          </w:tcPr>
          <w:p w:rsidR="00E44DDC" w:rsidRDefault="00E44DDC" w:rsidP="00E44DDC">
            <w:pPr>
              <w:jc w:val="center"/>
              <w:rPr>
                <w:b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E44DDC" w:rsidRDefault="00E44DDC" w:rsidP="00E44DDC">
            <w:pPr>
              <w:jc w:val="center"/>
              <w:rPr>
                <w:b/>
              </w:rPr>
            </w:pPr>
          </w:p>
        </w:tc>
      </w:tr>
      <w:tr w:rsidR="00E44DDC" w:rsidTr="00E44DDC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E44DDC" w:rsidRPr="00E44DDC" w:rsidRDefault="00E44DDC" w:rsidP="00E44DDC">
            <w:pPr>
              <w:rPr>
                <w:rFonts w:ascii="Arial" w:hAnsi="Arial" w:cs="Arial"/>
                <w:b/>
              </w:rPr>
            </w:pPr>
            <w:r w:rsidRPr="00E44DDC">
              <w:rPr>
                <w:rFonts w:ascii="Arial" w:hAnsi="Arial" w:cs="Arial"/>
                <w:color w:val="000000"/>
              </w:rPr>
              <w:t>Radeau plaisance ISO 9650-1 type I (hauturière) groupe A en sac à jet, 6 places</w:t>
            </w:r>
          </w:p>
        </w:tc>
        <w:tc>
          <w:tcPr>
            <w:tcW w:w="2727" w:type="dxa"/>
          </w:tcPr>
          <w:p w:rsidR="00E44DDC" w:rsidRDefault="00E44DDC" w:rsidP="00E44DDC">
            <w:pPr>
              <w:jc w:val="center"/>
              <w:rPr>
                <w:b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E44DDC" w:rsidRDefault="00E44DDC" w:rsidP="00E44DDC">
            <w:pPr>
              <w:jc w:val="center"/>
              <w:rPr>
                <w:b/>
              </w:rPr>
            </w:pPr>
          </w:p>
        </w:tc>
      </w:tr>
    </w:tbl>
    <w:p w:rsidR="00375AB3" w:rsidRDefault="00375AB3" w:rsidP="00E44DDC">
      <w:pPr>
        <w:pStyle w:val="Titre1Themis"/>
        <w:tabs>
          <w:tab w:val="right" w:pos="14940"/>
        </w:tabs>
        <w:spacing w:before="0"/>
        <w:rPr>
          <w:rFonts w:ascii="Arial" w:hAnsi="Arial"/>
          <w:b w:val="0"/>
          <w:sz w:val="28"/>
          <w:szCs w:val="28"/>
        </w:rPr>
      </w:pPr>
    </w:p>
    <w:p w:rsidR="00375AB3" w:rsidRPr="00375AB3" w:rsidRDefault="00375AB3" w:rsidP="00375AB3">
      <w:pPr>
        <w:rPr>
          <w:rFonts w:ascii="Arial" w:hAnsi="Arial" w:cs="Arial"/>
          <w:b/>
        </w:rPr>
      </w:pPr>
      <w:r w:rsidRPr="00375AB3">
        <w:rPr>
          <w:rFonts w:ascii="Arial" w:hAnsi="Arial" w:cs="Arial"/>
          <w:b/>
        </w:rPr>
        <w:t>Taux de TVA : ........%</w:t>
      </w:r>
    </w:p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375AB3" w:rsidRPr="00375AB3" w:rsidRDefault="00375AB3" w:rsidP="00375AB3"/>
    <w:p w:rsidR="0097528B" w:rsidRPr="00375AB3" w:rsidRDefault="0097528B" w:rsidP="00375AB3">
      <w:pPr>
        <w:sectPr w:rsidR="0097528B" w:rsidRPr="00375AB3" w:rsidSect="0097528B">
          <w:footerReference w:type="even" r:id="rId10"/>
          <w:footerReference w:type="default" r:id="rId11"/>
          <w:pgSz w:w="11906" w:h="16838" w:code="9"/>
          <w:pgMar w:top="567" w:right="568" w:bottom="851" w:left="568" w:header="0" w:footer="284" w:gutter="0"/>
          <w:cols w:space="708"/>
          <w:titlePg/>
          <w:docGrid w:linePitch="360"/>
        </w:sectPr>
      </w:pPr>
    </w:p>
    <w:p w:rsidR="0097528B" w:rsidRDefault="0097528B" w:rsidP="0097528B">
      <w:pPr>
        <w:pStyle w:val="Titre1Themis"/>
        <w:tabs>
          <w:tab w:val="right" w:pos="14940"/>
        </w:tabs>
        <w:spacing w:before="0"/>
        <w:rPr>
          <w:rFonts w:ascii="Arial" w:hAnsi="Arial"/>
        </w:rPr>
      </w:pPr>
      <w:r w:rsidRPr="0097528B">
        <w:rPr>
          <w:rFonts w:ascii="Arial" w:hAnsi="Arial"/>
        </w:rPr>
        <w:lastRenderedPageBreak/>
        <w:t>A</w:t>
      </w:r>
      <w:r w:rsidRPr="0097528B">
        <w:rPr>
          <w:rFonts w:ascii="Arial" w:hAnsi="Arial"/>
          <w:szCs w:val="24"/>
        </w:rPr>
        <w:t xml:space="preserve">rticle </w:t>
      </w:r>
      <w:r w:rsidRPr="0097528B">
        <w:rPr>
          <w:rFonts w:ascii="Arial" w:hAnsi="Arial"/>
        </w:rPr>
        <w:t>1.1</w:t>
      </w:r>
      <w:r w:rsidRPr="0097528B">
        <w:rPr>
          <w:rFonts w:ascii="Arial" w:hAnsi="Arial"/>
          <w:szCs w:val="24"/>
        </w:rPr>
        <w:t>.</w:t>
      </w:r>
      <w:r>
        <w:rPr>
          <w:rFonts w:ascii="Arial" w:hAnsi="Arial"/>
          <w:szCs w:val="24"/>
        </w:rPr>
        <w:t>2</w:t>
      </w:r>
      <w:r w:rsidRPr="0097528B">
        <w:rPr>
          <w:rFonts w:ascii="Arial" w:hAnsi="Arial"/>
        </w:rPr>
        <w:t xml:space="preserve"> Fourniture et livraison </w:t>
      </w:r>
      <w:r>
        <w:rPr>
          <w:rFonts w:ascii="Arial" w:hAnsi="Arial"/>
        </w:rPr>
        <w:t>d'accessoires</w:t>
      </w:r>
    </w:p>
    <w:tbl>
      <w:tblPr>
        <w:tblStyle w:val="Grilledutableau"/>
        <w:tblW w:w="16085" w:type="dxa"/>
        <w:tblInd w:w="-176" w:type="dxa"/>
        <w:tblLook w:val="04A0"/>
      </w:tblPr>
      <w:tblGrid>
        <w:gridCol w:w="2552"/>
        <w:gridCol w:w="1377"/>
        <w:gridCol w:w="1330"/>
        <w:gridCol w:w="1401"/>
        <w:gridCol w:w="1446"/>
        <w:gridCol w:w="1377"/>
        <w:gridCol w:w="1330"/>
        <w:gridCol w:w="1377"/>
        <w:gridCol w:w="1188"/>
        <w:gridCol w:w="1377"/>
        <w:gridCol w:w="1330"/>
      </w:tblGrid>
      <w:tr w:rsidR="0097528B" w:rsidTr="00E25DC7">
        <w:trPr>
          <w:cantSplit/>
          <w:trHeight w:val="2708"/>
        </w:trPr>
        <w:tc>
          <w:tcPr>
            <w:tcW w:w="2552" w:type="dxa"/>
            <w:tcBorders>
              <w:right w:val="nil"/>
              <w:tl2br w:val="single" w:sz="4" w:space="0" w:color="auto"/>
            </w:tcBorders>
            <w:shd w:val="clear" w:color="auto" w:fill="D9D9D9" w:themeFill="background1" w:themeFillShade="D9"/>
          </w:tcPr>
          <w:p w:rsidR="0097528B" w:rsidRPr="00320317" w:rsidRDefault="00754714" w:rsidP="00230BA9">
            <w:pPr>
              <w:pStyle w:val="Titre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       </w:t>
            </w:r>
            <w:r w:rsidR="0097528B">
              <w:rPr>
                <w:b w:val="0"/>
                <w:sz w:val="24"/>
                <w:szCs w:val="24"/>
              </w:rPr>
              <w:t>Type</w:t>
            </w:r>
            <w:r w:rsidR="0097528B" w:rsidRPr="00320317">
              <w:rPr>
                <w:b w:val="0"/>
                <w:sz w:val="24"/>
                <w:szCs w:val="24"/>
              </w:rPr>
              <w:t xml:space="preserve">          </w:t>
            </w:r>
            <w:r w:rsidR="0097528B">
              <w:rPr>
                <w:b w:val="0"/>
                <w:sz w:val="24"/>
                <w:szCs w:val="24"/>
              </w:rPr>
              <w:t xml:space="preserve">     </w:t>
            </w:r>
          </w:p>
          <w:p w:rsidR="0097528B" w:rsidRDefault="0097528B" w:rsidP="00230BA9">
            <w:pPr>
              <w:rPr>
                <w:rFonts w:ascii="Arial" w:hAnsi="Arial" w:cs="Arial"/>
              </w:rPr>
            </w:pPr>
            <w:r w:rsidRPr="00320317">
              <w:rPr>
                <w:rFonts w:ascii="Arial" w:hAnsi="Arial" w:cs="Arial"/>
              </w:rPr>
              <w:t xml:space="preserve">     </w:t>
            </w:r>
            <w:r w:rsidR="00754714"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t>de</w:t>
            </w:r>
            <w:r w:rsidRPr="00320317">
              <w:rPr>
                <w:rFonts w:ascii="Arial" w:hAnsi="Arial" w:cs="Arial"/>
              </w:rPr>
              <w:t xml:space="preserve"> </w:t>
            </w:r>
            <w:r w:rsidR="00754714">
              <w:rPr>
                <w:rFonts w:ascii="Arial" w:hAnsi="Arial" w:cs="Arial"/>
              </w:rPr>
              <w:t xml:space="preserve">radeau                          </w:t>
            </w:r>
          </w:p>
          <w:p w:rsidR="00754714" w:rsidRDefault="00754714" w:rsidP="00230BA9">
            <w:pPr>
              <w:rPr>
                <w:rFonts w:ascii="Arial" w:hAnsi="Arial" w:cs="Arial"/>
              </w:rPr>
            </w:pPr>
          </w:p>
          <w:p w:rsidR="00754714" w:rsidRDefault="00754714" w:rsidP="00230BA9">
            <w:pPr>
              <w:rPr>
                <w:rFonts w:ascii="Arial" w:hAnsi="Arial" w:cs="Arial"/>
              </w:rPr>
            </w:pPr>
          </w:p>
          <w:p w:rsidR="00754714" w:rsidRDefault="00754714" w:rsidP="00230BA9">
            <w:pPr>
              <w:rPr>
                <w:rFonts w:ascii="Arial" w:hAnsi="Arial" w:cs="Arial"/>
              </w:rPr>
            </w:pPr>
          </w:p>
          <w:p w:rsidR="0097528B" w:rsidRDefault="0097528B" w:rsidP="00230BA9">
            <w:pPr>
              <w:rPr>
                <w:rFonts w:ascii="Arial" w:hAnsi="Arial" w:cs="Arial"/>
              </w:rPr>
            </w:pPr>
            <w:r w:rsidRPr="00320317">
              <w:rPr>
                <w:rFonts w:ascii="Arial" w:hAnsi="Arial" w:cs="Arial"/>
              </w:rPr>
              <w:t>Désignation</w:t>
            </w:r>
          </w:p>
          <w:p w:rsidR="0097528B" w:rsidRPr="00320317" w:rsidRDefault="0097528B" w:rsidP="00230BA9">
            <w:r w:rsidRPr="00320317">
              <w:rPr>
                <w:rFonts w:ascii="Arial" w:hAnsi="Arial" w:cs="Arial"/>
              </w:rPr>
              <w:t>des articles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D9D9D9" w:themeFill="background1" w:themeFillShade="D9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7528B" w:rsidRPr="004D1856" w:rsidRDefault="0097528B" w:rsidP="00230BA9">
            <w:pPr>
              <w:pStyle w:val="Titre1"/>
              <w:ind w:left="113" w:right="113"/>
              <w:jc w:val="center"/>
              <w:rPr>
                <w:sz w:val="24"/>
                <w:szCs w:val="24"/>
              </w:rPr>
            </w:pPr>
            <w:r w:rsidRPr="004D1856">
              <w:rPr>
                <w:sz w:val="24"/>
                <w:szCs w:val="24"/>
              </w:rPr>
              <w:t>Á JET SOLAS PACK B</w:t>
            </w:r>
          </w:p>
          <w:p w:rsidR="0097528B" w:rsidRDefault="0097528B" w:rsidP="00230BA9">
            <w:pPr>
              <w:pStyle w:val="Titre1"/>
              <w:ind w:left="113" w:right="113"/>
              <w:jc w:val="center"/>
              <w:rPr>
                <w:sz w:val="24"/>
                <w:szCs w:val="24"/>
              </w:rPr>
            </w:pPr>
            <w:r w:rsidRPr="004D1856">
              <w:rPr>
                <w:sz w:val="24"/>
                <w:szCs w:val="24"/>
              </w:rPr>
              <w:t>10 PLACES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7528B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7528B" w:rsidRPr="004D1856" w:rsidRDefault="0097528B" w:rsidP="00230BA9">
            <w:pPr>
              <w:pStyle w:val="Titre1"/>
              <w:ind w:left="113" w:right="113"/>
              <w:jc w:val="center"/>
              <w:rPr>
                <w:sz w:val="24"/>
                <w:szCs w:val="24"/>
              </w:rPr>
            </w:pPr>
            <w:r w:rsidRPr="004D1856">
              <w:rPr>
                <w:sz w:val="24"/>
                <w:szCs w:val="24"/>
              </w:rPr>
              <w:t>Á JET SOLAS PACK B</w:t>
            </w:r>
          </w:p>
          <w:p w:rsidR="0097528B" w:rsidRDefault="0097528B" w:rsidP="00230BA9">
            <w:pPr>
              <w:pStyle w:val="Titre1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4D1856">
              <w:rPr>
                <w:sz w:val="24"/>
                <w:szCs w:val="24"/>
              </w:rPr>
              <w:t xml:space="preserve"> PLACES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7528B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</w:tcPr>
          <w:p w:rsidR="0097528B" w:rsidRDefault="0097528B" w:rsidP="00230BA9">
            <w:pPr>
              <w:pStyle w:val="Titre1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 JET SOLAS PACK  A</w:t>
            </w:r>
          </w:p>
          <w:p w:rsidR="0097528B" w:rsidRDefault="0097528B" w:rsidP="00230BA9">
            <w:pPr>
              <w:pStyle w:val="Titre1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16</w:t>
            </w:r>
            <w:r w:rsidRPr="004D1856">
              <w:rPr>
                <w:sz w:val="24"/>
                <w:szCs w:val="24"/>
              </w:rPr>
              <w:t xml:space="preserve"> PLACES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7528B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extDirection w:val="btLr"/>
          </w:tcPr>
          <w:p w:rsidR="0097528B" w:rsidRPr="00AD70A9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SOUS BOSSOIR PACK A 16 PLACES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7528B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:rsidR="0097528B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ISO 9650-1 GRPE A </w:t>
            </w:r>
          </w:p>
          <w:p w:rsidR="0097528B" w:rsidRDefault="0097528B" w:rsidP="00230BA9">
            <w:pPr>
              <w:pStyle w:val="Titre1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 PLACES</w:t>
            </w:r>
          </w:p>
        </w:tc>
      </w:tr>
      <w:tr w:rsidR="0097528B" w:rsidTr="00CE5901">
        <w:tc>
          <w:tcPr>
            <w:tcW w:w="2552" w:type="dxa"/>
            <w:shd w:val="clear" w:color="auto" w:fill="000000" w:themeFill="text1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528B" w:rsidRDefault="0097528B" w:rsidP="00230BA9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97528B" w:rsidRDefault="00752765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Prix unitaire </w:t>
            </w:r>
            <w:r w:rsidR="0097528B">
              <w:rPr>
                <w:sz w:val="24"/>
                <w:szCs w:val="24"/>
              </w:rPr>
              <w:t>en € HT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vAlign w:val="center"/>
          </w:tcPr>
          <w:p w:rsidR="0097528B" w:rsidRDefault="0097528B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1446" w:type="dxa"/>
            <w:tcBorders>
              <w:top w:val="single" w:sz="4" w:space="0" w:color="auto"/>
            </w:tcBorders>
            <w:vAlign w:val="center"/>
          </w:tcPr>
          <w:p w:rsidR="0097528B" w:rsidRDefault="00752765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unitaire en € HT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528B" w:rsidRDefault="0097528B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97528B" w:rsidRDefault="00752765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unitaire en € HT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528B" w:rsidRDefault="0097528B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vAlign w:val="center"/>
          </w:tcPr>
          <w:p w:rsidR="0097528B" w:rsidRDefault="00752765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unitaire en € HT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7528B" w:rsidRDefault="0097528B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:rsidR="0097528B" w:rsidRDefault="00752765" w:rsidP="00752765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unitaire en € HT</w:t>
            </w:r>
          </w:p>
        </w:tc>
      </w:tr>
      <w:tr w:rsidR="0097528B" w:rsidTr="00CE5901">
        <w:tc>
          <w:tcPr>
            <w:tcW w:w="2552" w:type="dxa"/>
            <w:vAlign w:val="center"/>
          </w:tcPr>
          <w:p w:rsidR="0097528B" w:rsidRPr="00F42B05" w:rsidRDefault="0097528B" w:rsidP="00230BA9">
            <w:pPr>
              <w:jc w:val="center"/>
              <w:rPr>
                <w:rFonts w:ascii="Arial" w:hAnsi="Arial" w:cs="Arial"/>
                <w:color w:val="000000"/>
              </w:rPr>
            </w:pPr>
            <w:r w:rsidRPr="00F42B05">
              <w:rPr>
                <w:rFonts w:ascii="Arial" w:hAnsi="Arial" w:cs="Arial"/>
                <w:color w:val="000000"/>
              </w:rPr>
              <w:t>Bouée flottante de sauvetage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</w:tr>
      <w:tr w:rsidR="0097528B" w:rsidTr="00CE5901">
        <w:tc>
          <w:tcPr>
            <w:tcW w:w="2552" w:type="dxa"/>
            <w:vAlign w:val="center"/>
          </w:tcPr>
          <w:p w:rsidR="0097528B" w:rsidRPr="00F42B05" w:rsidRDefault="0097528B" w:rsidP="00230BA9">
            <w:pPr>
              <w:jc w:val="center"/>
              <w:rPr>
                <w:rFonts w:ascii="Arial" w:hAnsi="Arial" w:cs="Arial"/>
                <w:color w:val="000000"/>
              </w:rPr>
            </w:pPr>
            <w:r w:rsidRPr="00F42B05">
              <w:rPr>
                <w:rFonts w:ascii="Arial" w:hAnsi="Arial" w:cs="Arial"/>
                <w:color w:val="000000"/>
              </w:rPr>
              <w:t>30</w:t>
            </w:r>
            <w:r w:rsidR="00E33BB3">
              <w:rPr>
                <w:rFonts w:ascii="Arial" w:hAnsi="Arial" w:cs="Arial"/>
                <w:color w:val="000000"/>
              </w:rPr>
              <w:t xml:space="preserve"> </w:t>
            </w:r>
            <w:r w:rsidRPr="00F42B05">
              <w:rPr>
                <w:rFonts w:ascii="Arial" w:hAnsi="Arial" w:cs="Arial"/>
                <w:color w:val="000000"/>
              </w:rPr>
              <w:t>m</w:t>
            </w:r>
            <w:r w:rsidR="00E33BB3">
              <w:rPr>
                <w:rFonts w:ascii="Arial" w:hAnsi="Arial" w:cs="Arial"/>
                <w:color w:val="000000"/>
              </w:rPr>
              <w:t>ètres</w:t>
            </w:r>
            <w:r w:rsidRPr="00F42B05">
              <w:rPr>
                <w:rFonts w:ascii="Arial" w:hAnsi="Arial" w:cs="Arial"/>
                <w:color w:val="000000"/>
              </w:rPr>
              <w:t xml:space="preserve"> de ligne flottante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</w:tr>
      <w:tr w:rsidR="0097528B" w:rsidTr="00CE5901">
        <w:tc>
          <w:tcPr>
            <w:tcW w:w="2552" w:type="dxa"/>
            <w:vAlign w:val="center"/>
          </w:tcPr>
          <w:p w:rsidR="0097528B" w:rsidRPr="00F42B05" w:rsidRDefault="0097528B" w:rsidP="00230B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Pr="00F42B05">
              <w:rPr>
                <w:rFonts w:ascii="Arial" w:hAnsi="Arial" w:cs="Arial"/>
                <w:color w:val="000000"/>
              </w:rPr>
              <w:t>agaie</w:t>
            </w:r>
            <w:r w:rsidR="00E33BB3">
              <w:rPr>
                <w:rFonts w:ascii="Arial" w:hAnsi="Arial" w:cs="Arial"/>
                <w:color w:val="000000"/>
              </w:rPr>
              <w:t xml:space="preserve"> (à l’unité)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</w:tr>
      <w:tr w:rsidR="0097528B" w:rsidTr="00CE5901">
        <w:tc>
          <w:tcPr>
            <w:tcW w:w="2552" w:type="dxa"/>
            <w:vAlign w:val="center"/>
          </w:tcPr>
          <w:p w:rsidR="0097528B" w:rsidRPr="00F42B05" w:rsidRDefault="0097528B" w:rsidP="00230BA9">
            <w:pPr>
              <w:jc w:val="center"/>
              <w:rPr>
                <w:rFonts w:ascii="Arial" w:hAnsi="Arial" w:cs="Arial"/>
                <w:color w:val="000000"/>
              </w:rPr>
            </w:pPr>
            <w:r w:rsidRPr="00F42B05">
              <w:rPr>
                <w:rFonts w:ascii="Arial" w:hAnsi="Arial" w:cs="Arial"/>
                <w:color w:val="000000"/>
              </w:rPr>
              <w:t xml:space="preserve">Trousse d’outils pour </w:t>
            </w:r>
            <w:r w:rsidRPr="00F42B05">
              <w:rPr>
                <w:rFonts w:ascii="Arial" w:hAnsi="Arial" w:cs="Arial"/>
                <w:color w:val="000000"/>
              </w:rPr>
              <w:br/>
              <w:t>réparer les crevaisons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</w:tr>
      <w:tr w:rsidR="0097528B" w:rsidTr="00CE5901">
        <w:tc>
          <w:tcPr>
            <w:tcW w:w="2552" w:type="dxa"/>
            <w:vAlign w:val="center"/>
          </w:tcPr>
          <w:p w:rsidR="0097528B" w:rsidRPr="00F42B05" w:rsidRDefault="0097528B" w:rsidP="00230BA9">
            <w:pPr>
              <w:jc w:val="center"/>
              <w:rPr>
                <w:rFonts w:ascii="Arial" w:hAnsi="Arial" w:cs="Arial"/>
                <w:color w:val="000000"/>
              </w:rPr>
            </w:pPr>
            <w:r w:rsidRPr="00F42B05">
              <w:rPr>
                <w:rFonts w:ascii="Arial" w:hAnsi="Arial" w:cs="Arial"/>
                <w:color w:val="000000"/>
              </w:rPr>
              <w:t xml:space="preserve">Signaux parachute </w:t>
            </w:r>
            <w:r w:rsidRPr="00F42B05">
              <w:rPr>
                <w:rFonts w:ascii="Arial" w:hAnsi="Arial" w:cs="Arial"/>
                <w:color w:val="000000"/>
              </w:rPr>
              <w:br/>
              <w:t>de détresse</w:t>
            </w:r>
            <w:r w:rsidR="00E33BB3">
              <w:rPr>
                <w:rFonts w:ascii="Arial" w:hAnsi="Arial" w:cs="Arial"/>
                <w:color w:val="000000"/>
              </w:rPr>
              <w:t xml:space="preserve"> (à l’unité)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</w:tr>
      <w:tr w:rsidR="0097528B" w:rsidTr="00CE5901">
        <w:trPr>
          <w:trHeight w:val="446"/>
        </w:trPr>
        <w:tc>
          <w:tcPr>
            <w:tcW w:w="16085" w:type="dxa"/>
            <w:gridSpan w:val="11"/>
            <w:shd w:val="clear" w:color="auto" w:fill="D9D9D9" w:themeFill="background1" w:themeFillShade="D9"/>
            <w:vAlign w:val="center"/>
          </w:tcPr>
          <w:p w:rsidR="0097528B" w:rsidRDefault="0097528B" w:rsidP="00230BA9">
            <w:pPr>
              <w:pStyle w:val="Titre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DISPOSITIF DE LARGAGE</w:t>
            </w:r>
          </w:p>
        </w:tc>
      </w:tr>
      <w:tr w:rsidR="0097528B" w:rsidTr="00CE5901">
        <w:tc>
          <w:tcPr>
            <w:tcW w:w="2552" w:type="dxa"/>
            <w:vAlign w:val="bottom"/>
          </w:tcPr>
          <w:p w:rsidR="0097528B" w:rsidRPr="003514EF" w:rsidRDefault="0097528B" w:rsidP="008D61A9">
            <w:pPr>
              <w:rPr>
                <w:rFonts w:ascii="Arial" w:hAnsi="Arial" w:cs="Arial"/>
                <w:color w:val="000000"/>
              </w:rPr>
            </w:pPr>
            <w:r w:rsidRPr="003514EF">
              <w:rPr>
                <w:rFonts w:ascii="Arial" w:hAnsi="Arial" w:cs="Arial"/>
                <w:color w:val="000000"/>
              </w:rPr>
              <w:t>Dispositif de largage</w:t>
            </w:r>
            <w:r w:rsidRPr="003514EF">
              <w:rPr>
                <w:rFonts w:ascii="Arial" w:hAnsi="Arial" w:cs="Arial"/>
                <w:color w:val="000000"/>
              </w:rPr>
              <w:br/>
              <w:t xml:space="preserve"> hydrostatique</w:t>
            </w:r>
            <w:r w:rsidR="008E0488" w:rsidRPr="003514EF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30" w:type="dxa"/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77" w:type="dxa"/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188" w:type="dxa"/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77" w:type="dxa"/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30" w:type="dxa"/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</w:tr>
      <w:tr w:rsidR="0097528B" w:rsidTr="00CE5901">
        <w:tc>
          <w:tcPr>
            <w:tcW w:w="2552" w:type="dxa"/>
            <w:vAlign w:val="bottom"/>
          </w:tcPr>
          <w:p w:rsidR="0097528B" w:rsidRPr="003514EF" w:rsidRDefault="0097528B" w:rsidP="008D61A9">
            <w:pPr>
              <w:rPr>
                <w:rFonts w:ascii="Arial" w:hAnsi="Arial" w:cs="Arial"/>
                <w:color w:val="000000"/>
              </w:rPr>
            </w:pPr>
            <w:r w:rsidRPr="003514EF">
              <w:rPr>
                <w:rFonts w:ascii="Arial" w:hAnsi="Arial" w:cs="Arial"/>
                <w:color w:val="000000"/>
              </w:rPr>
              <w:t>Dispositif de largage manuel </w:t>
            </w:r>
          </w:p>
        </w:tc>
        <w:tc>
          <w:tcPr>
            <w:tcW w:w="1377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01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97528B" w:rsidRDefault="0097528B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97528B" w:rsidRPr="00E10EEC" w:rsidRDefault="0097528B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</w:tr>
      <w:tr w:rsidR="00CE5901" w:rsidTr="00CE5901">
        <w:trPr>
          <w:trHeight w:val="446"/>
        </w:trPr>
        <w:tc>
          <w:tcPr>
            <w:tcW w:w="16085" w:type="dxa"/>
            <w:gridSpan w:val="11"/>
            <w:shd w:val="clear" w:color="auto" w:fill="D9D9D9" w:themeFill="background1" w:themeFillShade="D9"/>
            <w:vAlign w:val="center"/>
          </w:tcPr>
          <w:p w:rsidR="00CE5901" w:rsidRDefault="00CE5901" w:rsidP="00CE5901">
            <w:pPr>
              <w:pStyle w:val="Titre1"/>
              <w:spacing w:befor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ACCESSOIRES COMMUNS A TOUT TYPE DE RADEAU</w:t>
            </w:r>
          </w:p>
        </w:tc>
      </w:tr>
      <w:tr w:rsidR="00CE5901" w:rsidTr="00CE5901">
        <w:tc>
          <w:tcPr>
            <w:tcW w:w="2552" w:type="dxa"/>
            <w:vAlign w:val="center"/>
          </w:tcPr>
          <w:p w:rsidR="00CE5901" w:rsidRDefault="00CE5901" w:rsidP="00CE5901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Accessoires</w:t>
            </w:r>
          </w:p>
        </w:tc>
        <w:tc>
          <w:tcPr>
            <w:tcW w:w="5554" w:type="dxa"/>
            <w:gridSpan w:val="4"/>
            <w:vAlign w:val="center"/>
          </w:tcPr>
          <w:p w:rsidR="00CE5901" w:rsidRDefault="00CE5901" w:rsidP="00CE5901">
            <w:pPr>
              <w:pStyle w:val="Titre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Référence</w:t>
            </w:r>
          </w:p>
        </w:tc>
        <w:tc>
          <w:tcPr>
            <w:tcW w:w="7979" w:type="dxa"/>
            <w:gridSpan w:val="6"/>
            <w:shd w:val="clear" w:color="auto" w:fill="FFFFFF" w:themeFill="background1"/>
            <w:vAlign w:val="center"/>
          </w:tcPr>
          <w:p w:rsidR="00CE5901" w:rsidRPr="00E10EEC" w:rsidRDefault="00CE5901" w:rsidP="00CE5901">
            <w:pPr>
              <w:pStyle w:val="Titre1"/>
              <w:jc w:val="center"/>
              <w:rPr>
                <w:sz w:val="24"/>
                <w:szCs w:val="24"/>
                <w:highlight w:val="black"/>
              </w:rPr>
            </w:pPr>
            <w:r>
              <w:rPr>
                <w:sz w:val="24"/>
                <w:szCs w:val="24"/>
              </w:rPr>
              <w:t>Prix unitaire en € HT</w:t>
            </w:r>
          </w:p>
        </w:tc>
      </w:tr>
      <w:tr w:rsidR="00CE5901" w:rsidTr="00CE5901">
        <w:tc>
          <w:tcPr>
            <w:tcW w:w="2552" w:type="dxa"/>
            <w:vAlign w:val="center"/>
          </w:tcPr>
          <w:p w:rsidR="00CE5901" w:rsidRPr="00F42B05" w:rsidRDefault="00CE5901" w:rsidP="00E33B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Feu</w:t>
            </w:r>
            <w:r w:rsidR="00E33BB3">
              <w:rPr>
                <w:rFonts w:ascii="Arial" w:hAnsi="Arial" w:cs="Arial"/>
                <w:color w:val="000000"/>
              </w:rPr>
              <w:t>x</w:t>
            </w:r>
            <w:r w:rsidRPr="00F42B05">
              <w:rPr>
                <w:rFonts w:ascii="Arial" w:hAnsi="Arial" w:cs="Arial"/>
                <w:color w:val="000000"/>
              </w:rPr>
              <w:t xml:space="preserve"> à main</w:t>
            </w:r>
            <w:r w:rsidR="00E33BB3">
              <w:rPr>
                <w:rFonts w:ascii="Arial" w:hAnsi="Arial" w:cs="Arial"/>
                <w:color w:val="000000"/>
              </w:rPr>
              <w:t xml:space="preserve"> (pack de 3 unités)</w:t>
            </w:r>
          </w:p>
        </w:tc>
        <w:tc>
          <w:tcPr>
            <w:tcW w:w="5554" w:type="dxa"/>
            <w:gridSpan w:val="4"/>
          </w:tcPr>
          <w:p w:rsidR="00CE5901" w:rsidRDefault="00CE5901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7979" w:type="dxa"/>
            <w:gridSpan w:val="6"/>
            <w:shd w:val="clear" w:color="auto" w:fill="FFFFFF" w:themeFill="background1"/>
          </w:tcPr>
          <w:p w:rsidR="00CE5901" w:rsidRPr="00E10EEC" w:rsidRDefault="00CE5901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</w:tr>
      <w:tr w:rsidR="00CE5901" w:rsidTr="00CE5901">
        <w:tc>
          <w:tcPr>
            <w:tcW w:w="2552" w:type="dxa"/>
            <w:vAlign w:val="center"/>
          </w:tcPr>
          <w:p w:rsidR="00CE5901" w:rsidRPr="00F42B05" w:rsidRDefault="00CE5901" w:rsidP="00E33BB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Fumigène </w:t>
            </w:r>
            <w:r w:rsidRPr="00F42B05">
              <w:rPr>
                <w:rFonts w:ascii="Arial" w:hAnsi="Arial" w:cs="Arial"/>
                <w:color w:val="000000"/>
              </w:rPr>
              <w:t>flottant</w:t>
            </w:r>
            <w:r w:rsidR="00E33BB3">
              <w:rPr>
                <w:rFonts w:ascii="Arial" w:hAnsi="Arial" w:cs="Arial"/>
                <w:color w:val="000000"/>
              </w:rPr>
              <w:t xml:space="preserve"> (à l’unité)</w:t>
            </w:r>
          </w:p>
        </w:tc>
        <w:tc>
          <w:tcPr>
            <w:tcW w:w="5554" w:type="dxa"/>
            <w:gridSpan w:val="4"/>
          </w:tcPr>
          <w:p w:rsidR="00CE5901" w:rsidRDefault="00CE5901" w:rsidP="00230BA9">
            <w:pPr>
              <w:pStyle w:val="Titre1"/>
              <w:rPr>
                <w:sz w:val="24"/>
                <w:szCs w:val="24"/>
              </w:rPr>
            </w:pPr>
          </w:p>
        </w:tc>
        <w:tc>
          <w:tcPr>
            <w:tcW w:w="7979" w:type="dxa"/>
            <w:gridSpan w:val="6"/>
            <w:shd w:val="clear" w:color="auto" w:fill="FFFFFF" w:themeFill="background1"/>
          </w:tcPr>
          <w:p w:rsidR="00CE5901" w:rsidRPr="00E10EEC" w:rsidRDefault="00CE5901" w:rsidP="00230BA9">
            <w:pPr>
              <w:pStyle w:val="Titre1"/>
              <w:rPr>
                <w:sz w:val="24"/>
                <w:szCs w:val="24"/>
                <w:highlight w:val="black"/>
              </w:rPr>
            </w:pPr>
          </w:p>
        </w:tc>
      </w:tr>
    </w:tbl>
    <w:p w:rsidR="00375AB3" w:rsidRPr="00375AB3" w:rsidRDefault="00375AB3" w:rsidP="00375AB3">
      <w:pPr>
        <w:spacing w:before="120"/>
        <w:rPr>
          <w:rFonts w:ascii="Arial" w:hAnsi="Arial" w:cs="Arial"/>
          <w:b/>
        </w:rPr>
      </w:pPr>
      <w:r w:rsidRPr="00375AB3">
        <w:rPr>
          <w:rFonts w:ascii="Arial" w:hAnsi="Arial" w:cs="Arial"/>
          <w:b/>
        </w:rPr>
        <w:t>Taux de TVA : ........%</w:t>
      </w:r>
    </w:p>
    <w:p w:rsidR="0097528B" w:rsidRDefault="0097528B" w:rsidP="00E44DDC">
      <w:pPr>
        <w:pStyle w:val="Titre1Themis"/>
        <w:tabs>
          <w:tab w:val="right" w:pos="14940"/>
        </w:tabs>
        <w:spacing w:before="0"/>
        <w:rPr>
          <w:rFonts w:ascii="Arial" w:hAnsi="Arial"/>
        </w:rPr>
        <w:sectPr w:rsidR="0097528B" w:rsidSect="008D61A9">
          <w:pgSz w:w="16838" w:h="11906" w:orient="landscape" w:code="9"/>
          <w:pgMar w:top="142" w:right="567" w:bottom="0" w:left="851" w:header="0" w:footer="284" w:gutter="0"/>
          <w:cols w:space="708"/>
          <w:titlePg/>
          <w:docGrid w:linePitch="360"/>
        </w:sectPr>
      </w:pPr>
    </w:p>
    <w:p w:rsidR="00501052" w:rsidRDefault="00501052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  <w:r w:rsidRPr="0097528B">
        <w:rPr>
          <w:rFonts w:ascii="Arial" w:hAnsi="Arial"/>
          <w:i/>
          <w:sz w:val="24"/>
          <w:szCs w:val="24"/>
          <w:u w:val="single"/>
        </w:rPr>
        <w:lastRenderedPageBreak/>
        <w:t>Article 1.2 Prestation</w:t>
      </w:r>
      <w:r w:rsidR="0097528B" w:rsidRPr="0097528B">
        <w:rPr>
          <w:rFonts w:ascii="Arial" w:hAnsi="Arial"/>
          <w:i/>
          <w:sz w:val="24"/>
          <w:szCs w:val="24"/>
          <w:u w:val="single"/>
        </w:rPr>
        <w:t>s</w:t>
      </w:r>
      <w:r w:rsidRPr="0097528B">
        <w:rPr>
          <w:rFonts w:ascii="Arial" w:hAnsi="Arial"/>
          <w:i/>
          <w:sz w:val="24"/>
          <w:szCs w:val="24"/>
          <w:u w:val="single"/>
        </w:rPr>
        <w:t xml:space="preserve"> de </w:t>
      </w:r>
      <w:r w:rsidR="00D10894" w:rsidRPr="0097528B">
        <w:rPr>
          <w:rFonts w:ascii="Arial" w:hAnsi="Arial"/>
          <w:i/>
          <w:sz w:val="24"/>
          <w:szCs w:val="24"/>
          <w:u w:val="single"/>
        </w:rPr>
        <w:t xml:space="preserve">contrôle réglementaire </w:t>
      </w:r>
      <w:r w:rsidRPr="0097528B">
        <w:rPr>
          <w:rFonts w:ascii="Arial" w:hAnsi="Arial"/>
          <w:i/>
          <w:sz w:val="24"/>
          <w:szCs w:val="24"/>
          <w:u w:val="single"/>
        </w:rPr>
        <w:t>de radeaux de survie (poste 2)</w:t>
      </w:r>
    </w:p>
    <w:tbl>
      <w:tblPr>
        <w:tblStyle w:val="Grilledutableau"/>
        <w:tblW w:w="0" w:type="auto"/>
        <w:tblLook w:val="04A0"/>
      </w:tblPr>
      <w:tblGrid>
        <w:gridCol w:w="4219"/>
        <w:gridCol w:w="3260"/>
        <w:gridCol w:w="2127"/>
      </w:tblGrid>
      <w:tr w:rsidR="000F5BF6" w:rsidTr="000F5BF6">
        <w:trPr>
          <w:trHeight w:val="726"/>
        </w:trPr>
        <w:tc>
          <w:tcPr>
            <w:tcW w:w="4219" w:type="dxa"/>
            <w:shd w:val="clear" w:color="auto" w:fill="D9D9D9" w:themeFill="background1" w:themeFillShade="D9"/>
            <w:vAlign w:val="center"/>
          </w:tcPr>
          <w:p w:rsidR="000F5BF6" w:rsidRPr="00B11366" w:rsidRDefault="000F5BF6" w:rsidP="00B11366">
            <w:pPr>
              <w:pStyle w:val="Normal13pt"/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 w:rsidRPr="00B11366">
              <w:rPr>
                <w:rFonts w:ascii="Arial" w:hAnsi="Arial"/>
                <w:sz w:val="24"/>
                <w:szCs w:val="24"/>
              </w:rPr>
              <w:t>Type de radeau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0F5BF6" w:rsidRPr="00B11366" w:rsidRDefault="000F5BF6" w:rsidP="00B11366">
            <w:pPr>
              <w:pStyle w:val="Normal13pt"/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 w:rsidRPr="00B11366">
              <w:rPr>
                <w:rFonts w:ascii="Arial" w:hAnsi="Arial"/>
                <w:sz w:val="24"/>
                <w:szCs w:val="24"/>
              </w:rPr>
              <w:t>Type de contrôle réglementaire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bottom"/>
          </w:tcPr>
          <w:p w:rsidR="000F5BF6" w:rsidRPr="00B11366" w:rsidRDefault="000F5BF6" w:rsidP="006C053E">
            <w:pPr>
              <w:pStyle w:val="Normal13pt"/>
              <w:spacing w:after="120"/>
              <w:jc w:val="center"/>
              <w:rPr>
                <w:rFonts w:ascii="Arial" w:hAnsi="Arial"/>
                <w:sz w:val="24"/>
                <w:szCs w:val="24"/>
              </w:rPr>
            </w:pPr>
            <w:r w:rsidRPr="00B11366">
              <w:rPr>
                <w:rFonts w:ascii="Arial" w:hAnsi="Arial"/>
                <w:sz w:val="24"/>
                <w:szCs w:val="24"/>
              </w:rPr>
              <w:t>Prix unitaire en € HT</w:t>
            </w:r>
          </w:p>
        </w:tc>
      </w:tr>
      <w:tr w:rsidR="000F5BF6" w:rsidTr="000F5BF6">
        <w:tc>
          <w:tcPr>
            <w:tcW w:w="4219" w:type="dxa"/>
            <w:vMerge w:val="restart"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à jet SOLAS pack B, 10 places</w:t>
            </w: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Annuel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c>
          <w:tcPr>
            <w:tcW w:w="4219" w:type="dxa"/>
            <w:vMerge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c>
          <w:tcPr>
            <w:tcW w:w="4219" w:type="dxa"/>
            <w:vMerge w:val="restart"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à jet SOLAS pack B, 12 places</w:t>
            </w: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Annuel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c>
          <w:tcPr>
            <w:tcW w:w="4219" w:type="dxa"/>
            <w:vMerge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rPr>
          <w:trHeight w:val="489"/>
        </w:trPr>
        <w:tc>
          <w:tcPr>
            <w:tcW w:w="4219" w:type="dxa"/>
            <w:vMerge w:val="restart"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à jet SOLAS pack A 16 places</w:t>
            </w: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Annuel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rPr>
          <w:trHeight w:val="643"/>
        </w:trPr>
        <w:tc>
          <w:tcPr>
            <w:tcW w:w="4219" w:type="dxa"/>
            <w:vMerge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rPr>
          <w:trHeight w:val="567"/>
        </w:trPr>
        <w:tc>
          <w:tcPr>
            <w:tcW w:w="4219" w:type="dxa"/>
            <w:vMerge w:val="restart"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  <w:r w:rsidRPr="00F458C1">
              <w:rPr>
                <w:rFonts w:ascii="Arial" w:hAnsi="Arial" w:cs="Arial"/>
                <w:b w:val="0"/>
                <w:color w:val="000000"/>
              </w:rPr>
              <w:t>radeau sous-bossoir SOLAS pack A, 16 places</w:t>
            </w: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Annuel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  <w:tr w:rsidR="000F5BF6" w:rsidTr="000F5BF6">
        <w:tc>
          <w:tcPr>
            <w:tcW w:w="4219" w:type="dxa"/>
            <w:vMerge/>
            <w:vAlign w:val="center"/>
          </w:tcPr>
          <w:p w:rsidR="000F5BF6" w:rsidRPr="00F458C1" w:rsidRDefault="000F5BF6" w:rsidP="00F458C1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i/>
                <w:sz w:val="24"/>
                <w:szCs w:val="24"/>
                <w:u w:val="single"/>
              </w:rPr>
            </w:pPr>
          </w:p>
        </w:tc>
        <w:tc>
          <w:tcPr>
            <w:tcW w:w="3260" w:type="dxa"/>
            <w:vAlign w:val="center"/>
          </w:tcPr>
          <w:p w:rsidR="000F5BF6" w:rsidRPr="00B11366" w:rsidRDefault="000F5BF6" w:rsidP="005011DD">
            <w:pPr>
              <w:pStyle w:val="Normal13pt"/>
              <w:spacing w:after="120"/>
              <w:jc w:val="center"/>
              <w:rPr>
                <w:rFonts w:ascii="Arial" w:hAnsi="Arial"/>
                <w:b w:val="0"/>
                <w:sz w:val="24"/>
                <w:szCs w:val="24"/>
              </w:rPr>
            </w:pPr>
            <w:r w:rsidRPr="00B11366">
              <w:rPr>
                <w:rFonts w:ascii="Arial" w:hAnsi="Arial"/>
                <w:b w:val="0"/>
                <w:sz w:val="24"/>
                <w:szCs w:val="24"/>
              </w:rPr>
              <w:t>Quinquennal</w:t>
            </w:r>
          </w:p>
        </w:tc>
        <w:tc>
          <w:tcPr>
            <w:tcW w:w="2127" w:type="dxa"/>
            <w:vAlign w:val="center"/>
          </w:tcPr>
          <w:p w:rsidR="000F5BF6" w:rsidRDefault="000F5BF6" w:rsidP="00E00DDA">
            <w:pPr>
              <w:pStyle w:val="Normal13pt"/>
              <w:spacing w:after="120"/>
              <w:jc w:val="center"/>
              <w:rPr>
                <w:rFonts w:ascii="Arial" w:hAnsi="Arial"/>
                <w:i/>
                <w:sz w:val="24"/>
                <w:szCs w:val="24"/>
                <w:u w:val="single"/>
              </w:rPr>
            </w:pPr>
          </w:p>
        </w:tc>
      </w:tr>
    </w:tbl>
    <w:p w:rsidR="00B11366" w:rsidRDefault="00B1136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375AB3" w:rsidRPr="00375AB3" w:rsidRDefault="00375AB3" w:rsidP="00375AB3">
      <w:pPr>
        <w:rPr>
          <w:rFonts w:ascii="Arial" w:hAnsi="Arial" w:cs="Arial"/>
          <w:b/>
        </w:rPr>
      </w:pPr>
      <w:r w:rsidRPr="00375AB3">
        <w:rPr>
          <w:rFonts w:ascii="Arial" w:hAnsi="Arial" w:cs="Arial"/>
          <w:b/>
        </w:rPr>
        <w:t>Taux de TVA : ........%</w:t>
      </w:r>
    </w:p>
    <w:p w:rsidR="00375AB3" w:rsidRDefault="00375AB3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1F7DA3" w:rsidRPr="0097528B" w:rsidRDefault="001F7DA3" w:rsidP="001F7DA3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  <w:r w:rsidRPr="0097528B">
        <w:rPr>
          <w:rFonts w:ascii="Arial" w:hAnsi="Arial"/>
          <w:i/>
          <w:sz w:val="24"/>
          <w:szCs w:val="24"/>
          <w:u w:val="single"/>
        </w:rPr>
        <w:t>Article 1.3 Prestations de reconditionnement de radeaux de survie (poste 3)</w:t>
      </w:r>
    </w:p>
    <w:tbl>
      <w:tblPr>
        <w:tblpPr w:leftFromText="141" w:rightFromText="141" w:vertAnchor="text" w:tblpXSpec="center" w:tblpY="1"/>
        <w:tblOverlap w:val="never"/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342"/>
      </w:tblGrid>
      <w:tr w:rsidR="000F5BF6" w:rsidRPr="00E44DDC" w:rsidTr="000F5BF6">
        <w:trPr>
          <w:trHeight w:val="564"/>
        </w:trPr>
        <w:tc>
          <w:tcPr>
            <w:tcW w:w="6096" w:type="dxa"/>
            <w:shd w:val="clear" w:color="auto" w:fill="C0C0C0"/>
            <w:vAlign w:val="center"/>
          </w:tcPr>
          <w:p w:rsidR="000F5BF6" w:rsidRPr="008C50AC" w:rsidRDefault="000F5BF6" w:rsidP="00230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8C50AC">
              <w:rPr>
                <w:rFonts w:ascii="Arial" w:hAnsi="Arial"/>
                <w:b/>
              </w:rPr>
              <w:t>Type de radeau</w:t>
            </w:r>
          </w:p>
        </w:tc>
        <w:tc>
          <w:tcPr>
            <w:tcW w:w="2342" w:type="dxa"/>
            <w:shd w:val="clear" w:color="auto" w:fill="C0C0C0"/>
            <w:vAlign w:val="center"/>
          </w:tcPr>
          <w:p w:rsidR="000F5BF6" w:rsidRPr="00E44DDC" w:rsidRDefault="000F5BF6" w:rsidP="00230BA9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>Prix unitaire</w:t>
            </w:r>
            <w:r w:rsidRPr="00E44DDC">
              <w:rPr>
                <w:rFonts w:ascii="Arial" w:hAnsi="Arial" w:cs="Arial"/>
                <w:b/>
                <w:bCs/>
              </w:rPr>
              <w:t xml:space="preserve"> HT en €</w:t>
            </w:r>
          </w:p>
        </w:tc>
      </w:tr>
      <w:tr w:rsidR="000F5BF6" w:rsidRPr="006A70E3" w:rsidTr="000F5BF6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0F5BF6" w:rsidRDefault="000F5BF6" w:rsidP="009D4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à jet SOLAS, pack B, 10 places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F5BF6" w:rsidRPr="006A70E3" w:rsidRDefault="000F5BF6" w:rsidP="00230BA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F5BF6" w:rsidRPr="006A70E3" w:rsidTr="000F5BF6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0F5BF6" w:rsidRDefault="000F5BF6" w:rsidP="009D4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à jet SOLAS, pack B, 12 places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F5BF6" w:rsidRPr="006A70E3" w:rsidRDefault="000F5BF6" w:rsidP="00230BA9">
            <w:pPr>
              <w:jc w:val="center"/>
              <w:rPr>
                <w:b/>
                <w:bCs/>
                <w:sz w:val="22"/>
              </w:rPr>
            </w:pPr>
          </w:p>
        </w:tc>
      </w:tr>
      <w:tr w:rsidR="000F5BF6" w:rsidRPr="006A70E3" w:rsidTr="000F5BF6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0F5BF6" w:rsidRDefault="000F5BF6" w:rsidP="009D48A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à jet SOLAS, pack A, en container, 16 places 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(incluant la fourniture de </w:t>
            </w:r>
            <w:r>
              <w:rPr>
                <w:rFonts w:ascii="Arial" w:hAnsi="Arial" w:cs="Arial"/>
                <w:b/>
                <w:color w:val="000000"/>
              </w:rPr>
              <w:t>18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feu</w:t>
            </w:r>
            <w:r w:rsidR="008D61A9">
              <w:rPr>
                <w:rFonts w:ascii="Arial" w:hAnsi="Arial" w:cs="Arial"/>
                <w:b/>
                <w:color w:val="000000"/>
              </w:rPr>
              <w:t>x à main et 20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fumigènes flottants)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F5BF6" w:rsidRPr="006A70E3" w:rsidRDefault="000F5BF6" w:rsidP="00230BA9">
            <w:pPr>
              <w:jc w:val="center"/>
              <w:rPr>
                <w:b/>
              </w:rPr>
            </w:pPr>
          </w:p>
        </w:tc>
      </w:tr>
      <w:tr w:rsidR="000F5BF6" w:rsidTr="000F5BF6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0F5BF6" w:rsidRDefault="000F5BF6" w:rsidP="00230BA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sous bossoir SOLAS, pack A, en container, 16 places </w:t>
            </w:r>
            <w:r>
              <w:rPr>
                <w:rFonts w:ascii="Arial" w:hAnsi="Arial" w:cs="Arial"/>
                <w:b/>
                <w:color w:val="000000"/>
              </w:rPr>
              <w:t>(incluant la fourniture de 18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feu</w:t>
            </w:r>
            <w:r w:rsidR="008D61A9">
              <w:rPr>
                <w:rFonts w:ascii="Arial" w:hAnsi="Arial" w:cs="Arial"/>
                <w:b/>
                <w:color w:val="000000"/>
              </w:rPr>
              <w:t>x à main et 20</w:t>
            </w:r>
            <w:r w:rsidRPr="00AC3452">
              <w:rPr>
                <w:rFonts w:ascii="Arial" w:hAnsi="Arial" w:cs="Arial"/>
                <w:b/>
                <w:color w:val="000000"/>
              </w:rPr>
              <w:t xml:space="preserve"> fumigènes flottants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F5BF6" w:rsidRDefault="000F5BF6" w:rsidP="00230BA9">
            <w:pPr>
              <w:jc w:val="center"/>
              <w:rPr>
                <w:b/>
              </w:rPr>
            </w:pPr>
          </w:p>
        </w:tc>
      </w:tr>
      <w:tr w:rsidR="000F5BF6" w:rsidTr="000F5BF6">
        <w:trPr>
          <w:trHeight w:val="825"/>
        </w:trPr>
        <w:tc>
          <w:tcPr>
            <w:tcW w:w="6096" w:type="dxa"/>
            <w:shd w:val="clear" w:color="auto" w:fill="auto"/>
            <w:vAlign w:val="center"/>
          </w:tcPr>
          <w:p w:rsidR="000F5BF6" w:rsidRDefault="000F5BF6" w:rsidP="006429C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Reconditionnement radeau plaisance ISO 9650-1 type I (hauturière) groupe A en sac à jet, 6 places 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0F5BF6" w:rsidRDefault="000F5BF6" w:rsidP="00230BA9">
            <w:pPr>
              <w:jc w:val="center"/>
              <w:rPr>
                <w:b/>
              </w:rPr>
            </w:pPr>
          </w:p>
        </w:tc>
      </w:tr>
    </w:tbl>
    <w:p w:rsidR="00B11366" w:rsidRDefault="00B1136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0F5BF6" w:rsidRDefault="000F5BF6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375AB3" w:rsidRPr="00375AB3" w:rsidRDefault="00375AB3" w:rsidP="00375AB3">
      <w:pPr>
        <w:rPr>
          <w:rFonts w:ascii="Arial" w:hAnsi="Arial" w:cs="Arial"/>
          <w:b/>
        </w:rPr>
      </w:pPr>
      <w:r w:rsidRPr="00375AB3">
        <w:rPr>
          <w:rFonts w:ascii="Arial" w:hAnsi="Arial" w:cs="Arial"/>
          <w:b/>
        </w:rPr>
        <w:t>Taux de TVA : ........%</w:t>
      </w:r>
    </w:p>
    <w:p w:rsidR="00375AB3" w:rsidRDefault="00375AB3" w:rsidP="00501052">
      <w:pPr>
        <w:pStyle w:val="Normal13pt"/>
        <w:spacing w:after="120"/>
        <w:rPr>
          <w:rFonts w:ascii="Arial" w:hAnsi="Arial"/>
          <w:i/>
          <w:sz w:val="24"/>
          <w:szCs w:val="24"/>
          <w:u w:val="single"/>
        </w:rPr>
      </w:pPr>
    </w:p>
    <w:p w:rsidR="00501052" w:rsidRPr="00501052" w:rsidRDefault="00501052" w:rsidP="00366DF6">
      <w:pPr>
        <w:pStyle w:val="Normal13pt"/>
        <w:rPr>
          <w:rFonts w:ascii="Arial" w:hAnsi="Arial" w:cs="Arial"/>
          <w:b w:val="0"/>
          <w:sz w:val="22"/>
          <w:szCs w:val="22"/>
        </w:rPr>
        <w:sectPr w:rsidR="00501052" w:rsidRPr="00501052" w:rsidSect="0097528B">
          <w:pgSz w:w="11906" w:h="16838" w:code="9"/>
          <w:pgMar w:top="567" w:right="568" w:bottom="851" w:left="568" w:header="0" w:footer="284" w:gutter="0"/>
          <w:cols w:space="708"/>
          <w:titlePg/>
          <w:docGrid w:linePitch="360"/>
        </w:sectPr>
      </w:pPr>
    </w:p>
    <w:p w:rsidR="00EE1964" w:rsidRPr="0097528B" w:rsidRDefault="00230BA9" w:rsidP="00EE1964">
      <w:pPr>
        <w:rPr>
          <w:rFonts w:ascii="Arial" w:hAnsi="Arial"/>
          <w:b/>
          <w:i/>
          <w:u w:val="single"/>
        </w:rPr>
      </w:pPr>
      <w:r>
        <w:rPr>
          <w:rFonts w:ascii="Arial" w:hAnsi="Arial"/>
          <w:b/>
          <w:i/>
          <w:u w:val="single"/>
        </w:rPr>
        <w:lastRenderedPageBreak/>
        <w:t>Article 1.4</w:t>
      </w:r>
      <w:r w:rsidR="00024136" w:rsidRPr="0097528B">
        <w:rPr>
          <w:rFonts w:ascii="Arial" w:hAnsi="Arial"/>
          <w:b/>
          <w:i/>
          <w:u w:val="single"/>
        </w:rPr>
        <w:t xml:space="preserve"> Frais associés </w:t>
      </w:r>
    </w:p>
    <w:p w:rsidR="00024136" w:rsidRDefault="00024136" w:rsidP="00EE1964">
      <w:pPr>
        <w:rPr>
          <w:rFonts w:ascii="Arial" w:hAnsi="Arial"/>
          <w:b/>
          <w:i/>
          <w:sz w:val="28"/>
          <w:szCs w:val="28"/>
          <w:u w:val="single"/>
        </w:rPr>
      </w:pPr>
    </w:p>
    <w:p w:rsidR="00024136" w:rsidRPr="007F0610" w:rsidRDefault="00230BA9" w:rsidP="007F0610">
      <w:pPr>
        <w:pStyle w:val="NormalWeb"/>
        <w:ind w:left="-11" w:firstLine="11"/>
      </w:pPr>
      <w:r w:rsidRPr="00230BA9">
        <w:rPr>
          <w:rFonts w:ascii="Arial" w:hAnsi="Arial"/>
          <w:b/>
        </w:rPr>
        <w:t>1.4</w:t>
      </w:r>
      <w:r w:rsidR="0092054A" w:rsidRPr="00230BA9">
        <w:rPr>
          <w:rFonts w:ascii="Arial" w:hAnsi="Arial"/>
          <w:b/>
        </w:rPr>
        <w:t>.1 F</w:t>
      </w:r>
      <w:r>
        <w:rPr>
          <w:rFonts w:ascii="Arial" w:hAnsi="Arial"/>
          <w:b/>
        </w:rPr>
        <w:t>orfait</w:t>
      </w:r>
      <w:r w:rsidR="0092054A" w:rsidRPr="00230BA9">
        <w:rPr>
          <w:rFonts w:ascii="Arial" w:hAnsi="Arial"/>
          <w:b/>
        </w:rPr>
        <w:t xml:space="preserve"> de transport</w:t>
      </w:r>
      <w:r w:rsidR="007F0610">
        <w:rPr>
          <w:rFonts w:ascii="Arial" w:hAnsi="Arial"/>
          <w:b/>
        </w:rPr>
        <w:t xml:space="preserve"> </w:t>
      </w:r>
      <w:r w:rsidR="007F0610" w:rsidRPr="007F0610">
        <w:rPr>
          <w:rFonts w:ascii="Arial" w:hAnsi="Arial" w:cs="Arial"/>
          <w:b/>
        </w:rPr>
        <w:t>de radeau(x)</w:t>
      </w:r>
      <w:r w:rsidR="0092054A" w:rsidRPr="00230BA9">
        <w:rPr>
          <w:rFonts w:ascii="Arial" w:hAnsi="Arial"/>
          <w:b/>
        </w:rPr>
        <w:t xml:space="preserve"> (poste</w:t>
      </w:r>
      <w:r w:rsidR="00152A69" w:rsidRPr="00230BA9">
        <w:rPr>
          <w:rFonts w:ascii="Arial" w:hAnsi="Arial"/>
          <w:b/>
        </w:rPr>
        <w:t>s</w:t>
      </w:r>
      <w:r w:rsidR="0092054A" w:rsidRPr="00230BA9">
        <w:rPr>
          <w:rFonts w:ascii="Arial" w:hAnsi="Arial"/>
          <w:b/>
        </w:rPr>
        <w:t xml:space="preserve"> 2, 3 et 4)</w:t>
      </w:r>
    </w:p>
    <w:p w:rsidR="00024136" w:rsidRPr="00A57AA6" w:rsidRDefault="00024136" w:rsidP="00EE1964">
      <w:pPr>
        <w:rPr>
          <w:rFonts w:ascii="Arial" w:hAnsi="Arial"/>
          <w:b/>
          <w:i/>
          <w:u w:val="single"/>
        </w:rPr>
      </w:pPr>
    </w:p>
    <w:tbl>
      <w:tblPr>
        <w:tblpPr w:leftFromText="141" w:rightFromText="141" w:vertAnchor="text" w:tblpXSpec="center" w:tblpY="1"/>
        <w:tblOverlap w:val="never"/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342"/>
      </w:tblGrid>
      <w:tr w:rsidR="005127F2" w:rsidRPr="00E44DDC" w:rsidTr="005127F2">
        <w:trPr>
          <w:trHeight w:val="564"/>
        </w:trPr>
        <w:tc>
          <w:tcPr>
            <w:tcW w:w="6096" w:type="dxa"/>
            <w:shd w:val="clear" w:color="auto" w:fill="C0C0C0"/>
            <w:vAlign w:val="center"/>
          </w:tcPr>
          <w:p w:rsidR="005127F2" w:rsidRPr="00E44DDC" w:rsidRDefault="00CF77A5" w:rsidP="0092054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Désignation</w:t>
            </w:r>
          </w:p>
        </w:tc>
        <w:tc>
          <w:tcPr>
            <w:tcW w:w="2342" w:type="dxa"/>
            <w:shd w:val="clear" w:color="auto" w:fill="C0C0C0"/>
            <w:vAlign w:val="center"/>
          </w:tcPr>
          <w:p w:rsidR="005127F2" w:rsidRPr="00E44DDC" w:rsidRDefault="00A57AA6" w:rsidP="00A57A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 xml:space="preserve">Prix unitaire </w:t>
            </w:r>
            <w:r w:rsidR="005127F2" w:rsidRPr="00E44DDC">
              <w:rPr>
                <w:rFonts w:ascii="Arial" w:hAnsi="Arial" w:cs="Arial"/>
                <w:b/>
                <w:bCs/>
              </w:rPr>
              <w:t>en €</w:t>
            </w:r>
            <w:r>
              <w:rPr>
                <w:rFonts w:ascii="Arial" w:hAnsi="Arial" w:cs="Arial"/>
                <w:b/>
                <w:bCs/>
              </w:rPr>
              <w:t xml:space="preserve"> HT</w:t>
            </w:r>
          </w:p>
        </w:tc>
      </w:tr>
      <w:tr w:rsidR="00F577FE" w:rsidRPr="006A70E3" w:rsidTr="005127F2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F577FE" w:rsidRDefault="00F577FE" w:rsidP="00F577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Forfait de transport </w:t>
            </w:r>
            <w:proofErr w:type="gramStart"/>
            <w:r>
              <w:rPr>
                <w:rFonts w:ascii="Arial" w:hAnsi="Arial" w:cs="Arial"/>
                <w:color w:val="000000"/>
              </w:rPr>
              <w:t>aller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et retour </w:t>
            </w:r>
            <w:r w:rsidRPr="00A34F9A">
              <w:rPr>
                <w:rFonts w:ascii="Arial" w:hAnsi="Arial" w:cs="Arial"/>
                <w:b/>
                <w:color w:val="000000"/>
              </w:rPr>
              <w:t>Marseille intramuros</w:t>
            </w:r>
            <w:r>
              <w:rPr>
                <w:rFonts w:ascii="Arial" w:hAnsi="Arial" w:cs="Arial"/>
                <w:color w:val="000000"/>
              </w:rPr>
              <w:t>, de 1 à 3 radeau(x)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577FE" w:rsidRPr="006A70E3" w:rsidRDefault="00F577FE" w:rsidP="00F577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577FE" w:rsidRPr="006A70E3" w:rsidTr="005127F2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F577FE" w:rsidRDefault="00F577FE" w:rsidP="00F577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Forfait de transport </w:t>
            </w:r>
            <w:proofErr w:type="gramStart"/>
            <w:r>
              <w:rPr>
                <w:rFonts w:ascii="Arial" w:hAnsi="Arial" w:cs="Arial"/>
                <w:color w:val="000000"/>
              </w:rPr>
              <w:t>aller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et retour </w:t>
            </w:r>
            <w:r w:rsidRPr="00A34F9A">
              <w:rPr>
                <w:rFonts w:ascii="Arial" w:hAnsi="Arial" w:cs="Arial"/>
                <w:b/>
                <w:color w:val="000000"/>
              </w:rPr>
              <w:t>Port de Bouc</w:t>
            </w:r>
            <w:r>
              <w:rPr>
                <w:rFonts w:ascii="Arial" w:hAnsi="Arial" w:cs="Arial"/>
                <w:color w:val="000000"/>
              </w:rPr>
              <w:t>, de 1 à 3 radeau(x)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577FE" w:rsidRPr="006A70E3" w:rsidRDefault="00F577FE" w:rsidP="00F577F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024136" w:rsidRPr="00024136" w:rsidRDefault="00024136" w:rsidP="00EE1964">
      <w:pPr>
        <w:rPr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A24571" w:rsidRDefault="00A24571" w:rsidP="00EE1964">
      <w:pPr>
        <w:rPr>
          <w:rFonts w:ascii="Arial" w:hAnsi="Arial"/>
          <w:b/>
        </w:rPr>
      </w:pPr>
    </w:p>
    <w:p w:rsidR="005127F2" w:rsidRDefault="005127F2" w:rsidP="00EE1964">
      <w:pPr>
        <w:rPr>
          <w:rFonts w:ascii="Arial" w:hAnsi="Arial"/>
          <w:b/>
        </w:rPr>
      </w:pPr>
    </w:p>
    <w:p w:rsidR="00375AB3" w:rsidRPr="00375AB3" w:rsidRDefault="00375AB3" w:rsidP="00375AB3">
      <w:pPr>
        <w:rPr>
          <w:rFonts w:ascii="Arial" w:hAnsi="Arial" w:cs="Arial"/>
          <w:b/>
        </w:rPr>
      </w:pPr>
      <w:r w:rsidRPr="00375AB3">
        <w:rPr>
          <w:rFonts w:ascii="Arial" w:hAnsi="Arial" w:cs="Arial"/>
          <w:b/>
        </w:rPr>
        <w:t>Taux de TVA : ........%</w:t>
      </w:r>
    </w:p>
    <w:p w:rsidR="00375AB3" w:rsidRDefault="00375AB3" w:rsidP="00EE1964">
      <w:pPr>
        <w:rPr>
          <w:rFonts w:ascii="Arial" w:hAnsi="Arial"/>
          <w:b/>
        </w:rPr>
      </w:pPr>
    </w:p>
    <w:p w:rsidR="00375AB3" w:rsidRDefault="00375AB3" w:rsidP="00EE1964">
      <w:pPr>
        <w:rPr>
          <w:rFonts w:ascii="Arial" w:hAnsi="Arial"/>
          <w:b/>
        </w:rPr>
      </w:pPr>
    </w:p>
    <w:p w:rsidR="00152A69" w:rsidRDefault="005127F2" w:rsidP="00EE1964">
      <w:pPr>
        <w:rPr>
          <w:rFonts w:ascii="Arial" w:hAnsi="Arial"/>
          <w:b/>
        </w:rPr>
      </w:pPr>
      <w:r w:rsidRPr="00230BA9">
        <w:rPr>
          <w:rFonts w:ascii="Arial" w:hAnsi="Arial"/>
          <w:b/>
        </w:rPr>
        <w:t>1.4</w:t>
      </w:r>
      <w:r w:rsidR="00CF77A5">
        <w:rPr>
          <w:rFonts w:ascii="Arial" w:hAnsi="Arial"/>
          <w:b/>
        </w:rPr>
        <w:t>.2</w:t>
      </w:r>
      <w:r w:rsidRPr="00230BA9">
        <w:rPr>
          <w:rFonts w:ascii="Arial" w:hAnsi="Arial"/>
          <w:b/>
        </w:rPr>
        <w:t xml:space="preserve"> F</w:t>
      </w:r>
      <w:r>
        <w:rPr>
          <w:rFonts w:ascii="Arial" w:hAnsi="Arial"/>
          <w:b/>
        </w:rPr>
        <w:t xml:space="preserve">orfait </w:t>
      </w:r>
      <w:r w:rsidR="008C50AC">
        <w:rPr>
          <w:rFonts w:ascii="Arial" w:hAnsi="Arial"/>
          <w:b/>
        </w:rPr>
        <w:t xml:space="preserve">horaire </w:t>
      </w:r>
      <w:r>
        <w:rPr>
          <w:rFonts w:ascii="Arial" w:hAnsi="Arial"/>
          <w:b/>
        </w:rPr>
        <w:t>d'intervention</w:t>
      </w:r>
      <w:r w:rsidR="00193821">
        <w:rPr>
          <w:rFonts w:ascii="Arial" w:hAnsi="Arial"/>
          <w:b/>
        </w:rPr>
        <w:t xml:space="preserve"> (poste 4)</w:t>
      </w:r>
    </w:p>
    <w:p w:rsidR="005127F2" w:rsidRDefault="005127F2" w:rsidP="00EE1964"/>
    <w:tbl>
      <w:tblPr>
        <w:tblpPr w:leftFromText="141" w:rightFromText="141" w:vertAnchor="text" w:tblpXSpec="center" w:tblpY="1"/>
        <w:tblOverlap w:val="never"/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  <w:gridCol w:w="2342"/>
      </w:tblGrid>
      <w:tr w:rsidR="00A57AA6" w:rsidRPr="00E44DDC" w:rsidTr="00A57AA6">
        <w:trPr>
          <w:trHeight w:val="564"/>
        </w:trPr>
        <w:tc>
          <w:tcPr>
            <w:tcW w:w="6096" w:type="dxa"/>
            <w:shd w:val="clear" w:color="auto" w:fill="C0C0C0"/>
            <w:vAlign w:val="center"/>
          </w:tcPr>
          <w:p w:rsidR="00A57AA6" w:rsidRPr="00E44DDC" w:rsidRDefault="00CF77A5" w:rsidP="004D185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Désignation</w:t>
            </w:r>
          </w:p>
        </w:tc>
        <w:tc>
          <w:tcPr>
            <w:tcW w:w="2342" w:type="dxa"/>
            <w:shd w:val="clear" w:color="auto" w:fill="C0C0C0"/>
            <w:vAlign w:val="center"/>
          </w:tcPr>
          <w:p w:rsidR="00A57AA6" w:rsidRPr="00E44DDC" w:rsidRDefault="00A57AA6" w:rsidP="004D1856">
            <w:pPr>
              <w:jc w:val="center"/>
              <w:rPr>
                <w:rFonts w:ascii="Arial" w:hAnsi="Arial" w:cs="Arial"/>
                <w:b/>
                <w:bCs/>
              </w:rPr>
            </w:pPr>
            <w:r w:rsidRPr="00A57AA6">
              <w:rPr>
                <w:rFonts w:ascii="Arial" w:hAnsi="Arial"/>
                <w:b/>
              </w:rPr>
              <w:t xml:space="preserve">Prix unitaire </w:t>
            </w:r>
            <w:r w:rsidRPr="00E44DDC">
              <w:rPr>
                <w:rFonts w:ascii="Arial" w:hAnsi="Arial" w:cs="Arial"/>
                <w:b/>
                <w:bCs/>
              </w:rPr>
              <w:t>en €</w:t>
            </w:r>
            <w:r>
              <w:rPr>
                <w:rFonts w:ascii="Arial" w:hAnsi="Arial" w:cs="Arial"/>
                <w:b/>
                <w:bCs/>
              </w:rPr>
              <w:t xml:space="preserve"> HT</w:t>
            </w:r>
          </w:p>
        </w:tc>
      </w:tr>
      <w:tr w:rsidR="00F577FE" w:rsidRPr="006A70E3" w:rsidTr="00A57AA6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F577FE" w:rsidRPr="00A34F9A" w:rsidRDefault="00F577FE" w:rsidP="00F577FE">
            <w:pPr>
              <w:pStyle w:val="western"/>
              <w:rPr>
                <w:sz w:val="24"/>
                <w:szCs w:val="24"/>
                <w:lang w:val="de-DE"/>
              </w:rPr>
            </w:pPr>
            <w:r w:rsidRPr="00A34F9A">
              <w:rPr>
                <w:color w:val="000000"/>
                <w:sz w:val="24"/>
                <w:szCs w:val="24"/>
              </w:rPr>
              <w:t xml:space="preserve">Forfait horaire d'intervention de réparation </w:t>
            </w:r>
            <w:r w:rsidRPr="00597D5B">
              <w:rPr>
                <w:b/>
                <w:color w:val="000000"/>
                <w:sz w:val="24"/>
                <w:szCs w:val="24"/>
              </w:rPr>
              <w:t>"spécifique"</w:t>
            </w:r>
            <w:r w:rsidRPr="00A34F9A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prestations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collage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couture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soudure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nécessitant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l'utilisation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diluants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solvants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,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colles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autres</w:t>
            </w:r>
            <w:proofErr w:type="spellEnd"/>
            <w:r w:rsidRPr="00A34F9A">
              <w:rPr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A34F9A">
              <w:rPr>
                <w:sz w:val="24"/>
                <w:szCs w:val="24"/>
                <w:lang w:val="de-DE"/>
              </w:rPr>
              <w:t>ingrédients</w:t>
            </w:r>
            <w:proofErr w:type="spellEnd"/>
            <w:r w:rsidRPr="00A34F9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577FE" w:rsidRPr="006A70E3" w:rsidRDefault="00F577FE" w:rsidP="00F577F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F577FE" w:rsidRPr="006A70E3" w:rsidTr="00A57AA6">
        <w:trPr>
          <w:trHeight w:val="780"/>
        </w:trPr>
        <w:tc>
          <w:tcPr>
            <w:tcW w:w="6096" w:type="dxa"/>
            <w:shd w:val="clear" w:color="auto" w:fill="auto"/>
            <w:vAlign w:val="center"/>
          </w:tcPr>
          <w:p w:rsidR="00F577FE" w:rsidRDefault="00F577FE" w:rsidP="00F577F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Forfait horaire d'intervention de réparation </w:t>
            </w:r>
            <w:r w:rsidRPr="00597D5B">
              <w:rPr>
                <w:rFonts w:ascii="Arial" w:hAnsi="Arial" w:cs="Arial"/>
                <w:b/>
                <w:color w:val="000000"/>
              </w:rPr>
              <w:t>"standard"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F577FE" w:rsidRPr="006A70E3" w:rsidRDefault="00F577FE" w:rsidP="00F577FE">
            <w:pPr>
              <w:jc w:val="center"/>
              <w:rPr>
                <w:b/>
                <w:bCs/>
                <w:sz w:val="22"/>
              </w:rPr>
            </w:pPr>
          </w:p>
        </w:tc>
      </w:tr>
    </w:tbl>
    <w:p w:rsidR="00797700" w:rsidRPr="00A42F2F" w:rsidRDefault="00797700" w:rsidP="00797700">
      <w:pPr>
        <w:spacing w:before="100" w:beforeAutospacing="1" w:after="119"/>
        <w:ind w:left="360"/>
        <w:jc w:val="both"/>
        <w:rPr>
          <w:rFonts w:ascii="Arial" w:hAnsi="Arial" w:cs="Arial"/>
          <w:sz w:val="22"/>
          <w:szCs w:val="22"/>
        </w:rPr>
      </w:pPr>
    </w:p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A57AA6" w:rsidRDefault="00A57AA6" w:rsidP="00453A7A">
      <w:pPr>
        <w:pStyle w:val="Titre1"/>
        <w:ind w:left="57"/>
        <w:rPr>
          <w:sz w:val="24"/>
          <w:szCs w:val="24"/>
        </w:rPr>
      </w:pPr>
    </w:p>
    <w:p w:rsidR="00F577FE" w:rsidRDefault="00F577FE" w:rsidP="00375AB3">
      <w:pPr>
        <w:rPr>
          <w:rFonts w:ascii="Arial" w:hAnsi="Arial" w:cs="Arial"/>
          <w:b/>
        </w:rPr>
      </w:pPr>
    </w:p>
    <w:p w:rsidR="00375AB3" w:rsidRPr="00375AB3" w:rsidRDefault="00375AB3" w:rsidP="00375AB3">
      <w:pPr>
        <w:rPr>
          <w:rFonts w:ascii="Arial" w:hAnsi="Arial" w:cs="Arial"/>
          <w:b/>
        </w:rPr>
      </w:pPr>
      <w:r w:rsidRPr="00375AB3">
        <w:rPr>
          <w:rFonts w:ascii="Arial" w:hAnsi="Arial" w:cs="Arial"/>
          <w:b/>
        </w:rPr>
        <w:t>Taux de TVA : ........%</w:t>
      </w:r>
    </w:p>
    <w:p w:rsidR="00375AB3" w:rsidRDefault="00375AB3" w:rsidP="00375AB3"/>
    <w:p w:rsidR="00375AB3" w:rsidRPr="00375AB3" w:rsidRDefault="00375AB3" w:rsidP="00375AB3"/>
    <w:p w:rsidR="00453A7A" w:rsidRDefault="00453A7A" w:rsidP="00453A7A">
      <w:pPr>
        <w:pStyle w:val="Titre1"/>
        <w:ind w:left="57"/>
      </w:pPr>
      <w:r>
        <w:rPr>
          <w:sz w:val="24"/>
          <w:szCs w:val="24"/>
        </w:rPr>
        <w:t>Article 2</w:t>
      </w:r>
      <w:r w:rsidRPr="00EE1964">
        <w:rPr>
          <w:sz w:val="24"/>
          <w:szCs w:val="24"/>
        </w:rPr>
        <w:t xml:space="preserve"> – TAUX DE</w:t>
      </w:r>
      <w:r w:rsidR="00A84472">
        <w:rPr>
          <w:sz w:val="24"/>
          <w:szCs w:val="24"/>
        </w:rPr>
        <w:t xml:space="preserve"> REMISE APPLICABLE A TOU</w:t>
      </w:r>
      <w:r w:rsidR="007A440B">
        <w:rPr>
          <w:sz w:val="24"/>
          <w:szCs w:val="24"/>
        </w:rPr>
        <w:t>S LES ARTICLES</w:t>
      </w:r>
      <w:r w:rsidR="0088736F">
        <w:rPr>
          <w:sz w:val="24"/>
          <w:szCs w:val="24"/>
        </w:rPr>
        <w:t xml:space="preserve"> NON PREVU</w:t>
      </w:r>
      <w:r w:rsidRPr="00EE1964">
        <w:rPr>
          <w:sz w:val="24"/>
          <w:szCs w:val="24"/>
        </w:rPr>
        <w:t>S AU BORDEREAU DE</w:t>
      </w:r>
      <w:r>
        <w:rPr>
          <w:sz w:val="24"/>
          <w:szCs w:val="24"/>
        </w:rPr>
        <w:t>S</w:t>
      </w:r>
      <w:r w:rsidRPr="00EE1964">
        <w:rPr>
          <w:sz w:val="24"/>
          <w:szCs w:val="24"/>
        </w:rPr>
        <w:t xml:space="preserve"> PRIX UNITAIRES</w:t>
      </w:r>
      <w:r w:rsidR="0088736F">
        <w:rPr>
          <w:sz w:val="24"/>
          <w:szCs w:val="24"/>
        </w:rPr>
        <w:t xml:space="preserve"> (Poste</w:t>
      </w:r>
      <w:r w:rsidR="008125BD">
        <w:rPr>
          <w:sz w:val="24"/>
          <w:szCs w:val="24"/>
        </w:rPr>
        <w:t>s</w:t>
      </w:r>
      <w:r w:rsidR="0088736F">
        <w:rPr>
          <w:sz w:val="24"/>
          <w:szCs w:val="24"/>
        </w:rPr>
        <w:t xml:space="preserve"> 1 et 4)</w:t>
      </w:r>
    </w:p>
    <w:p w:rsidR="00453A7A" w:rsidRDefault="00453A7A" w:rsidP="00453A7A">
      <w:pPr>
        <w:pStyle w:val="western"/>
        <w:rPr>
          <w:sz w:val="22"/>
          <w:szCs w:val="22"/>
        </w:rPr>
      </w:pPr>
      <w:r>
        <w:rPr>
          <w:sz w:val="22"/>
          <w:szCs w:val="22"/>
        </w:rPr>
        <w:t xml:space="preserve">Concernant les </w:t>
      </w:r>
      <w:r w:rsidR="008C50AC">
        <w:rPr>
          <w:sz w:val="22"/>
          <w:szCs w:val="22"/>
        </w:rPr>
        <w:t>fournitures</w:t>
      </w: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  <w:u w:val="single"/>
        </w:rPr>
        <w:t xml:space="preserve">non </w:t>
      </w:r>
      <w:r w:rsidRPr="00806666">
        <w:rPr>
          <w:b/>
          <w:bCs/>
          <w:sz w:val="22"/>
          <w:szCs w:val="22"/>
          <w:u w:val="single"/>
        </w:rPr>
        <w:t>prévues</w:t>
      </w:r>
      <w:r w:rsidRPr="00806666">
        <w:rPr>
          <w:b/>
          <w:sz w:val="22"/>
          <w:szCs w:val="22"/>
          <w:u w:val="single"/>
        </w:rPr>
        <w:t xml:space="preserve"> </w:t>
      </w:r>
      <w:r w:rsidR="008125BD">
        <w:rPr>
          <w:b/>
          <w:sz w:val="22"/>
          <w:szCs w:val="22"/>
          <w:u w:val="single"/>
        </w:rPr>
        <w:t>dans la</w:t>
      </w:r>
      <w:r w:rsidRPr="00806666">
        <w:rPr>
          <w:b/>
          <w:sz w:val="22"/>
          <w:szCs w:val="22"/>
          <w:u w:val="single"/>
        </w:rPr>
        <w:t xml:space="preserve"> présent</w:t>
      </w:r>
      <w:r w:rsidR="008125BD">
        <w:rPr>
          <w:b/>
          <w:sz w:val="22"/>
          <w:szCs w:val="22"/>
          <w:u w:val="single"/>
        </w:rPr>
        <w:t>e annexe</w:t>
      </w:r>
      <w:r>
        <w:rPr>
          <w:sz w:val="22"/>
          <w:szCs w:val="22"/>
        </w:rPr>
        <w:t>, je m’engage à appliquer le taux de remise suivant sur les tarifs prix publics que je pratique à l’égard de l’ensemble de ma clientèle :</w:t>
      </w:r>
    </w:p>
    <w:p w:rsidR="00453A7A" w:rsidRDefault="00453A7A" w:rsidP="00453A7A">
      <w:pPr>
        <w:pStyle w:val="western"/>
        <w:rPr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107"/>
        <w:gridCol w:w="4253"/>
      </w:tblGrid>
      <w:tr w:rsidR="00453A7A" w:rsidTr="004D1856">
        <w:trPr>
          <w:trHeight w:val="923"/>
        </w:trPr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53A7A" w:rsidRDefault="00453A7A" w:rsidP="004D1856">
            <w:pPr>
              <w:pStyle w:val="western"/>
              <w:spacing w:before="0"/>
              <w:jc w:val="center"/>
            </w:pPr>
            <w:r>
              <w:rPr>
                <w:b/>
                <w:bCs/>
                <w:sz w:val="22"/>
                <w:szCs w:val="22"/>
              </w:rPr>
              <w:t>Taux de remise unique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pacing w:before="0"/>
              <w:jc w:val="center"/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453A7A" w:rsidRDefault="00453A7A" w:rsidP="00453A7A">
      <w:pPr>
        <w:rPr>
          <w:rFonts w:ascii="Arial" w:hAnsi="Arial" w:cs="Arial"/>
          <w:sz w:val="16"/>
          <w:szCs w:val="16"/>
        </w:rPr>
      </w:pPr>
    </w:p>
    <w:p w:rsidR="00453A7A" w:rsidRDefault="00453A7A" w:rsidP="00453A7A">
      <w:pPr>
        <w:rPr>
          <w:rFonts w:ascii="Arial" w:hAnsi="Arial" w:cs="Arial"/>
          <w:sz w:val="16"/>
          <w:szCs w:val="16"/>
        </w:rPr>
      </w:pPr>
    </w:p>
    <w:p w:rsidR="00453A7A" w:rsidRDefault="00453A7A" w:rsidP="00453A7A">
      <w:pPr>
        <w:rPr>
          <w:rFonts w:ascii="Arial" w:hAnsi="Arial" w:cs="Arial"/>
          <w:sz w:val="16"/>
          <w:szCs w:val="16"/>
        </w:rPr>
      </w:pPr>
    </w:p>
    <w:p w:rsidR="00453A7A" w:rsidRPr="009A0C89" w:rsidRDefault="00453A7A" w:rsidP="00453A7A">
      <w:pPr>
        <w:rPr>
          <w:rFonts w:ascii="Arial" w:hAnsi="Arial" w:cs="Arial"/>
          <w:sz w:val="16"/>
          <w:szCs w:val="16"/>
        </w:rPr>
      </w:pPr>
    </w:p>
    <w:p w:rsidR="00453A7A" w:rsidRDefault="00453A7A" w:rsidP="00453A7A">
      <w:pPr>
        <w:jc w:val="center"/>
      </w:pPr>
      <w:r>
        <w:rPr>
          <w:rFonts w:ascii="Arial" w:hAnsi="Arial" w:cs="Arial"/>
          <w:b/>
          <w:sz w:val="22"/>
          <w:szCs w:val="22"/>
        </w:rPr>
        <w:t>Ou</w:t>
      </w:r>
    </w:p>
    <w:p w:rsidR="00453A7A" w:rsidRDefault="00453A7A" w:rsidP="00453A7A">
      <w:pPr>
        <w:rPr>
          <w:rFonts w:ascii="Arial" w:hAnsi="Arial" w:cs="Arial"/>
          <w:b/>
          <w:sz w:val="16"/>
          <w:szCs w:val="16"/>
        </w:rPr>
      </w:pPr>
    </w:p>
    <w:p w:rsidR="00453A7A" w:rsidRDefault="00453A7A" w:rsidP="00453A7A">
      <w:pPr>
        <w:rPr>
          <w:rFonts w:ascii="Arial" w:hAnsi="Arial" w:cs="Arial"/>
          <w:b/>
          <w:sz w:val="16"/>
          <w:szCs w:val="16"/>
        </w:rPr>
      </w:pPr>
    </w:p>
    <w:p w:rsidR="00453A7A" w:rsidRPr="009A0C89" w:rsidRDefault="00453A7A" w:rsidP="00453A7A">
      <w:pPr>
        <w:rPr>
          <w:rFonts w:ascii="Arial" w:hAnsi="Arial" w:cs="Arial"/>
          <w:b/>
          <w:sz w:val="16"/>
          <w:szCs w:val="16"/>
        </w:rPr>
      </w:pPr>
    </w:p>
    <w:p w:rsidR="00453A7A" w:rsidRDefault="00453A7A" w:rsidP="00453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Dans le cas où le titulaire ne pratique pas de taux de remise un</w:t>
      </w:r>
      <w:r w:rsidR="0088736F">
        <w:rPr>
          <w:rFonts w:ascii="Arial" w:hAnsi="Arial" w:cs="Arial"/>
          <w:sz w:val="22"/>
          <w:szCs w:val="22"/>
        </w:rPr>
        <w:t xml:space="preserve">ique pour l’ensemble des </w:t>
      </w:r>
      <w:r w:rsidR="00A60619">
        <w:rPr>
          <w:rFonts w:ascii="Arial" w:hAnsi="Arial" w:cs="Arial"/>
          <w:sz w:val="22"/>
          <w:szCs w:val="22"/>
        </w:rPr>
        <w:t>fournitures</w:t>
      </w:r>
      <w:r>
        <w:rPr>
          <w:rFonts w:ascii="Arial" w:hAnsi="Arial" w:cs="Arial"/>
          <w:sz w:val="22"/>
          <w:szCs w:val="22"/>
        </w:rPr>
        <w:t xml:space="preserve"> objet du marché, mais qu’il applique différents taux de remise en fonction d’autres critères te</w:t>
      </w:r>
      <w:r w:rsidR="0088736F">
        <w:rPr>
          <w:rFonts w:ascii="Arial" w:hAnsi="Arial" w:cs="Arial"/>
          <w:sz w:val="22"/>
          <w:szCs w:val="22"/>
        </w:rPr>
        <w:t xml:space="preserve">ls que la famille ou le type </w:t>
      </w:r>
      <w:r w:rsidR="00A60619">
        <w:rPr>
          <w:rFonts w:ascii="Arial" w:hAnsi="Arial" w:cs="Arial"/>
          <w:sz w:val="22"/>
          <w:szCs w:val="22"/>
        </w:rPr>
        <w:t>de fourniture</w:t>
      </w:r>
      <w:r>
        <w:rPr>
          <w:rFonts w:ascii="Arial" w:hAnsi="Arial" w:cs="Arial"/>
          <w:sz w:val="22"/>
          <w:szCs w:val="22"/>
        </w:rPr>
        <w:t>, le titulaire détaille ses taux de remise en complétant le tableau ci-dessous :</w:t>
      </w:r>
    </w:p>
    <w:p w:rsidR="00453A7A" w:rsidRDefault="00453A7A" w:rsidP="00453A7A">
      <w:pPr>
        <w:jc w:val="both"/>
        <w:rPr>
          <w:rFonts w:ascii="Arial" w:hAnsi="Arial" w:cs="Arial"/>
          <w:sz w:val="22"/>
          <w:szCs w:val="22"/>
        </w:rPr>
      </w:pPr>
    </w:p>
    <w:p w:rsidR="00453A7A" w:rsidRDefault="00453A7A" w:rsidP="00453A7A">
      <w:pPr>
        <w:rPr>
          <w:rFonts w:ascii="Arial" w:hAnsi="Arial" w:cs="Arial"/>
          <w:sz w:val="22"/>
          <w:szCs w:val="22"/>
        </w:rPr>
      </w:pPr>
    </w:p>
    <w:p w:rsidR="0088736F" w:rsidRDefault="0088736F" w:rsidP="00453A7A">
      <w:pPr>
        <w:rPr>
          <w:rFonts w:ascii="Arial" w:hAnsi="Arial" w:cs="Arial"/>
          <w:sz w:val="22"/>
          <w:szCs w:val="22"/>
        </w:rPr>
      </w:pPr>
    </w:p>
    <w:p w:rsidR="0088736F" w:rsidRDefault="0088736F" w:rsidP="00453A7A">
      <w:pPr>
        <w:rPr>
          <w:rFonts w:ascii="Arial" w:hAnsi="Arial" w:cs="Arial"/>
          <w:sz w:val="22"/>
          <w:szCs w:val="22"/>
        </w:rPr>
      </w:pPr>
    </w:p>
    <w:p w:rsidR="0088736F" w:rsidRDefault="0088736F" w:rsidP="00453A7A">
      <w:pPr>
        <w:rPr>
          <w:rFonts w:ascii="Arial" w:hAnsi="Arial" w:cs="Arial"/>
          <w:sz w:val="22"/>
          <w:szCs w:val="22"/>
        </w:rPr>
      </w:pPr>
    </w:p>
    <w:p w:rsidR="0088736F" w:rsidRDefault="0088736F" w:rsidP="00453A7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84"/>
        <w:gridCol w:w="4112"/>
      </w:tblGrid>
      <w:tr w:rsidR="00453A7A" w:rsidTr="004D1856"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453A7A" w:rsidRDefault="0088736F" w:rsidP="00A50877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Famill</w:t>
            </w:r>
            <w:r w:rsidR="00A50877">
              <w:rPr>
                <w:rFonts w:ascii="Arial" w:hAnsi="Arial" w:cs="Arial"/>
                <w:b/>
                <w:bCs/>
                <w:sz w:val="22"/>
                <w:szCs w:val="22"/>
              </w:rPr>
              <w:t>e de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50877">
              <w:rPr>
                <w:rFonts w:ascii="Arial" w:hAnsi="Arial" w:cs="Arial"/>
                <w:b/>
                <w:bCs/>
                <w:sz w:val="22"/>
                <w:szCs w:val="22"/>
              </w:rPr>
              <w:t>fourniture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53A7A" w:rsidRDefault="00453A7A" w:rsidP="00A50877">
            <w:pPr>
              <w:pStyle w:val="western"/>
              <w:spacing w:before="0"/>
            </w:pPr>
            <w:r>
              <w:rPr>
                <w:b/>
                <w:bCs/>
                <w:sz w:val="22"/>
                <w:szCs w:val="22"/>
              </w:rPr>
              <w:t>Taux de remise (en %) sur les catalogues ou barèmes prix publics de</w:t>
            </w:r>
            <w:r w:rsidR="00A50877">
              <w:rPr>
                <w:b/>
                <w:bCs/>
                <w:sz w:val="22"/>
                <w:szCs w:val="22"/>
              </w:rPr>
              <w:t xml:space="preserve"> fourniture</w:t>
            </w:r>
          </w:p>
        </w:tc>
      </w:tr>
      <w:tr w:rsidR="00453A7A" w:rsidTr="004D1856">
        <w:trPr>
          <w:trHeight w:val="473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napToGrid w:val="0"/>
              <w:spacing w:befor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7A" w:rsidRDefault="00453A7A" w:rsidP="004D1856">
            <w:pPr>
              <w:pStyle w:val="western"/>
              <w:spacing w:before="0"/>
              <w:jc w:val="center"/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53A7A" w:rsidTr="004D1856">
        <w:trPr>
          <w:trHeight w:val="47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napToGrid w:val="0"/>
              <w:spacing w:befor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7A" w:rsidRDefault="00453A7A" w:rsidP="004D1856">
            <w:pPr>
              <w:pStyle w:val="western"/>
              <w:spacing w:before="0"/>
              <w:jc w:val="center"/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53A7A" w:rsidTr="004D1856">
        <w:trPr>
          <w:trHeight w:val="47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napToGrid w:val="0"/>
              <w:spacing w:befor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7A" w:rsidRDefault="00453A7A" w:rsidP="004D1856">
            <w:pPr>
              <w:pStyle w:val="western"/>
              <w:spacing w:before="0"/>
              <w:jc w:val="center"/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53A7A" w:rsidTr="004D1856">
        <w:trPr>
          <w:trHeight w:val="47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napToGrid w:val="0"/>
              <w:spacing w:befor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7A" w:rsidRDefault="00453A7A" w:rsidP="004D1856">
            <w:pPr>
              <w:pStyle w:val="western"/>
              <w:spacing w:before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53A7A" w:rsidTr="004D1856">
        <w:trPr>
          <w:trHeight w:val="47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napToGrid w:val="0"/>
              <w:spacing w:befor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7A" w:rsidRDefault="00453A7A" w:rsidP="004D1856">
            <w:pPr>
              <w:pStyle w:val="western"/>
              <w:spacing w:before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453A7A" w:rsidTr="004D1856">
        <w:trPr>
          <w:trHeight w:val="471"/>
        </w:trPr>
        <w:tc>
          <w:tcPr>
            <w:tcW w:w="5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3A7A" w:rsidRDefault="00453A7A" w:rsidP="004D1856">
            <w:pPr>
              <w:pStyle w:val="western"/>
              <w:snapToGrid w:val="0"/>
              <w:spacing w:before="0"/>
              <w:jc w:val="left"/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A7A" w:rsidRDefault="00453A7A" w:rsidP="004D1856">
            <w:pPr>
              <w:pStyle w:val="western"/>
              <w:spacing w:before="0"/>
              <w:jc w:val="center"/>
              <w:rPr>
                <w:rFonts w:eastAsia="Arial"/>
                <w:b/>
                <w:bCs/>
                <w:sz w:val="22"/>
                <w:szCs w:val="22"/>
              </w:rPr>
            </w:pPr>
            <w:r>
              <w:rPr>
                <w:rFonts w:eastAsia="Arial"/>
                <w:b/>
                <w:bCs/>
                <w:sz w:val="22"/>
                <w:szCs w:val="22"/>
              </w:rPr>
              <w:t>………………</w:t>
            </w:r>
            <w:r>
              <w:rPr>
                <w:b/>
                <w:bCs/>
                <w:sz w:val="22"/>
                <w:szCs w:val="22"/>
              </w:rPr>
              <w:t>%</w:t>
            </w:r>
          </w:p>
        </w:tc>
      </w:tr>
    </w:tbl>
    <w:p w:rsidR="00453A7A" w:rsidRDefault="00453A7A" w:rsidP="00453A7A">
      <w:pPr>
        <w:rPr>
          <w:rFonts w:ascii="Arial" w:hAnsi="Arial" w:cs="Arial"/>
          <w:sz w:val="22"/>
          <w:szCs w:val="22"/>
        </w:rPr>
      </w:pPr>
    </w:p>
    <w:p w:rsidR="00453A7A" w:rsidRDefault="00453A7A" w:rsidP="00453A7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Le(s) taux de remise contractualisé(s) reste invariable et applicable tout au long de la durée de validité du marché.</w:t>
      </w:r>
    </w:p>
    <w:p w:rsidR="00792C35" w:rsidRDefault="00792C35" w:rsidP="00366DF6">
      <w:pPr>
        <w:rPr>
          <w:sz w:val="22"/>
          <w:szCs w:val="22"/>
          <w:lang w:eastAsia="he-IL" w:bidi="he-IL"/>
        </w:rPr>
      </w:pPr>
    </w:p>
    <w:p w:rsidR="00AE6A02" w:rsidRDefault="00AE6A02" w:rsidP="00AE6A02">
      <w:pPr>
        <w:pStyle w:val="Titre1"/>
        <w:ind w:left="57"/>
        <w:rPr>
          <w:sz w:val="24"/>
          <w:szCs w:val="24"/>
        </w:rPr>
      </w:pPr>
      <w:r>
        <w:rPr>
          <w:sz w:val="24"/>
          <w:szCs w:val="24"/>
        </w:rPr>
        <w:t>Article 3</w:t>
      </w:r>
      <w:r w:rsidRPr="00EE1964">
        <w:rPr>
          <w:sz w:val="24"/>
          <w:szCs w:val="24"/>
        </w:rPr>
        <w:t xml:space="preserve"> – </w:t>
      </w:r>
      <w:r>
        <w:rPr>
          <w:sz w:val="24"/>
          <w:szCs w:val="24"/>
        </w:rPr>
        <w:t>Lieu d'exécution</w:t>
      </w:r>
    </w:p>
    <w:p w:rsidR="00AE6A02" w:rsidRDefault="00AE6A02" w:rsidP="00AE6A02"/>
    <w:p w:rsidR="00AE6A02" w:rsidRPr="00027034" w:rsidRDefault="00AE6A02" w:rsidP="00AE6A02">
      <w:pPr>
        <w:jc w:val="both"/>
        <w:rPr>
          <w:rFonts w:ascii="Arial" w:hAnsi="Arial" w:cs="Arial"/>
          <w:bCs/>
          <w:sz w:val="22"/>
          <w:szCs w:val="22"/>
        </w:rPr>
      </w:pPr>
      <w:r w:rsidRPr="00027034">
        <w:rPr>
          <w:rFonts w:ascii="Arial" w:hAnsi="Arial" w:cs="Arial"/>
          <w:bCs/>
          <w:sz w:val="22"/>
          <w:szCs w:val="22"/>
        </w:rPr>
        <w:t>Adresse du site</w:t>
      </w:r>
      <w:r w:rsidRPr="00027034">
        <w:rPr>
          <w:rFonts w:ascii="Arial" w:hAnsi="Arial" w:cs="Arial"/>
          <w:b/>
          <w:bCs/>
          <w:sz w:val="22"/>
          <w:szCs w:val="22"/>
        </w:rPr>
        <w:t>*</w:t>
      </w:r>
      <w:r w:rsidRPr="00027034">
        <w:rPr>
          <w:rFonts w:ascii="Arial" w:hAnsi="Arial" w:cs="Arial"/>
          <w:bCs/>
          <w:sz w:val="22"/>
          <w:szCs w:val="22"/>
        </w:rPr>
        <w:t xml:space="preserve"> sur lequel est effectuée toute prestation de </w:t>
      </w:r>
      <w:r>
        <w:rPr>
          <w:rFonts w:ascii="Arial" w:hAnsi="Arial" w:cs="Arial"/>
          <w:bCs/>
          <w:sz w:val="22"/>
          <w:szCs w:val="22"/>
        </w:rPr>
        <w:t xml:space="preserve">contrôle réglementaire, de reconditionnement ou de </w:t>
      </w:r>
      <w:r w:rsidRPr="00027034">
        <w:rPr>
          <w:rFonts w:ascii="Arial" w:hAnsi="Arial" w:cs="Arial"/>
          <w:bCs/>
          <w:sz w:val="22"/>
          <w:szCs w:val="22"/>
        </w:rPr>
        <w:t>réparation :</w:t>
      </w:r>
    </w:p>
    <w:p w:rsidR="00AE6A02" w:rsidRPr="00027034" w:rsidRDefault="00AE6A02" w:rsidP="00AE6A02">
      <w:pPr>
        <w:jc w:val="both"/>
        <w:rPr>
          <w:rFonts w:ascii="Arial" w:hAnsi="Arial" w:cs="Arial"/>
          <w:bCs/>
          <w:sz w:val="22"/>
          <w:szCs w:val="22"/>
        </w:rPr>
      </w:pPr>
    </w:p>
    <w:p w:rsidR="00AE6A02" w:rsidRPr="00027034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  <w:r w:rsidRPr="00027034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</w:p>
    <w:p w:rsidR="00AE6A02" w:rsidRPr="00027034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</w:p>
    <w:p w:rsidR="00AE6A02" w:rsidRPr="00027034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  <w:r w:rsidRPr="00027034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</w:p>
    <w:p w:rsidR="00AE6A02" w:rsidRPr="00027034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</w:p>
    <w:p w:rsidR="00AE6A02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  <w:r w:rsidRPr="00027034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</w:p>
    <w:p w:rsidR="00AE6A02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</w:p>
    <w:p w:rsidR="00AE6A02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  <w:r w:rsidRPr="00027034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</w:p>
    <w:p w:rsidR="00AE6A02" w:rsidRPr="00027034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</w:p>
    <w:p w:rsidR="00AE6A02" w:rsidRPr="00027034" w:rsidRDefault="00AE6A02" w:rsidP="00AE6A02">
      <w:pPr>
        <w:jc w:val="center"/>
        <w:rPr>
          <w:rFonts w:ascii="Arial" w:hAnsi="Arial" w:cs="Arial"/>
          <w:bCs/>
          <w:sz w:val="22"/>
          <w:szCs w:val="22"/>
        </w:rPr>
      </w:pPr>
      <w:r w:rsidRPr="00027034">
        <w:rPr>
          <w:rFonts w:ascii="Arial" w:hAnsi="Arial" w:cs="Arial"/>
          <w:bCs/>
          <w:sz w:val="22"/>
          <w:szCs w:val="22"/>
        </w:rPr>
        <w:t>……………………………………………………..</w:t>
      </w:r>
    </w:p>
    <w:p w:rsidR="00AE6A02" w:rsidRDefault="00AE6A02" w:rsidP="00AE6A02">
      <w:pPr>
        <w:jc w:val="both"/>
        <w:rPr>
          <w:rFonts w:ascii="Arial" w:hAnsi="Arial" w:cs="Arial"/>
          <w:bCs/>
          <w:sz w:val="22"/>
          <w:szCs w:val="22"/>
        </w:rPr>
      </w:pPr>
    </w:p>
    <w:p w:rsidR="00AE6A02" w:rsidRPr="00027034" w:rsidRDefault="00AE6A02" w:rsidP="00AE6A02">
      <w:pPr>
        <w:jc w:val="both"/>
        <w:rPr>
          <w:rFonts w:ascii="Arial" w:hAnsi="Arial" w:cs="Arial"/>
          <w:bCs/>
          <w:sz w:val="22"/>
          <w:szCs w:val="22"/>
        </w:rPr>
      </w:pPr>
    </w:p>
    <w:p w:rsidR="00AE6A02" w:rsidRDefault="00AE6A02" w:rsidP="00AE6A02">
      <w:pPr>
        <w:rPr>
          <w:rFonts w:ascii="Arial" w:hAnsi="Arial" w:cs="Arial"/>
          <w:bCs/>
          <w:i/>
          <w:sz w:val="20"/>
          <w:szCs w:val="20"/>
        </w:rPr>
      </w:pPr>
      <w:r w:rsidRPr="00207EA6">
        <w:rPr>
          <w:rFonts w:ascii="Arial" w:hAnsi="Arial" w:cs="Arial"/>
          <w:bCs/>
          <w:sz w:val="20"/>
          <w:szCs w:val="20"/>
        </w:rPr>
        <w:t>*</w:t>
      </w:r>
      <w:r w:rsidRPr="00207EA6">
        <w:rPr>
          <w:rFonts w:ascii="Arial" w:hAnsi="Arial" w:cs="Arial"/>
          <w:bCs/>
          <w:i/>
          <w:sz w:val="20"/>
          <w:szCs w:val="20"/>
        </w:rPr>
        <w:t>Une seule adresse peut être inscrite pour l’exécution des prestations</w:t>
      </w:r>
    </w:p>
    <w:p w:rsidR="00A3287C" w:rsidRDefault="00A3287C" w:rsidP="00AE6A02">
      <w:pPr>
        <w:rPr>
          <w:rFonts w:ascii="Arial" w:hAnsi="Arial" w:cs="Arial"/>
          <w:bCs/>
          <w:i/>
          <w:sz w:val="20"/>
          <w:szCs w:val="20"/>
        </w:rPr>
      </w:pPr>
    </w:p>
    <w:p w:rsidR="00A3287C" w:rsidRDefault="00C92429" w:rsidP="00A3287C">
      <w:pPr>
        <w:pStyle w:val="Titre1"/>
        <w:ind w:left="57"/>
        <w:rPr>
          <w:sz w:val="24"/>
          <w:szCs w:val="24"/>
        </w:rPr>
      </w:pPr>
      <w:r>
        <w:rPr>
          <w:sz w:val="24"/>
          <w:szCs w:val="24"/>
        </w:rPr>
        <w:t>Article 4</w:t>
      </w:r>
      <w:r w:rsidR="00A3287C" w:rsidRPr="00EE1964">
        <w:rPr>
          <w:sz w:val="24"/>
          <w:szCs w:val="24"/>
        </w:rPr>
        <w:t xml:space="preserve"> – </w:t>
      </w:r>
      <w:r w:rsidR="00A3287C">
        <w:rPr>
          <w:sz w:val="24"/>
          <w:szCs w:val="24"/>
        </w:rPr>
        <w:t>Délai de prestation</w:t>
      </w:r>
      <w:r w:rsidR="002017CA">
        <w:rPr>
          <w:sz w:val="24"/>
          <w:szCs w:val="24"/>
        </w:rPr>
        <w:t>s</w:t>
      </w:r>
      <w:r w:rsidR="00A3287C">
        <w:rPr>
          <w:sz w:val="24"/>
          <w:szCs w:val="24"/>
        </w:rPr>
        <w:t xml:space="preserve"> de reconditionnement</w:t>
      </w:r>
      <w:r w:rsidR="0088736F">
        <w:rPr>
          <w:sz w:val="24"/>
          <w:szCs w:val="24"/>
        </w:rPr>
        <w:t xml:space="preserve"> (Poste 3)</w:t>
      </w: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-720"/>
        <w:jc w:val="both"/>
        <w:outlineLvl w:val="0"/>
        <w:rPr>
          <w:rFonts w:ascii="Arial" w:hAnsi="Arial" w:cs="Arial"/>
          <w:b/>
          <w:bCs/>
          <w:kern w:val="32"/>
          <w:sz w:val="28"/>
          <w:szCs w:val="28"/>
        </w:rPr>
      </w:pP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32"/>
        </w:rPr>
      </w:pPr>
      <w:r w:rsidRPr="00F51371">
        <w:rPr>
          <w:rFonts w:ascii="Arial" w:hAnsi="Arial" w:cs="Arial"/>
          <w:bCs/>
          <w:kern w:val="32"/>
        </w:rPr>
        <w:t xml:space="preserve">Je m’engage à </w:t>
      </w:r>
      <w:r>
        <w:rPr>
          <w:rFonts w:ascii="Arial" w:hAnsi="Arial" w:cs="Arial"/>
          <w:bCs/>
          <w:kern w:val="32"/>
        </w:rPr>
        <w:t>effectuer les prestations</w:t>
      </w:r>
      <w:r w:rsidR="00846CCC">
        <w:rPr>
          <w:rFonts w:ascii="Arial" w:hAnsi="Arial" w:cs="Arial"/>
          <w:bCs/>
          <w:kern w:val="32"/>
        </w:rPr>
        <w:t xml:space="preserve"> de reconditionnement de radeau</w:t>
      </w:r>
      <w:r w:rsidRPr="00F51371">
        <w:rPr>
          <w:rFonts w:ascii="Arial" w:hAnsi="Arial" w:cs="Arial"/>
          <w:bCs/>
          <w:kern w:val="32"/>
        </w:rPr>
        <w:t>, objet du marché, dans un :</w:t>
      </w: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-720"/>
        <w:jc w:val="both"/>
        <w:outlineLvl w:val="0"/>
        <w:rPr>
          <w:rFonts w:ascii="Arial" w:hAnsi="Arial" w:cs="Arial"/>
          <w:bCs/>
          <w:kern w:val="32"/>
        </w:rPr>
      </w:pPr>
    </w:p>
    <w:p w:rsidR="00A3287C" w:rsidRDefault="00A3287C" w:rsidP="00A3287C">
      <w:pPr>
        <w:keepNext/>
        <w:keepLines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délai de </w:t>
      </w:r>
      <w:r w:rsidRPr="0079553D">
        <w:rPr>
          <w:rFonts w:ascii="Arial" w:hAnsi="Arial" w:cs="Arial"/>
          <w:b/>
          <w:bCs/>
          <w:kern w:val="32"/>
        </w:rPr>
        <w:t>dix (10) jours calendaires maximum</w:t>
      </w:r>
      <w:r>
        <w:rPr>
          <w:rFonts w:ascii="Arial" w:hAnsi="Arial" w:cs="Arial"/>
          <w:bCs/>
          <w:kern w:val="32"/>
        </w:rPr>
        <w:t xml:space="preserve"> (conformément </w:t>
      </w:r>
      <w:r w:rsidRPr="00B5050F">
        <w:rPr>
          <w:rFonts w:ascii="Arial" w:hAnsi="Arial" w:cs="Arial"/>
          <w:bCs/>
          <w:kern w:val="32"/>
        </w:rPr>
        <w:t>à l’article 3.1.3 du CCTP)</w:t>
      </w:r>
      <w:r>
        <w:rPr>
          <w:rFonts w:ascii="Arial" w:hAnsi="Arial" w:cs="Arial"/>
          <w:bCs/>
          <w:kern w:val="32"/>
        </w:rPr>
        <w:t> ;</w:t>
      </w: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Cs/>
          <w:kern w:val="32"/>
        </w:rPr>
      </w:pP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>Ou</w:t>
      </w: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Cs/>
          <w:kern w:val="32"/>
        </w:rPr>
      </w:pPr>
    </w:p>
    <w:p w:rsidR="00A3287C" w:rsidRDefault="00A3287C" w:rsidP="00A3287C">
      <w:pPr>
        <w:keepNext/>
        <w:keepLines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Cs/>
          <w:kern w:val="32"/>
        </w:rPr>
      </w:pPr>
      <w:r>
        <w:rPr>
          <w:rFonts w:ascii="Arial" w:hAnsi="Arial" w:cs="Arial"/>
          <w:bCs/>
          <w:kern w:val="32"/>
        </w:rPr>
        <w:t xml:space="preserve">délai de …………………. (……) jours calendaires maximum (délai inférieur à dix (10) jours calendaires)*. </w:t>
      </w: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Cs/>
          <w:kern w:val="32"/>
        </w:rPr>
      </w:pPr>
    </w:p>
    <w:p w:rsidR="00A3287C" w:rsidRPr="00846CCC" w:rsidRDefault="00A3287C" w:rsidP="00A3287C">
      <w:pPr>
        <w:spacing w:before="119"/>
        <w:ind w:left="363"/>
        <w:rPr>
          <w:rFonts w:ascii="Arial" w:hAnsi="Arial" w:cs="Arial"/>
          <w:sz w:val="20"/>
          <w:szCs w:val="20"/>
        </w:rPr>
      </w:pPr>
      <w:r w:rsidRPr="00846CCC">
        <w:rPr>
          <w:rFonts w:ascii="Arial" w:hAnsi="Arial" w:cs="Arial"/>
          <w:b/>
          <w:bCs/>
          <w:color w:val="000000"/>
          <w:sz w:val="20"/>
          <w:szCs w:val="20"/>
        </w:rPr>
        <w:t xml:space="preserve">* </w:t>
      </w:r>
      <w:r w:rsidRPr="00846CCC">
        <w:rPr>
          <w:rFonts w:ascii="Arial" w:hAnsi="Arial" w:cs="Arial"/>
          <w:b/>
          <w:bCs/>
          <w:color w:val="000000"/>
          <w:sz w:val="22"/>
          <w:szCs w:val="22"/>
        </w:rPr>
        <w:t>Ne</w:t>
      </w:r>
      <w:r w:rsidRPr="00846C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846CCC">
        <w:rPr>
          <w:rFonts w:ascii="Arial" w:hAnsi="Arial" w:cs="Arial"/>
          <w:b/>
          <w:bCs/>
          <w:color w:val="000000"/>
          <w:sz w:val="22"/>
          <w:szCs w:val="22"/>
        </w:rPr>
        <w:t>pas proposer de délai de type plancher/plafond</w:t>
      </w: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Cs/>
          <w:kern w:val="32"/>
        </w:rPr>
      </w:pPr>
    </w:p>
    <w:p w:rsidR="00A3287C" w:rsidRDefault="00A3287C" w:rsidP="00A3287C">
      <w:pPr>
        <w:keepNext/>
        <w:keepLines/>
        <w:widowControl w:val="0"/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bCs/>
          <w:kern w:val="32"/>
        </w:rPr>
      </w:pPr>
    </w:p>
    <w:p w:rsidR="00A3287C" w:rsidRPr="00846CCC" w:rsidRDefault="00A3287C" w:rsidP="00A3287C">
      <w:pPr>
        <w:jc w:val="both"/>
        <w:rPr>
          <w:rFonts w:ascii="Arial" w:hAnsi="Arial" w:cs="Arial"/>
          <w:b/>
          <w:lang w:eastAsia="ru-RU" w:bidi="he-IL"/>
        </w:rPr>
      </w:pPr>
      <w:r w:rsidRPr="00846CCC">
        <w:rPr>
          <w:rFonts w:ascii="Arial" w:hAnsi="Arial" w:cs="Arial"/>
          <w:b/>
          <w:lang w:eastAsia="ru-RU" w:bidi="he-IL"/>
        </w:rPr>
        <w:t>Cochez impérativement l’une des cases prévues à cet effet.</w:t>
      </w:r>
    </w:p>
    <w:p w:rsidR="004D1856" w:rsidRDefault="004D1856" w:rsidP="00AE6A02">
      <w:pPr>
        <w:pStyle w:val="Titre1"/>
        <w:rPr>
          <w:lang w:eastAsia="he-IL" w:bidi="he-IL"/>
        </w:rPr>
      </w:pPr>
    </w:p>
    <w:sectPr w:rsidR="004D1856" w:rsidSect="00024136">
      <w:pgSz w:w="11906" w:h="16838" w:code="9"/>
      <w:pgMar w:top="536" w:right="426" w:bottom="567" w:left="568" w:header="0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BB3" w:rsidRDefault="00E33BB3">
      <w:r>
        <w:separator/>
      </w:r>
    </w:p>
  </w:endnote>
  <w:endnote w:type="continuationSeparator" w:id="1">
    <w:p w:rsidR="00E33BB3" w:rsidRDefault="00E33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3" w:rsidRDefault="00E33BB3" w:rsidP="009F3996">
    <w:pPr>
      <w:pStyle w:val="Pieddepage"/>
      <w:framePr w:wrap="around" w:vAnchor="text" w:hAnchor="margin" w:xAlign="right" w:y="1"/>
      <w:rPr>
        <w:rStyle w:val="Numrodepage"/>
      </w:rPr>
    </w:pPr>
  </w:p>
  <w:p w:rsidR="00E33BB3" w:rsidRPr="00EC6711" w:rsidRDefault="00E33BB3" w:rsidP="00417598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3" w:rsidRDefault="0036260B" w:rsidP="00D121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E33BB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E33BB3" w:rsidRDefault="00E33BB3" w:rsidP="00DB10C6">
    <w:pPr>
      <w:pStyle w:val="Pieddepage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B3" w:rsidRDefault="00E33BB3" w:rsidP="009F3996">
    <w:pPr>
      <w:pStyle w:val="Pieddepage"/>
      <w:framePr w:wrap="around" w:vAnchor="text" w:hAnchor="margin" w:xAlign="right" w:y="1"/>
      <w:rPr>
        <w:rStyle w:val="Numrodepage"/>
      </w:rPr>
    </w:pPr>
  </w:p>
  <w:p w:rsidR="00E33BB3" w:rsidRPr="00EC6711" w:rsidRDefault="00E33BB3" w:rsidP="00417598">
    <w:pPr>
      <w:pStyle w:val="Pieddepag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BB3" w:rsidRDefault="00E33BB3">
      <w:r>
        <w:separator/>
      </w:r>
    </w:p>
  </w:footnote>
  <w:footnote w:type="continuationSeparator" w:id="1">
    <w:p w:rsidR="00E33BB3" w:rsidRDefault="00E33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D7552"/>
    <w:multiLevelType w:val="hybridMultilevel"/>
    <w:tmpl w:val="EE5834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B6165"/>
    <w:multiLevelType w:val="multilevel"/>
    <w:tmpl w:val="35DEFEBE"/>
    <w:lvl w:ilvl="0">
      <w:start w:val="3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60C8166E"/>
    <w:multiLevelType w:val="hybridMultilevel"/>
    <w:tmpl w:val="6818F324"/>
    <w:lvl w:ilvl="0" w:tplc="62583AFE">
      <w:start w:val="1"/>
      <w:numFmt w:val="bullet"/>
      <w:lvlText w:val="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CD5B84"/>
    <w:multiLevelType w:val="hybridMultilevel"/>
    <w:tmpl w:val="7578F13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657BCD"/>
    <w:multiLevelType w:val="hybridMultilevel"/>
    <w:tmpl w:val="BCFA64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5E5E9E"/>
    <w:multiLevelType w:val="hybridMultilevel"/>
    <w:tmpl w:val="7A462B8E"/>
    <w:lvl w:ilvl="0" w:tplc="6B74C78A">
      <w:start w:val="1"/>
      <w:numFmt w:val="bullet"/>
      <w:lvlText w:val=""/>
      <w:lvlJc w:val="left"/>
      <w:pPr>
        <w:ind w:left="360" w:hanging="360"/>
      </w:pPr>
      <w:rPr>
        <w:rFonts w:ascii="Arial" w:hAnsi="Arial" w:cs="Arial" w:hint="default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39A"/>
    <w:rsid w:val="00000DB0"/>
    <w:rsid w:val="00006370"/>
    <w:rsid w:val="00024136"/>
    <w:rsid w:val="00025939"/>
    <w:rsid w:val="0003705F"/>
    <w:rsid w:val="00041064"/>
    <w:rsid w:val="00043B30"/>
    <w:rsid w:val="00045363"/>
    <w:rsid w:val="000453A0"/>
    <w:rsid w:val="00047A46"/>
    <w:rsid w:val="00053594"/>
    <w:rsid w:val="0005499F"/>
    <w:rsid w:val="00057FBB"/>
    <w:rsid w:val="0006426F"/>
    <w:rsid w:val="0007066D"/>
    <w:rsid w:val="00084476"/>
    <w:rsid w:val="000859B9"/>
    <w:rsid w:val="00086A46"/>
    <w:rsid w:val="000B68F3"/>
    <w:rsid w:val="000C1C6A"/>
    <w:rsid w:val="000C5CFF"/>
    <w:rsid w:val="000D0B86"/>
    <w:rsid w:val="000D5ECB"/>
    <w:rsid w:val="000E7AEC"/>
    <w:rsid w:val="000F26B0"/>
    <w:rsid w:val="000F4D88"/>
    <w:rsid w:val="000F508D"/>
    <w:rsid w:val="000F5BF6"/>
    <w:rsid w:val="000F6729"/>
    <w:rsid w:val="000F68DE"/>
    <w:rsid w:val="00100236"/>
    <w:rsid w:val="00112304"/>
    <w:rsid w:val="00116BA4"/>
    <w:rsid w:val="00134B1C"/>
    <w:rsid w:val="001370FA"/>
    <w:rsid w:val="0014019B"/>
    <w:rsid w:val="001453DB"/>
    <w:rsid w:val="00152A69"/>
    <w:rsid w:val="001542AF"/>
    <w:rsid w:val="0016430F"/>
    <w:rsid w:val="0016450A"/>
    <w:rsid w:val="00172215"/>
    <w:rsid w:val="00173F6C"/>
    <w:rsid w:val="00177C23"/>
    <w:rsid w:val="00183A9B"/>
    <w:rsid w:val="00193821"/>
    <w:rsid w:val="00196091"/>
    <w:rsid w:val="001C0C61"/>
    <w:rsid w:val="001D1D25"/>
    <w:rsid w:val="001F3EBE"/>
    <w:rsid w:val="001F46D1"/>
    <w:rsid w:val="001F6984"/>
    <w:rsid w:val="001F7DA3"/>
    <w:rsid w:val="002017CA"/>
    <w:rsid w:val="002041F9"/>
    <w:rsid w:val="0020709F"/>
    <w:rsid w:val="00213D61"/>
    <w:rsid w:val="0021510D"/>
    <w:rsid w:val="00221A9B"/>
    <w:rsid w:val="00224090"/>
    <w:rsid w:val="002248FF"/>
    <w:rsid w:val="00230BA9"/>
    <w:rsid w:val="00233096"/>
    <w:rsid w:val="00250822"/>
    <w:rsid w:val="0027156A"/>
    <w:rsid w:val="00272778"/>
    <w:rsid w:val="00275C64"/>
    <w:rsid w:val="00277DE5"/>
    <w:rsid w:val="00280D80"/>
    <w:rsid w:val="00291296"/>
    <w:rsid w:val="0029156C"/>
    <w:rsid w:val="00295CA4"/>
    <w:rsid w:val="002A526F"/>
    <w:rsid w:val="002A6E74"/>
    <w:rsid w:val="002B2A81"/>
    <w:rsid w:val="002C0C46"/>
    <w:rsid w:val="002C1B0E"/>
    <w:rsid w:val="002C6DC4"/>
    <w:rsid w:val="002D0BBD"/>
    <w:rsid w:val="002D2D74"/>
    <w:rsid w:val="002E5B31"/>
    <w:rsid w:val="002F2A98"/>
    <w:rsid w:val="002F48CA"/>
    <w:rsid w:val="002F7136"/>
    <w:rsid w:val="002F7978"/>
    <w:rsid w:val="003071A3"/>
    <w:rsid w:val="00307E57"/>
    <w:rsid w:val="00320317"/>
    <w:rsid w:val="0032069A"/>
    <w:rsid w:val="0032541B"/>
    <w:rsid w:val="003317F1"/>
    <w:rsid w:val="0033535C"/>
    <w:rsid w:val="00341D79"/>
    <w:rsid w:val="003434AE"/>
    <w:rsid w:val="00344F8C"/>
    <w:rsid w:val="003514EF"/>
    <w:rsid w:val="00351505"/>
    <w:rsid w:val="00352245"/>
    <w:rsid w:val="00352B48"/>
    <w:rsid w:val="003574FA"/>
    <w:rsid w:val="0036260B"/>
    <w:rsid w:val="003656F9"/>
    <w:rsid w:val="003661CC"/>
    <w:rsid w:val="00366DF6"/>
    <w:rsid w:val="003735CE"/>
    <w:rsid w:val="003758CB"/>
    <w:rsid w:val="00375AB3"/>
    <w:rsid w:val="00380BA3"/>
    <w:rsid w:val="00382408"/>
    <w:rsid w:val="003916DC"/>
    <w:rsid w:val="00393AA2"/>
    <w:rsid w:val="003A0D7F"/>
    <w:rsid w:val="003A2847"/>
    <w:rsid w:val="003A4582"/>
    <w:rsid w:val="003A573E"/>
    <w:rsid w:val="003B13C8"/>
    <w:rsid w:val="003B755E"/>
    <w:rsid w:val="003C10D6"/>
    <w:rsid w:val="003C752F"/>
    <w:rsid w:val="003D1FDB"/>
    <w:rsid w:val="003E29F5"/>
    <w:rsid w:val="003E3A5F"/>
    <w:rsid w:val="003F3A7F"/>
    <w:rsid w:val="00401F91"/>
    <w:rsid w:val="00403889"/>
    <w:rsid w:val="0041039A"/>
    <w:rsid w:val="004124DB"/>
    <w:rsid w:val="00417598"/>
    <w:rsid w:val="004245D0"/>
    <w:rsid w:val="00427CB9"/>
    <w:rsid w:val="0043053B"/>
    <w:rsid w:val="004400A4"/>
    <w:rsid w:val="004404AC"/>
    <w:rsid w:val="00445988"/>
    <w:rsid w:val="00453046"/>
    <w:rsid w:val="00453A7A"/>
    <w:rsid w:val="0046524D"/>
    <w:rsid w:val="004837D5"/>
    <w:rsid w:val="00485FD2"/>
    <w:rsid w:val="0049002F"/>
    <w:rsid w:val="004A2A56"/>
    <w:rsid w:val="004A7170"/>
    <w:rsid w:val="004B0F90"/>
    <w:rsid w:val="004B3552"/>
    <w:rsid w:val="004B592A"/>
    <w:rsid w:val="004C069B"/>
    <w:rsid w:val="004C2E85"/>
    <w:rsid w:val="004C6819"/>
    <w:rsid w:val="004D1856"/>
    <w:rsid w:val="004D7A5F"/>
    <w:rsid w:val="004E4A65"/>
    <w:rsid w:val="004E5187"/>
    <w:rsid w:val="004E51C9"/>
    <w:rsid w:val="004E613C"/>
    <w:rsid w:val="004F188D"/>
    <w:rsid w:val="004F6246"/>
    <w:rsid w:val="00501052"/>
    <w:rsid w:val="005011DD"/>
    <w:rsid w:val="00501305"/>
    <w:rsid w:val="005127F2"/>
    <w:rsid w:val="005133D1"/>
    <w:rsid w:val="00514B33"/>
    <w:rsid w:val="00514F51"/>
    <w:rsid w:val="00517689"/>
    <w:rsid w:val="00521BC8"/>
    <w:rsid w:val="00524C74"/>
    <w:rsid w:val="005266F0"/>
    <w:rsid w:val="00526834"/>
    <w:rsid w:val="0053363A"/>
    <w:rsid w:val="00537521"/>
    <w:rsid w:val="00537A0A"/>
    <w:rsid w:val="00543AAD"/>
    <w:rsid w:val="005451FC"/>
    <w:rsid w:val="00545525"/>
    <w:rsid w:val="005475FD"/>
    <w:rsid w:val="00553D87"/>
    <w:rsid w:val="005547DC"/>
    <w:rsid w:val="00556F26"/>
    <w:rsid w:val="005658A4"/>
    <w:rsid w:val="00567EBB"/>
    <w:rsid w:val="00572400"/>
    <w:rsid w:val="0057676C"/>
    <w:rsid w:val="0059768B"/>
    <w:rsid w:val="005A1FD0"/>
    <w:rsid w:val="005A6044"/>
    <w:rsid w:val="005A665C"/>
    <w:rsid w:val="005A6BD8"/>
    <w:rsid w:val="005B01BE"/>
    <w:rsid w:val="005B0376"/>
    <w:rsid w:val="005B6C40"/>
    <w:rsid w:val="005C1032"/>
    <w:rsid w:val="005C5FF9"/>
    <w:rsid w:val="005D6F2F"/>
    <w:rsid w:val="005E649F"/>
    <w:rsid w:val="005E73B2"/>
    <w:rsid w:val="005F3202"/>
    <w:rsid w:val="006054B8"/>
    <w:rsid w:val="00614D19"/>
    <w:rsid w:val="00615C42"/>
    <w:rsid w:val="006203F8"/>
    <w:rsid w:val="006218B7"/>
    <w:rsid w:val="0062277A"/>
    <w:rsid w:val="006307AD"/>
    <w:rsid w:val="00636424"/>
    <w:rsid w:val="00637E12"/>
    <w:rsid w:val="006429CF"/>
    <w:rsid w:val="006448FA"/>
    <w:rsid w:val="0064552D"/>
    <w:rsid w:val="00646634"/>
    <w:rsid w:val="00651222"/>
    <w:rsid w:val="00651BB2"/>
    <w:rsid w:val="006538A7"/>
    <w:rsid w:val="00662468"/>
    <w:rsid w:val="00663CE9"/>
    <w:rsid w:val="00664715"/>
    <w:rsid w:val="006659E6"/>
    <w:rsid w:val="0067015C"/>
    <w:rsid w:val="006826E4"/>
    <w:rsid w:val="00684C6B"/>
    <w:rsid w:val="00686E8D"/>
    <w:rsid w:val="0068766A"/>
    <w:rsid w:val="00693695"/>
    <w:rsid w:val="00695C87"/>
    <w:rsid w:val="00696367"/>
    <w:rsid w:val="00696CE4"/>
    <w:rsid w:val="006B2D49"/>
    <w:rsid w:val="006C053E"/>
    <w:rsid w:val="006C2D98"/>
    <w:rsid w:val="006C66F3"/>
    <w:rsid w:val="006C6D80"/>
    <w:rsid w:val="00712C7D"/>
    <w:rsid w:val="00723636"/>
    <w:rsid w:val="00730E0F"/>
    <w:rsid w:val="00732FF8"/>
    <w:rsid w:val="007446BC"/>
    <w:rsid w:val="0074685D"/>
    <w:rsid w:val="00751558"/>
    <w:rsid w:val="00752765"/>
    <w:rsid w:val="00754714"/>
    <w:rsid w:val="007557C9"/>
    <w:rsid w:val="00770265"/>
    <w:rsid w:val="00775EFA"/>
    <w:rsid w:val="0077653A"/>
    <w:rsid w:val="007812DA"/>
    <w:rsid w:val="0078437E"/>
    <w:rsid w:val="00786C4E"/>
    <w:rsid w:val="00787694"/>
    <w:rsid w:val="0079178C"/>
    <w:rsid w:val="0079261C"/>
    <w:rsid w:val="00792C35"/>
    <w:rsid w:val="00792CF3"/>
    <w:rsid w:val="00792DEC"/>
    <w:rsid w:val="00797700"/>
    <w:rsid w:val="007A440B"/>
    <w:rsid w:val="007A4E7D"/>
    <w:rsid w:val="007A4FB2"/>
    <w:rsid w:val="007A7D1B"/>
    <w:rsid w:val="007B0099"/>
    <w:rsid w:val="007B3997"/>
    <w:rsid w:val="007B754A"/>
    <w:rsid w:val="007C09D1"/>
    <w:rsid w:val="007C44EC"/>
    <w:rsid w:val="007C77A7"/>
    <w:rsid w:val="007D2A90"/>
    <w:rsid w:val="007D7AFF"/>
    <w:rsid w:val="007E0739"/>
    <w:rsid w:val="007E668A"/>
    <w:rsid w:val="007F024C"/>
    <w:rsid w:val="007F0610"/>
    <w:rsid w:val="007F27FA"/>
    <w:rsid w:val="007F3205"/>
    <w:rsid w:val="007F5FFE"/>
    <w:rsid w:val="008020D9"/>
    <w:rsid w:val="00806666"/>
    <w:rsid w:val="008125BD"/>
    <w:rsid w:val="008179CD"/>
    <w:rsid w:val="00822849"/>
    <w:rsid w:val="00823B56"/>
    <w:rsid w:val="00824201"/>
    <w:rsid w:val="00825F2E"/>
    <w:rsid w:val="00827FF1"/>
    <w:rsid w:val="00846575"/>
    <w:rsid w:val="00846CCC"/>
    <w:rsid w:val="00853346"/>
    <w:rsid w:val="00863026"/>
    <w:rsid w:val="008763E2"/>
    <w:rsid w:val="0088363D"/>
    <w:rsid w:val="0088521E"/>
    <w:rsid w:val="00885468"/>
    <w:rsid w:val="0088736F"/>
    <w:rsid w:val="00897FF5"/>
    <w:rsid w:val="008A6AE8"/>
    <w:rsid w:val="008B04FE"/>
    <w:rsid w:val="008B1307"/>
    <w:rsid w:val="008B455D"/>
    <w:rsid w:val="008C50AC"/>
    <w:rsid w:val="008C5203"/>
    <w:rsid w:val="008C70A0"/>
    <w:rsid w:val="008D2D17"/>
    <w:rsid w:val="008D2FC8"/>
    <w:rsid w:val="008D61A9"/>
    <w:rsid w:val="008E0488"/>
    <w:rsid w:val="008E1C1E"/>
    <w:rsid w:val="008E742F"/>
    <w:rsid w:val="00903569"/>
    <w:rsid w:val="00905213"/>
    <w:rsid w:val="0090603B"/>
    <w:rsid w:val="009067D1"/>
    <w:rsid w:val="009128FC"/>
    <w:rsid w:val="00912937"/>
    <w:rsid w:val="0091381D"/>
    <w:rsid w:val="0092054A"/>
    <w:rsid w:val="009215B2"/>
    <w:rsid w:val="009317FF"/>
    <w:rsid w:val="0093332D"/>
    <w:rsid w:val="009475B9"/>
    <w:rsid w:val="00954F18"/>
    <w:rsid w:val="00956220"/>
    <w:rsid w:val="00963644"/>
    <w:rsid w:val="00963AD7"/>
    <w:rsid w:val="00966467"/>
    <w:rsid w:val="00972978"/>
    <w:rsid w:val="0097528B"/>
    <w:rsid w:val="00976FEF"/>
    <w:rsid w:val="00982AFF"/>
    <w:rsid w:val="00987089"/>
    <w:rsid w:val="00996ECB"/>
    <w:rsid w:val="009B25E0"/>
    <w:rsid w:val="009D21EE"/>
    <w:rsid w:val="009D3025"/>
    <w:rsid w:val="009D48A2"/>
    <w:rsid w:val="009D78B9"/>
    <w:rsid w:val="009E218F"/>
    <w:rsid w:val="009E4F80"/>
    <w:rsid w:val="009F3769"/>
    <w:rsid w:val="009F3996"/>
    <w:rsid w:val="00A03393"/>
    <w:rsid w:val="00A048C7"/>
    <w:rsid w:val="00A24571"/>
    <w:rsid w:val="00A3287C"/>
    <w:rsid w:val="00A37723"/>
    <w:rsid w:val="00A42F35"/>
    <w:rsid w:val="00A50877"/>
    <w:rsid w:val="00A57AA6"/>
    <w:rsid w:val="00A60619"/>
    <w:rsid w:val="00A61B71"/>
    <w:rsid w:val="00A67465"/>
    <w:rsid w:val="00A71416"/>
    <w:rsid w:val="00A84472"/>
    <w:rsid w:val="00A86ECF"/>
    <w:rsid w:val="00A9022A"/>
    <w:rsid w:val="00A92EC8"/>
    <w:rsid w:val="00A96339"/>
    <w:rsid w:val="00AB050B"/>
    <w:rsid w:val="00AB4B22"/>
    <w:rsid w:val="00AB712C"/>
    <w:rsid w:val="00AC3452"/>
    <w:rsid w:val="00AC3875"/>
    <w:rsid w:val="00AD4F2C"/>
    <w:rsid w:val="00AD70A9"/>
    <w:rsid w:val="00AE33F1"/>
    <w:rsid w:val="00AE6A02"/>
    <w:rsid w:val="00AF1440"/>
    <w:rsid w:val="00AF1841"/>
    <w:rsid w:val="00AF1CA3"/>
    <w:rsid w:val="00B01E15"/>
    <w:rsid w:val="00B06763"/>
    <w:rsid w:val="00B1107A"/>
    <w:rsid w:val="00B11366"/>
    <w:rsid w:val="00B113F3"/>
    <w:rsid w:val="00B12C10"/>
    <w:rsid w:val="00B22E07"/>
    <w:rsid w:val="00B3046A"/>
    <w:rsid w:val="00B32A00"/>
    <w:rsid w:val="00B32F05"/>
    <w:rsid w:val="00B35A1F"/>
    <w:rsid w:val="00B46A4E"/>
    <w:rsid w:val="00B5050F"/>
    <w:rsid w:val="00B51C87"/>
    <w:rsid w:val="00B54B9F"/>
    <w:rsid w:val="00B5599C"/>
    <w:rsid w:val="00B72688"/>
    <w:rsid w:val="00B826D5"/>
    <w:rsid w:val="00B83632"/>
    <w:rsid w:val="00B84278"/>
    <w:rsid w:val="00B90ECA"/>
    <w:rsid w:val="00B93DF3"/>
    <w:rsid w:val="00BA28EE"/>
    <w:rsid w:val="00BA6D40"/>
    <w:rsid w:val="00BB111A"/>
    <w:rsid w:val="00BB3150"/>
    <w:rsid w:val="00BB401F"/>
    <w:rsid w:val="00BB4927"/>
    <w:rsid w:val="00BB5F20"/>
    <w:rsid w:val="00BC0E2A"/>
    <w:rsid w:val="00BC1EC6"/>
    <w:rsid w:val="00BC2CFA"/>
    <w:rsid w:val="00BC5A5A"/>
    <w:rsid w:val="00BD1E5D"/>
    <w:rsid w:val="00BF7C5F"/>
    <w:rsid w:val="00C013C9"/>
    <w:rsid w:val="00C05F48"/>
    <w:rsid w:val="00C06046"/>
    <w:rsid w:val="00C072C6"/>
    <w:rsid w:val="00C2104F"/>
    <w:rsid w:val="00C25A26"/>
    <w:rsid w:val="00C27AB9"/>
    <w:rsid w:val="00C31FC6"/>
    <w:rsid w:val="00C31FC7"/>
    <w:rsid w:val="00C407A4"/>
    <w:rsid w:val="00C40997"/>
    <w:rsid w:val="00C50A46"/>
    <w:rsid w:val="00C715D0"/>
    <w:rsid w:val="00C72036"/>
    <w:rsid w:val="00C74974"/>
    <w:rsid w:val="00C80E86"/>
    <w:rsid w:val="00C849B5"/>
    <w:rsid w:val="00C92429"/>
    <w:rsid w:val="00C96838"/>
    <w:rsid w:val="00CB1B91"/>
    <w:rsid w:val="00CB2C3D"/>
    <w:rsid w:val="00CB7867"/>
    <w:rsid w:val="00CD2C70"/>
    <w:rsid w:val="00CD320B"/>
    <w:rsid w:val="00CE2A1B"/>
    <w:rsid w:val="00CE5901"/>
    <w:rsid w:val="00CE664F"/>
    <w:rsid w:val="00CE7454"/>
    <w:rsid w:val="00CF490C"/>
    <w:rsid w:val="00CF77A5"/>
    <w:rsid w:val="00D02B77"/>
    <w:rsid w:val="00D10894"/>
    <w:rsid w:val="00D1212E"/>
    <w:rsid w:val="00D2026F"/>
    <w:rsid w:val="00D22F4A"/>
    <w:rsid w:val="00D2669A"/>
    <w:rsid w:val="00D277E2"/>
    <w:rsid w:val="00D3342F"/>
    <w:rsid w:val="00D353BE"/>
    <w:rsid w:val="00D4068C"/>
    <w:rsid w:val="00D40AF2"/>
    <w:rsid w:val="00D45457"/>
    <w:rsid w:val="00D54B44"/>
    <w:rsid w:val="00D6553F"/>
    <w:rsid w:val="00D6701A"/>
    <w:rsid w:val="00D670E3"/>
    <w:rsid w:val="00D677F7"/>
    <w:rsid w:val="00D80084"/>
    <w:rsid w:val="00D93B46"/>
    <w:rsid w:val="00D93C1F"/>
    <w:rsid w:val="00D960B3"/>
    <w:rsid w:val="00DB10C6"/>
    <w:rsid w:val="00DB3BB6"/>
    <w:rsid w:val="00DB5A1D"/>
    <w:rsid w:val="00DC7979"/>
    <w:rsid w:val="00DD0155"/>
    <w:rsid w:val="00DD336C"/>
    <w:rsid w:val="00DD6D84"/>
    <w:rsid w:val="00DE282D"/>
    <w:rsid w:val="00DE4B27"/>
    <w:rsid w:val="00DF4494"/>
    <w:rsid w:val="00DF670F"/>
    <w:rsid w:val="00DF75CE"/>
    <w:rsid w:val="00DF7961"/>
    <w:rsid w:val="00E00DDA"/>
    <w:rsid w:val="00E10EEC"/>
    <w:rsid w:val="00E1197D"/>
    <w:rsid w:val="00E176E9"/>
    <w:rsid w:val="00E215F5"/>
    <w:rsid w:val="00E217D5"/>
    <w:rsid w:val="00E25DC7"/>
    <w:rsid w:val="00E33BB3"/>
    <w:rsid w:val="00E34D60"/>
    <w:rsid w:val="00E4056B"/>
    <w:rsid w:val="00E43CFA"/>
    <w:rsid w:val="00E44DDC"/>
    <w:rsid w:val="00E462AA"/>
    <w:rsid w:val="00E467EF"/>
    <w:rsid w:val="00E46823"/>
    <w:rsid w:val="00E66264"/>
    <w:rsid w:val="00E75DD1"/>
    <w:rsid w:val="00E86651"/>
    <w:rsid w:val="00E876EB"/>
    <w:rsid w:val="00E958DF"/>
    <w:rsid w:val="00E96B0A"/>
    <w:rsid w:val="00EA00B6"/>
    <w:rsid w:val="00EA445B"/>
    <w:rsid w:val="00EB6D34"/>
    <w:rsid w:val="00EC6711"/>
    <w:rsid w:val="00ED3B2A"/>
    <w:rsid w:val="00ED7C8D"/>
    <w:rsid w:val="00EE186C"/>
    <w:rsid w:val="00EE1964"/>
    <w:rsid w:val="00EE2C08"/>
    <w:rsid w:val="00EF26F0"/>
    <w:rsid w:val="00F027ED"/>
    <w:rsid w:val="00F04FD0"/>
    <w:rsid w:val="00F1055B"/>
    <w:rsid w:val="00F15CAF"/>
    <w:rsid w:val="00F24645"/>
    <w:rsid w:val="00F25CAC"/>
    <w:rsid w:val="00F352AB"/>
    <w:rsid w:val="00F362FB"/>
    <w:rsid w:val="00F40819"/>
    <w:rsid w:val="00F41E69"/>
    <w:rsid w:val="00F42B05"/>
    <w:rsid w:val="00F442E1"/>
    <w:rsid w:val="00F44B25"/>
    <w:rsid w:val="00F458C1"/>
    <w:rsid w:val="00F46EB8"/>
    <w:rsid w:val="00F505B0"/>
    <w:rsid w:val="00F53057"/>
    <w:rsid w:val="00F561F2"/>
    <w:rsid w:val="00F577FE"/>
    <w:rsid w:val="00F60610"/>
    <w:rsid w:val="00F6212B"/>
    <w:rsid w:val="00F62214"/>
    <w:rsid w:val="00F6579A"/>
    <w:rsid w:val="00F66164"/>
    <w:rsid w:val="00F724A4"/>
    <w:rsid w:val="00F74671"/>
    <w:rsid w:val="00FA55F9"/>
    <w:rsid w:val="00FA698F"/>
    <w:rsid w:val="00FA6F35"/>
    <w:rsid w:val="00FC7C39"/>
    <w:rsid w:val="00FD16FC"/>
    <w:rsid w:val="00FE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E74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9129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F44B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qFormat/>
    <w:rsid w:val="00D1212E"/>
    <w:pPr>
      <w:spacing w:before="284" w:after="113"/>
      <w:jc w:val="both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ianetitre3">
    <w:name w:val="Ariane titre 3"/>
    <w:basedOn w:val="Normal"/>
    <w:rsid w:val="00F41E69"/>
    <w:pPr>
      <w:keepNext/>
      <w:keepLines/>
      <w:widowControl w:val="0"/>
      <w:autoSpaceDE w:val="0"/>
      <w:autoSpaceDN w:val="0"/>
      <w:adjustRightInd w:val="0"/>
      <w:spacing w:after="60"/>
      <w:jc w:val="both"/>
      <w:outlineLvl w:val="2"/>
    </w:pPr>
    <w:rPr>
      <w:b/>
      <w:color w:val="00FF00"/>
    </w:rPr>
  </w:style>
  <w:style w:type="paragraph" w:customStyle="1" w:styleId="arianetitre30">
    <w:name w:val="ariane titre 3"/>
    <w:basedOn w:val="Normal"/>
    <w:autoRedefine/>
    <w:rsid w:val="00F41E69"/>
    <w:pPr>
      <w:spacing w:after="60"/>
    </w:pPr>
    <w:rPr>
      <w:b/>
      <w:color w:val="00FF00"/>
    </w:rPr>
  </w:style>
  <w:style w:type="paragraph" w:customStyle="1" w:styleId="Arianetitre2">
    <w:name w:val="Ariane titre 2"/>
    <w:basedOn w:val="Titre2"/>
    <w:autoRedefine/>
    <w:rsid w:val="00F44B25"/>
    <w:pPr>
      <w:keepLines/>
      <w:widowControl w:val="0"/>
      <w:autoSpaceDE w:val="0"/>
      <w:autoSpaceDN w:val="0"/>
      <w:adjustRightInd w:val="0"/>
      <w:spacing w:before="0" w:after="120"/>
      <w:jc w:val="both"/>
    </w:pPr>
    <w:rPr>
      <w:b w:val="0"/>
      <w:bCs w:val="0"/>
      <w:i w:val="0"/>
      <w:iCs w:val="0"/>
      <w:color w:val="0000FF"/>
      <w:sz w:val="26"/>
      <w:szCs w:val="26"/>
    </w:rPr>
  </w:style>
  <w:style w:type="paragraph" w:styleId="NormalWeb">
    <w:name w:val="Normal (Web)"/>
    <w:basedOn w:val="Normal"/>
    <w:uiPriority w:val="99"/>
    <w:rsid w:val="0041039A"/>
    <w:pPr>
      <w:keepNext/>
      <w:spacing w:before="100" w:beforeAutospacing="1"/>
      <w:jc w:val="both"/>
    </w:pPr>
  </w:style>
  <w:style w:type="paragraph" w:customStyle="1" w:styleId="typedocument3-western">
    <w:name w:val="typedocument3-western"/>
    <w:basedOn w:val="Normal"/>
    <w:rsid w:val="0041039A"/>
    <w:pPr>
      <w:keepNext/>
      <w:spacing w:before="100" w:beforeAutospacing="1"/>
      <w:jc w:val="center"/>
    </w:pPr>
    <w:rPr>
      <w:rFonts w:ascii="Arial" w:hAnsi="Arial" w:cs="Arial"/>
      <w:b/>
      <w:bCs/>
      <w:sz w:val="44"/>
      <w:szCs w:val="44"/>
    </w:rPr>
  </w:style>
  <w:style w:type="paragraph" w:customStyle="1" w:styleId="western">
    <w:name w:val="western"/>
    <w:basedOn w:val="Normal"/>
    <w:rsid w:val="0041039A"/>
    <w:pPr>
      <w:keepNext/>
      <w:spacing w:before="100" w:beforeAutospacing="1"/>
      <w:jc w:val="both"/>
    </w:pPr>
    <w:rPr>
      <w:rFonts w:ascii="Arial" w:hAnsi="Arial" w:cs="Arial"/>
      <w:sz w:val="20"/>
      <w:szCs w:val="20"/>
    </w:rPr>
  </w:style>
  <w:style w:type="table" w:styleId="Grilledutableau">
    <w:name w:val="Table Grid"/>
    <w:basedOn w:val="TableauNormal"/>
    <w:rsid w:val="004103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3">
    <w:name w:val="Body Text 3"/>
    <w:basedOn w:val="Normal"/>
    <w:rsid w:val="00DD6D84"/>
    <w:pPr>
      <w:jc w:val="both"/>
    </w:pPr>
    <w:rPr>
      <w:sz w:val="20"/>
    </w:rPr>
  </w:style>
  <w:style w:type="paragraph" w:styleId="Pieddepage">
    <w:name w:val="footer"/>
    <w:basedOn w:val="Normal"/>
    <w:rsid w:val="00DB10C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B10C6"/>
  </w:style>
  <w:style w:type="paragraph" w:styleId="En-tte">
    <w:name w:val="header"/>
    <w:basedOn w:val="Normal"/>
    <w:rsid w:val="00DB10C6"/>
    <w:pPr>
      <w:tabs>
        <w:tab w:val="center" w:pos="4536"/>
        <w:tab w:val="right" w:pos="9072"/>
      </w:tabs>
    </w:pPr>
  </w:style>
  <w:style w:type="paragraph" w:customStyle="1" w:styleId="Titre1Themis">
    <w:name w:val="Titre 1 Themis"/>
    <w:basedOn w:val="Titre1"/>
    <w:rsid w:val="00912937"/>
    <w:pPr>
      <w:tabs>
        <w:tab w:val="left" w:pos="550"/>
        <w:tab w:val="left" w:pos="924"/>
      </w:tabs>
      <w:spacing w:line="240" w:lineRule="atLeast"/>
      <w:jc w:val="both"/>
    </w:pPr>
    <w:rPr>
      <w:rFonts w:ascii="Times New Roman" w:hAnsi="Times New Roman"/>
      <w:sz w:val="24"/>
    </w:rPr>
  </w:style>
  <w:style w:type="paragraph" w:customStyle="1" w:styleId="titre2themis">
    <w:name w:val="titre 2 themis"/>
    <w:basedOn w:val="Titre2"/>
    <w:rsid w:val="00912937"/>
    <w:pPr>
      <w:pBdr>
        <w:left w:val="single" w:sz="8" w:space="0" w:color="CCCCCC"/>
        <w:bottom w:val="single" w:sz="8" w:space="0" w:color="CCCCCC"/>
      </w:pBdr>
      <w:spacing w:before="0" w:after="120"/>
    </w:pPr>
    <w:rPr>
      <w:rFonts w:ascii="Times New Roman" w:hAnsi="Times New Roman"/>
      <w:bCs w:val="0"/>
      <w:i w:val="0"/>
      <w:sz w:val="24"/>
    </w:rPr>
  </w:style>
  <w:style w:type="paragraph" w:styleId="TM1">
    <w:name w:val="toc 1"/>
    <w:basedOn w:val="Normal"/>
    <w:next w:val="Normal"/>
    <w:autoRedefine/>
    <w:semiHidden/>
    <w:rsid w:val="00E176E9"/>
    <w:pPr>
      <w:tabs>
        <w:tab w:val="right" w:leader="dot" w:pos="9060"/>
      </w:tabs>
      <w:spacing w:after="120"/>
    </w:pPr>
  </w:style>
  <w:style w:type="paragraph" w:styleId="TM2">
    <w:name w:val="toc 2"/>
    <w:basedOn w:val="Normal"/>
    <w:next w:val="Normal"/>
    <w:autoRedefine/>
    <w:semiHidden/>
    <w:rsid w:val="00912937"/>
    <w:pPr>
      <w:ind w:left="240"/>
    </w:pPr>
  </w:style>
  <w:style w:type="character" w:styleId="Lienhypertexte">
    <w:name w:val="Hyperlink"/>
    <w:rsid w:val="00912937"/>
    <w:rPr>
      <w:color w:val="0000FF"/>
      <w:u w:val="single"/>
    </w:rPr>
  </w:style>
  <w:style w:type="paragraph" w:styleId="Textedebulles">
    <w:name w:val="Balloon Text"/>
    <w:basedOn w:val="Normal"/>
    <w:semiHidden/>
    <w:rsid w:val="007A7D1B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AE33F1"/>
    <w:pPr>
      <w:spacing w:after="120"/>
    </w:pPr>
  </w:style>
  <w:style w:type="paragraph" w:customStyle="1" w:styleId="Normal13pt">
    <w:name w:val="Normal + 13 pt"/>
    <w:aliases w:val="Gras"/>
    <w:basedOn w:val="Normal"/>
    <w:rsid w:val="00BD1E5D"/>
    <w:rPr>
      <w:b/>
      <w:sz w:val="26"/>
      <w:szCs w:val="26"/>
    </w:rPr>
  </w:style>
  <w:style w:type="character" w:styleId="Marquedecommentaire">
    <w:name w:val="annotation reference"/>
    <w:rsid w:val="003A0D7F"/>
    <w:rPr>
      <w:sz w:val="16"/>
      <w:szCs w:val="16"/>
    </w:rPr>
  </w:style>
  <w:style w:type="paragraph" w:styleId="Commentaire">
    <w:name w:val="annotation text"/>
    <w:basedOn w:val="Normal"/>
    <w:link w:val="CommentaireCar"/>
    <w:rsid w:val="003A0D7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3A0D7F"/>
    <w:rPr>
      <w:b/>
      <w:bCs/>
    </w:rPr>
  </w:style>
  <w:style w:type="character" w:customStyle="1" w:styleId="CommentaireCar">
    <w:name w:val="Commentaire Car"/>
    <w:basedOn w:val="Policepardfaut"/>
    <w:link w:val="Commentaire"/>
    <w:rsid w:val="00E44DDC"/>
  </w:style>
  <w:style w:type="character" w:customStyle="1" w:styleId="Titre1Car">
    <w:name w:val="Titre 1 Car"/>
    <w:basedOn w:val="Policepardfaut"/>
    <w:link w:val="Titre1"/>
    <w:rsid w:val="00453A7A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4461D-22D7-49F5-9FDF-38C125E1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857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hotline.deploy</Company>
  <LinksUpToDate>false</LinksUpToDate>
  <CharactersWithSpaces>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vivien.demur</dc:creator>
  <cp:lastModifiedBy>denis.rouzaud</cp:lastModifiedBy>
  <cp:revision>4</cp:revision>
  <cp:lastPrinted>2021-06-02T10:06:00Z</cp:lastPrinted>
  <dcterms:created xsi:type="dcterms:W3CDTF">2021-07-06T12:36:00Z</dcterms:created>
  <dcterms:modified xsi:type="dcterms:W3CDTF">2021-07-07T07:29:00Z</dcterms:modified>
</cp:coreProperties>
</file>