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rPr/>
      </w:pPr>
      <w:r>
        <w:rPr/>
      </w:r>
    </w:p>
    <w:p>
      <w:pPr>
        <w:pStyle w:val="PA"/>
        <w:rPr/>
      </w:pPr>
      <w:r>
        <w:rPr/>
        <w:t>Ville de Marseille - Mairie de Marseille</w:t>
      </w:r>
    </w:p>
    <w:p>
      <w:pPr>
        <w:pStyle w:val="Textbody"/>
        <w:rPr/>
      </w:pPr>
      <w:r>
        <w:rPr/>
      </w:r>
    </w:p>
    <w:p>
      <w:pPr>
        <w:pStyle w:val="Direction"/>
        <w:rPr/>
      </w:pPr>
      <w:r>
        <w:rPr/>
        <w:t>DGASP - DOF - SCC (30323)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rPr/>
      </w:pPr>
      <w:r>
        <w:rPr/>
      </w:r>
    </w:p>
    <w:p>
      <w:pPr>
        <w:pStyle w:val="Intitule2"/>
        <w:keepNext w:val="false"/>
        <w:bidi w:val="0"/>
        <w:jc w:val="center"/>
        <w:rPr/>
      </w:pPr>
      <w:r>
        <w:rPr>
          <w:b/>
          <w:bCs/>
        </w:rPr>
        <w:t xml:space="preserve">CONSTRUCTION ET POSE DE CAVEAUX,  ENFEUS, CAISSONS ET AMENAGEMENTS ANNEXES DANS LES </w:t>
      </w:r>
      <w:r>
        <w:rPr>
          <w:b/>
          <w:bCs/>
        </w:rPr>
        <w:t xml:space="preserve">CARRES DES </w:t>
      </w:r>
      <w:r>
        <w:rPr>
          <w:b/>
          <w:bCs/>
        </w:rPr>
        <w:t>21 CIMETIERES COMMUNAUX DE LA VILLE DE MARSEILLE</w:t>
      </w:r>
    </w:p>
    <w:p>
      <w:pPr>
        <w:pStyle w:val="Intitule2"/>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2020_40302_0013</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Appel d‘offres ouvert</w:t>
      </w:r>
    </w:p>
    <w:p>
      <w:pPr>
        <w:pStyle w:val="Standard"/>
        <w:tabs>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8300" w:leader="dot"/>
        </w:tabs>
        <w:rPr/>
      </w:pPr>
      <w:r>
        <w:fldChar w:fldCharType="begin"/>
      </w:r>
      <w:r>
        <w:instrText> TOC \o "1-4" \h</w:instrText>
      </w:r>
      <w: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right" w:pos="8300" w:leader="dot"/>
        </w:tabs>
        <w:rPr/>
      </w:pPr>
      <w:hyperlink w:anchor="__RefHeading___Toc912_153342055">
        <w:r>
          <w:rPr>
            <w:rStyle w:val="Sautdindex"/>
          </w:rPr>
          <w:t>1.1 Accord-cadre</w:t>
          <w:tab/>
          <w:t>3</w:t>
        </w:r>
      </w:hyperlink>
    </w:p>
    <w:p>
      <w:pPr>
        <w:pStyle w:val="Tabledesmatiresniveau2"/>
        <w:tabs>
          <w:tab w:val="right" w:pos="8300" w:leader="dot"/>
        </w:tabs>
        <w:rPr/>
      </w:pPr>
      <w:hyperlink w:anchor="__RefHeading___Toc914_153342055">
        <w:r>
          <w:rPr>
            <w:rStyle w:val="Sautdindex"/>
          </w:rPr>
          <w:t>1.2 Pouvoir adjudicateur</w:t>
          <w:tab/>
          <w:t>3</w:t>
        </w:r>
      </w:hyperlink>
    </w:p>
    <w:p>
      <w:pPr>
        <w:pStyle w:val="Tabledesmatiresniveau2"/>
        <w:tabs>
          <w:tab w:val="right" w:pos="8300" w:leader="dot"/>
        </w:tabs>
        <w:rPr/>
      </w:pPr>
      <w:hyperlink w:anchor="__RefHeading___Toc916_153342055">
        <w:r>
          <w:rPr>
            <w:rStyle w:val="Sautdindex"/>
          </w:rPr>
          <w:t>1.3 Informations comptables et financières</w:t>
          <w:tab/>
          <w:t>3</w:t>
        </w:r>
      </w:hyperlink>
    </w:p>
    <w:p>
      <w:pPr>
        <w:pStyle w:val="Tabledesmatiresniveau1"/>
        <w:tabs>
          <w:tab w:val="right" w:pos="8300" w:leader="dot"/>
        </w:tabs>
        <w:rPr/>
      </w:pPr>
      <w:hyperlink w:anchor="__RefHeading___Toc918_153342055">
        <w:r>
          <w:rPr>
            <w:rStyle w:val="Sautdindex"/>
          </w:rPr>
          <w:t>Article 2 - CONTRACTANTS</w:t>
          <w:tab/>
          <w:t>4</w:t>
        </w:r>
      </w:hyperlink>
    </w:p>
    <w:p>
      <w:pPr>
        <w:pStyle w:val="Tabledesmatiresniveau2"/>
        <w:tabs>
          <w:tab w:val="right" w:pos="8300" w:leader="dot"/>
        </w:tabs>
        <w:rPr/>
      </w:pPr>
      <w:hyperlink w:anchor="__RefHeading___Toc920_153342055">
        <w:r>
          <w:rPr>
            <w:rStyle w:val="Sautdindex"/>
          </w:rPr>
          <w:t>2.1 Identification</w:t>
          <w:tab/>
          <w:t>4</w:t>
        </w:r>
      </w:hyperlink>
    </w:p>
    <w:p>
      <w:pPr>
        <w:pStyle w:val="Tabledesmatiresniveau2"/>
        <w:tabs>
          <w:tab w:val="right" w:pos="8300" w:leader="dot"/>
        </w:tabs>
        <w:rPr/>
      </w:pPr>
      <w:hyperlink w:anchor="__RefHeading___Toc922_153342055">
        <w:r>
          <w:rPr>
            <w:rStyle w:val="Sautdindex"/>
          </w:rPr>
          <w:t>2.2 Compte à créditer</w:t>
          <w:tab/>
          <w:t>6</w:t>
        </w:r>
      </w:hyperlink>
    </w:p>
    <w:p>
      <w:pPr>
        <w:pStyle w:val="Tabledesmatiresniveau1"/>
        <w:tabs>
          <w:tab w:val="right" w:pos="8300" w:leader="dot"/>
        </w:tabs>
        <w:rPr/>
      </w:pPr>
      <w:hyperlink w:anchor="__RefHeading___Toc924_153342055">
        <w:r>
          <w:rPr>
            <w:rStyle w:val="Sautdindex"/>
          </w:rPr>
          <w:t>Article 3 - OBJET</w:t>
          <w:tab/>
          <w:t>7</w:t>
        </w:r>
      </w:hyperlink>
    </w:p>
    <w:p>
      <w:pPr>
        <w:pStyle w:val="Tabledesmatiresniveau1"/>
        <w:tabs>
          <w:tab w:val="right" w:pos="8300" w:leader="dot"/>
        </w:tabs>
        <w:rPr/>
      </w:pPr>
      <w:hyperlink w:anchor="__RefHeading___Toc926_153342055">
        <w:r>
          <w:rPr>
            <w:rStyle w:val="Sautdindex"/>
          </w:rPr>
          <w:t>Article 4 - MONTANT ET PRIX DE L’ACCORD-CADRE</w:t>
          <w:tab/>
          <w:t>7</w:t>
        </w:r>
      </w:hyperlink>
    </w:p>
    <w:p>
      <w:pPr>
        <w:pStyle w:val="Tabledesmatiresniveau2"/>
        <w:tabs>
          <w:tab w:val="right" w:pos="8300" w:leader="dot"/>
        </w:tabs>
        <w:rPr/>
      </w:pPr>
      <w:hyperlink w:anchor="__RefHeading___Toc928_153342055">
        <w:r>
          <w:rPr>
            <w:rStyle w:val="Sautdindex"/>
          </w:rPr>
          <w:t>4.1 Forme du prix</w:t>
          <w:tab/>
          <w:t>7</w:t>
        </w:r>
      </w:hyperlink>
    </w:p>
    <w:p>
      <w:pPr>
        <w:pStyle w:val="Tabledesmatiresniveau2"/>
        <w:tabs>
          <w:tab w:val="right" w:pos="8300" w:leader="dot"/>
        </w:tabs>
        <w:rPr/>
      </w:pPr>
      <w:hyperlink w:anchor="__RefHeading___Toc930_153342055">
        <w:r>
          <w:rPr>
            <w:rStyle w:val="Sautdindex"/>
          </w:rPr>
          <w:t>4.2 Montant</w:t>
          <w:tab/>
          <w:t>8</w:t>
        </w:r>
      </w:hyperlink>
    </w:p>
    <w:p>
      <w:pPr>
        <w:pStyle w:val="Tabledesmatiresniveau2"/>
        <w:tabs>
          <w:tab w:val="right" w:pos="8300" w:leader="dot"/>
        </w:tabs>
        <w:rPr/>
      </w:pPr>
      <w:hyperlink w:anchor="__RefHeading___Toc932_153342055">
        <w:r>
          <w:rPr>
            <w:rStyle w:val="Sautdindex"/>
          </w:rPr>
          <w:t>4.3 Sous traitance</w:t>
          <w:tab/>
          <w:t>9</w:t>
        </w:r>
      </w:hyperlink>
    </w:p>
    <w:p>
      <w:pPr>
        <w:pStyle w:val="Tabledesmatiresniveau1"/>
        <w:tabs>
          <w:tab w:val="right" w:pos="8300" w:leader="dot"/>
        </w:tabs>
        <w:rPr/>
      </w:pPr>
      <w:hyperlink w:anchor="__RefHeading___Toc934_153342055">
        <w:r>
          <w:rPr>
            <w:rStyle w:val="Sautdindex"/>
          </w:rPr>
          <w:t>Article 5 - AVANCE</w:t>
          <w:tab/>
          <w:t>9</w:t>
        </w:r>
      </w:hyperlink>
    </w:p>
    <w:p>
      <w:pPr>
        <w:pStyle w:val="Tabledesmatiresniveau1"/>
        <w:tabs>
          <w:tab w:val="right" w:pos="8300" w:leader="dot"/>
        </w:tabs>
        <w:rPr/>
      </w:pPr>
      <w:hyperlink w:anchor="__RefHeading___Toc936_153342055">
        <w:r>
          <w:rPr>
            <w:rStyle w:val="Sautdindex"/>
          </w:rPr>
          <w:t>Article 6 - DUREE</w:t>
          <w:tab/>
          <w:t>9</w:t>
        </w:r>
      </w:hyperlink>
    </w:p>
    <w:p>
      <w:pPr>
        <w:pStyle w:val="Tabledesmatiresniveau1"/>
        <w:tabs>
          <w:tab w:val="right" w:pos="8300" w:leader="dot"/>
        </w:tabs>
        <w:rPr/>
      </w:pPr>
      <w:hyperlink w:anchor="__RefHeading___Toc938_153342055">
        <w:r>
          <w:rPr>
            <w:rStyle w:val="Sautdindex"/>
          </w:rPr>
          <w:t>Article 7 - PROVENANCE DES FOURNITURES</w:t>
          <w:tab/>
          <w:t>9</w:t>
        </w:r>
      </w:hyperlink>
    </w:p>
    <w:p>
      <w:pPr>
        <w:pStyle w:val="Tabledesmatiresniveau1"/>
        <w:tabs>
          <w:tab w:val="right" w:pos="8300" w:leader="dot"/>
        </w:tabs>
        <w:rPr/>
      </w:pPr>
      <w:hyperlink w:anchor="__RefHeading___Toc940_153342055">
        <w:r>
          <w:rPr>
            <w:rStyle w:val="Sautdindex"/>
          </w:rPr>
          <w:t>Article 8 - DELAI DE VALIDITE DES OFFRES</w:t>
          <w:tab/>
          <w:t>9</w:t>
        </w:r>
      </w:hyperlink>
    </w:p>
    <w:p>
      <w:pPr>
        <w:pStyle w:val="Tabledesmatiresniveau1"/>
        <w:tabs>
          <w:tab w:val="right" w:pos="8300" w:leader="dot"/>
        </w:tabs>
        <w:rPr/>
      </w:pPr>
      <w:hyperlink w:anchor="__RefHeading___Toc9249_2353004807">
        <w:r>
          <w:rPr>
            <w:rStyle w:val="Sautdindex"/>
          </w:rPr>
          <w:t>Article 9 - ENGAGEMENT ET SIGNATURE DU CANDIDAT</w:t>
          <w:tab/>
          <w:t>10</w:t>
        </w:r>
      </w:hyperlink>
    </w:p>
    <w:p>
      <w:pPr>
        <w:pStyle w:val="Tabledesmatiresniveau1"/>
        <w:tabs>
          <w:tab w:val="right" w:pos="8300" w:leader="dot"/>
        </w:tabs>
        <w:rPr/>
      </w:pPr>
      <w:hyperlink w:anchor="__RefHeading___Toc944_153342055">
        <w:r>
          <w:rPr>
            <w:rStyle w:val="Sautdindex"/>
          </w:rPr>
          <w:t>Article 10 - SIGNATURE DU POUVOIR ADJUDICATEUR</w:t>
          <w:tab/>
          <w:t>10</w:t>
        </w:r>
      </w:hyperlink>
    </w:p>
    <w:p>
      <w:pPr>
        <w:pStyle w:val="Tabledesmatiresniveau1"/>
        <w:tabs>
          <w:tab w:val="right" w:pos="8300" w:leader="dot"/>
        </w:tabs>
        <w:rPr/>
      </w:pPr>
      <w:hyperlink w:anchor="__RefHeading___Toc946_153342055">
        <w:r>
          <w:rPr>
            <w:rStyle w:val="Sautdindex"/>
          </w:rPr>
          <w:t>Article 11 - NOTIFICATION DU MARCHE</w:t>
          <w:tab/>
          <w:t>11</w:t>
        </w:r>
      </w:hyperlink>
    </w:p>
    <w:p>
      <w:pPr>
        <w:pStyle w:val="Tabledesmatiresniveau1"/>
        <w:tabs>
          <w:tab w:val="right" w:pos="8300" w:leader="dot"/>
        </w:tabs>
        <w:rPr/>
      </w:pPr>
      <w:hyperlink w:anchor="__RefHeading___Toc948_153342055">
        <w:r>
          <w:rPr>
            <w:rStyle w:val="Sautdindex"/>
          </w:rPr>
          <w:t>Article 12 - EXEMPLAIRE UNIQUE - NANTISSEMENT OU CESSION DE CREANCE</w:t>
          <w:tab/>
          <w:t>12</w:t>
        </w:r>
      </w:hyperlink>
    </w:p>
    <w:p>
      <w:pPr>
        <w:pStyle w:val="Titre1"/>
        <w:widowControl w:val="false"/>
        <w:numPr>
          <w:ilvl w:val="0"/>
          <w:numId w:val="0"/>
        </w:numPr>
        <w:suppressAutoHyphens w:val="true"/>
        <w:jc w:val="left"/>
        <w:textAlignment w:val="baseline"/>
        <w:outlineLvl w:val="0"/>
        <w:rPr/>
      </w:pPr>
      <w:r>
        <w:rPr/>
      </w:r>
      <w:r>
        <w:fldChar w:fldCharType="end"/>
      </w:r>
    </w:p>
    <w:p>
      <w:pPr>
        <w:pStyle w:val="Titre1"/>
        <w:widowControl w:val="false"/>
        <w:numPr>
          <w:ilvl w:val="0"/>
          <w:numId w:val="0"/>
        </w:numPr>
        <w:suppressAutoHyphens w:val="true"/>
        <w:jc w:val="both"/>
        <w:textAlignment w:val="baseline"/>
        <w:outlineLvl w:val="0"/>
        <w:rPr/>
      </w:pPr>
      <w:r>
        <w:rPr/>
      </w:r>
      <w:r>
        <w:br w:type="page"/>
      </w:r>
    </w:p>
    <w:p>
      <w:pPr>
        <w:pStyle w:val="Titre1"/>
        <w:numPr>
          <w:ilvl w:val="0"/>
          <w:numId w:val="2"/>
        </w:numPr>
        <w:jc w:val="both"/>
        <w:rPr/>
      </w:pPr>
      <w:bookmarkStart w:id="0" w:name="__RefHeading___Toc910_153342055"/>
      <w:bookmarkStart w:id="1" w:name="_Toc38615762"/>
      <w:bookmarkStart w:id="2" w:name="_Toc37843166"/>
      <w:bookmarkStart w:id="3" w:name="_Toc38527023"/>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615763"/>
      <w:bookmarkStart w:id="6" w:name="_Toc37843167"/>
      <w:bookmarkStart w:id="7" w:name="_Toc38527024"/>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Standard"/>
        <w:keepNext w:val="false"/>
        <w:bidi w:val="0"/>
        <w:jc w:val="both"/>
        <w:rPr>
          <w:rFonts w:ascii="Arial" w:hAnsi="Arial"/>
          <w:b w:val="false"/>
          <w:b w:val="false"/>
          <w:bCs w:val="false"/>
          <w:i w:val="false"/>
          <w:i w:val="false"/>
          <w:sz w:val="21"/>
          <w:szCs w:val="21"/>
          <w:u w:val="none"/>
        </w:rPr>
      </w:pPr>
      <w:r>
        <w:rPr>
          <w:b w:val="false"/>
          <w:bCs w:val="false"/>
          <w:i w:val="false"/>
          <w:sz w:val="21"/>
          <w:szCs w:val="21"/>
          <w:u w:val="none"/>
        </w:rPr>
        <w:t>La procédure de passation est la suivante : APPEL D‘OFFRES OUVERT – selon les articles R2124-2, R2161-2 à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Allotissement - non</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Prix unitaires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Travaux</w:t>
      </w:r>
    </w:p>
    <w:p>
      <w:pPr>
        <w:pStyle w:val="Titre2"/>
        <w:numPr>
          <w:ilvl w:val="1"/>
          <w:numId w:val="2"/>
        </w:numPr>
        <w:rPr/>
      </w:pPr>
      <w:bookmarkStart w:id="8" w:name="__RefHeading___Toc914_153342055"/>
      <w:bookmarkStart w:id="9" w:name="_Toc38615764"/>
      <w:bookmarkStart w:id="10" w:name="_Toc37843168"/>
      <w:bookmarkStart w:id="11" w:name="_Toc38527025"/>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Madame ou Monsieur le Directeur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rFonts w:ascii="Arial" w:hAnsi="Arial"/>
          <w:b w:val="false"/>
          <w:b w:val="false"/>
          <w:bCs w:val="false"/>
          <w:sz w:val="21"/>
          <w:szCs w:val="21"/>
          <w:u w:val="none"/>
        </w:rPr>
      </w:pPr>
      <w:r>
        <w:rPr>
          <w:rFonts w:ascii="Arial" w:hAnsi="Arial"/>
          <w:b w:val="false"/>
          <w:bCs w:val="false"/>
          <w:sz w:val="21"/>
          <w:szCs w:val="21"/>
          <w:u w:val="none"/>
        </w:rPr>
        <w:t>Service responsable de l'exécution du marché : Direction des Opérations Funéraires</w:t>
      </w:r>
    </w:p>
    <w:p>
      <w:pPr>
        <w:pStyle w:val="Titre2"/>
        <w:numPr>
          <w:ilvl w:val="1"/>
          <w:numId w:val="2"/>
        </w:numPr>
        <w:rPr/>
      </w:pPr>
      <w:bookmarkStart w:id="12" w:name="__RefHeading___Toc916_153342055"/>
      <w:bookmarkStart w:id="13" w:name="_Toc38615765"/>
      <w:bookmarkStart w:id="14" w:name="_Toc37843169"/>
      <w:bookmarkStart w:id="15" w:name="_Toc38527026"/>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615766"/>
      <w:bookmarkStart w:id="18" w:name="_Toc37843170"/>
      <w:bookmarkStart w:id="19" w:name="_Toc38527027"/>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615767"/>
      <w:bookmarkStart w:id="22" w:name="_Toc37843171"/>
      <w:bookmarkStart w:id="23" w:name="_Toc38527028"/>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5"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CCAG de référence – CCAG Fournitures Courantes et Services</w:t>
      </w:r>
    </w:p>
    <w:p>
      <w:pPr>
        <w:pStyle w:val="Titre2"/>
        <w:numPr>
          <w:ilvl w:val="1"/>
          <w:numId w:val="2"/>
        </w:numPr>
        <w:rPr/>
      </w:pPr>
      <w:bookmarkStart w:id="24" w:name="__RefHeading___Toc922_153342055"/>
      <w:bookmarkStart w:id="25" w:name="_Toc38615768"/>
      <w:bookmarkStart w:id="26" w:name="_Toc37843172"/>
      <w:bookmarkStart w:id="27" w:name="_Toc38527029"/>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615769"/>
      <w:bookmarkStart w:id="30" w:name="_Toc37843173"/>
      <w:bookmarkStart w:id="31" w:name="_Toc38527030"/>
      <w:bookmarkEnd w:id="28"/>
      <w:bookmarkEnd w:id="29"/>
      <w:bookmarkEnd w:id="30"/>
      <w:bookmarkEnd w:id="31"/>
      <w:r>
        <w:rPr/>
        <w:t>OBJET</w:t>
      </w:r>
    </w:p>
    <w:p>
      <w:pPr>
        <w:pStyle w:val="Standard"/>
        <w:rPr/>
      </w:pPr>
      <w:r>
        <w:rPr/>
      </w:r>
    </w:p>
    <w:p>
      <w:pPr>
        <w:pStyle w:val="Standard"/>
        <w:rPr/>
      </w:pPr>
      <w:r>
        <w:rPr/>
        <w:t>Construction et pose de caveaux, enfeux, caissons et aménagements annexes dans les carrés des 21 cimetières communaux de la Ville de Marseille</w:t>
      </w:r>
    </w:p>
    <w:p>
      <w:pPr>
        <w:pStyle w:val="Standard"/>
        <w:rPr/>
      </w:pPr>
      <w:r>
        <w:rPr/>
      </w:r>
    </w:p>
    <w:p>
      <w:pPr>
        <w:pStyle w:val="Normal"/>
        <w:rPr/>
      </w:pPr>
      <w:r>
        <w:rPr/>
        <w:t>Allotissement - non</w:t>
      </w:r>
    </w:p>
    <w:p>
      <w:pPr>
        <w:pStyle w:val="Standard"/>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615770"/>
      <w:bookmarkStart w:id="34" w:name="_Toc37843174"/>
      <w:bookmarkStart w:id="35" w:name="_Toc38527031"/>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615771"/>
      <w:bookmarkStart w:id="38" w:name="_Toc37843175"/>
      <w:bookmarkStart w:id="39" w:name="_Toc38527032"/>
      <w:bookmarkEnd w:id="36"/>
      <w:bookmarkEnd w:id="37"/>
      <w:bookmarkEnd w:id="38"/>
      <w:bookmarkEnd w:id="39"/>
      <w:r>
        <w:rPr/>
        <w:t>Forme du prix</w:t>
      </w:r>
    </w:p>
    <w:p>
      <w:pPr>
        <w:pStyle w:val="Standard"/>
        <w:rPr/>
      </w:pPr>
      <w:r>
        <w:rPr/>
      </w:r>
    </w:p>
    <w:p>
      <w:pPr>
        <w:pStyle w:val="Standard"/>
        <w:rPr/>
      </w:pPr>
      <w:r>
        <w:rPr/>
        <w:t>L’accord-cadre sera traité à prix unitaires.</w:t>
      </w:r>
    </w:p>
    <w:p>
      <w:pPr>
        <w:pStyle w:val="Standard"/>
        <w:rPr/>
      </w:pPr>
      <w:r>
        <w:rPr/>
      </w:r>
    </w:p>
    <w:p>
      <w:pPr>
        <w:pStyle w:val="Titre2"/>
        <w:pageBreakBefore w:val="false"/>
        <w:numPr>
          <w:ilvl w:val="1"/>
          <w:numId w:val="2"/>
        </w:numPr>
        <w:rPr/>
      </w:pPr>
      <w:bookmarkStart w:id="40" w:name="__RefHeading___Toc930_153342055"/>
      <w:bookmarkStart w:id="41" w:name="_Toc38615772"/>
      <w:bookmarkStart w:id="42" w:name="_Toc37843176"/>
      <w:bookmarkStart w:id="43" w:name="_Toc38527033"/>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pPr>
      <w:r>
        <w:rPr/>
        <w:t xml:space="preserve">Minimum </w:t>
        <w:tab/>
        <w:tab/>
        <w:tab/>
        <w:tab/>
        <w:t xml:space="preserve">      Sans</w:t>
      </w:r>
    </w:p>
    <w:p>
      <w:pPr>
        <w:pStyle w:val="Standard"/>
        <w:widowControl/>
        <w:suppressAutoHyphens w:val="false"/>
        <w:bidi w:val="0"/>
        <w:jc w:val="left"/>
        <w:rPr/>
      </w:pPr>
      <w:r>
        <w:rPr/>
        <w:t xml:space="preserve">Maximum </w:t>
        <w:tab/>
        <w:tab/>
        <w:tab/>
        <w:t>800 000,00 € HT</w:t>
      </w:r>
    </w:p>
    <w:p>
      <w:pPr>
        <w:pStyle w:val="Standard"/>
        <w:rPr/>
      </w:pPr>
      <w:r>
        <w:rPr/>
      </w:r>
    </w:p>
    <w:p>
      <w:pPr>
        <w:pStyle w:val="Standard"/>
        <w:rPr/>
      </w:pPr>
      <w:r>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r>
        <w:br w:type="page"/>
      </w:r>
    </w:p>
    <w:p>
      <w:pPr>
        <w:pStyle w:val="Normal"/>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4" w:name="__RefHeading___Toc932_153342055"/>
      <w:bookmarkStart w:id="45" w:name="_Toc38615773"/>
      <w:bookmarkStart w:id="46" w:name="_Toc37843177"/>
      <w:bookmarkStart w:id="47" w:name="_Toc38527034"/>
      <w:bookmarkEnd w:id="44"/>
      <w:bookmarkEnd w:id="45"/>
      <w:bookmarkEnd w:id="46"/>
      <w:bookmarkEnd w:id="47"/>
      <w:r>
        <w:rPr/>
        <w:t>Sous traitance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pPr>
      <w:r>
        <w:rPr>
          <w:rFonts w:eastAsia="Arial" w:cs="Arial" w:ascii="Arial" w:hAnsi="Arial"/>
          <w:b w:val="false"/>
          <w:bCs w:val="false"/>
          <w:sz w:val="21"/>
          <w:szCs w:val="21"/>
          <w:lang w:val="de-DE" w:eastAsia="ja-JP" w:bidi="fa-IR"/>
        </w:rPr>
        <w:t>Nature des prestations - Travaux</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sz w:val="21"/>
          <w:szCs w:val="21"/>
        </w:rPr>
      </w:pPr>
      <w:r>
        <w:rPr>
          <w:rFonts w:eastAsia="Arial" w:cs="Arial" w:ascii="Arial" w:hAnsi="Arial"/>
          <w:b w:val="false"/>
          <w:bCs w:val="false"/>
          <w:sz w:val="21"/>
          <w:szCs w:val="21"/>
          <w:lang w:val="de-DE" w:eastAsia="ja-JP" w:bidi="fa-IR"/>
        </w:rPr>
        <w:t xml:space="preserve">(Dans le cas où l'entreprise ne présenterait pas de sous-traitant, maintenir le </w:t>
      </w:r>
      <w:r>
        <w:rPr>
          <w:rFonts w:ascii="Arial" w:hAnsi="Arial"/>
          <w:sz w:val="21"/>
          <w:szCs w:val="21"/>
        </w:rPr>
        <w:t>présent paragraphe sans le compléter et en le barrant.)</w:t>
      </w:r>
    </w:p>
    <w:p>
      <w:pPr>
        <w:pStyle w:val="Normal"/>
        <w:jc w:val="both"/>
        <w:rPr>
          <w:rFonts w:ascii="Arial" w:hAnsi="Arial"/>
          <w:sz w:val="21"/>
          <w:szCs w:val="21"/>
        </w:rPr>
      </w:pPr>
      <w:r>
        <w:rPr>
          <w:rFonts w:ascii="Arial" w:hAnsi="Arial"/>
          <w:sz w:val="21"/>
          <w:szCs w:val="21"/>
        </w:rPr>
        <w:t>Les déclarations de sous traitance (imprimé DC4 disponible à l'adresse suivante :</w:t>
      </w:r>
    </w:p>
    <w:p>
      <w:pPr>
        <w:pStyle w:val="Normal"/>
        <w:jc w:val="both"/>
        <w:rPr>
          <w:rFonts w:ascii="Arial" w:hAnsi="Arial"/>
          <w:sz w:val="21"/>
          <w:szCs w:val="21"/>
        </w:rPr>
      </w:pPr>
      <w:r>
        <w:rPr>
          <w:rFonts w:ascii="Arial" w:hAnsi="Arial"/>
          <w:sz w:val="21"/>
          <w:szCs w:val="21"/>
        </w:rPr>
        <w:t>http://www.economie.gouv.fr/daj/formulaires )</w:t>
      </w:r>
    </w:p>
    <w:p>
      <w:pPr>
        <w:pStyle w:val="Normal"/>
        <w:jc w:val="both"/>
        <w:rPr>
          <w:rFonts w:ascii="Arial" w:hAnsi="Arial"/>
          <w:sz w:val="21"/>
          <w:szCs w:val="21"/>
        </w:rPr>
      </w:pPr>
      <w:r>
        <w:rPr>
          <w:rFonts w:ascii="Arial" w:hAnsi="Arial"/>
          <w:sz w:val="21"/>
          <w:szCs w:val="21"/>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jc w:val="both"/>
        <w:rPr>
          <w:rFonts w:ascii="Arial" w:hAnsi="Arial"/>
          <w:sz w:val="21"/>
          <w:szCs w:val="21"/>
        </w:rPr>
      </w:pPr>
      <w:r>
        <w:rPr>
          <w:rFonts w:ascii="Arial" w:hAnsi="Arial"/>
          <w:sz w:val="21"/>
          <w:szCs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t>Le relevé bancaire (BIC ou IBAN) du sous-traitant est joint.</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 montant total des prestations que j'envisage de sous-traiter conformément à</w:t>
      </w:r>
    </w:p>
    <w:p>
      <w:pPr>
        <w:pStyle w:val="Normal"/>
        <w:jc w:val="both"/>
        <w:rPr>
          <w:rFonts w:ascii="Arial" w:hAnsi="Arial"/>
          <w:sz w:val="21"/>
          <w:szCs w:val="21"/>
        </w:rPr>
      </w:pPr>
      <w:r>
        <w:rPr>
          <w:rFonts w:ascii="Arial" w:hAnsi="Arial"/>
          <w:sz w:val="21"/>
          <w:szCs w:val="21"/>
        </w:rPr>
        <w:t>cette(ces) annexe(s) est de :</w:t>
      </w:r>
    </w:p>
    <w:p>
      <w:pPr>
        <w:pStyle w:val="Normal"/>
        <w:jc w:val="both"/>
        <w:rPr>
          <w:rFonts w:ascii="Arial" w:hAnsi="Arial"/>
          <w:sz w:val="21"/>
          <w:szCs w:val="21"/>
        </w:rPr>
      </w:pPr>
      <w:r>
        <w:rPr>
          <w:rFonts w:ascii="Arial" w:hAnsi="Arial"/>
          <w:sz w:val="21"/>
          <w:szCs w:val="21"/>
        </w:rPr>
        <w:t>En chiffres : .........................................................€ HT</w:t>
      </w:r>
    </w:p>
    <w:p>
      <w:pPr>
        <w:pStyle w:val="Normal"/>
        <w:jc w:val="both"/>
        <w:rPr>
          <w:rFonts w:ascii="Arial" w:hAnsi="Arial"/>
          <w:sz w:val="21"/>
          <w:szCs w:val="21"/>
        </w:rPr>
      </w:pPr>
      <w:r>
        <w:rPr>
          <w:rFonts w:ascii="Arial" w:hAnsi="Arial"/>
          <w:sz w:val="21"/>
          <w:szCs w:val="21"/>
        </w:rPr>
        <w:t>En chiffres : ........................................................ € TTC</w:t>
      </w:r>
    </w:p>
    <w:p>
      <w:pPr>
        <w:pStyle w:val="Normal"/>
        <w:jc w:val="both"/>
        <w:rPr>
          <w:rFonts w:ascii="Arial" w:hAnsi="Arial"/>
          <w:sz w:val="21"/>
          <w:szCs w:val="21"/>
        </w:rPr>
      </w:pPr>
      <w:r>
        <w:rPr>
          <w:rFonts w:ascii="Arial" w:hAnsi="Arial"/>
          <w:sz w:val="21"/>
          <w:szCs w:val="21"/>
        </w:rPr>
        <w:t>En</w:t>
      </w:r>
    </w:p>
    <w:p>
      <w:pPr>
        <w:pStyle w:val="Normal"/>
        <w:jc w:val="both"/>
        <w:rPr>
          <w:rFonts w:ascii="Arial" w:hAnsi="Arial"/>
          <w:sz w:val="21"/>
          <w:szCs w:val="21"/>
        </w:rPr>
      </w:pPr>
      <w:r>
        <w:rPr>
          <w:rFonts w:ascii="Arial" w:hAnsi="Arial"/>
          <w:sz w:val="21"/>
          <w:szCs w:val="21"/>
        </w:rPr>
        <w:t>lettres :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Déduction faite de l'ensemble des prestations sous-traitées, le montant maximal de la   que je pourrai présenter en nantissement en tant qu'entrepreneur titulaire du marché est ainsi ramené à :</w:t>
      </w:r>
    </w:p>
    <w:p>
      <w:pPr>
        <w:pStyle w:val="Normal"/>
        <w:jc w:val="both"/>
        <w:rPr>
          <w:rFonts w:ascii="Arial" w:hAnsi="Arial"/>
          <w:sz w:val="21"/>
          <w:szCs w:val="21"/>
        </w:rPr>
      </w:pPr>
      <w:r>
        <w:rPr>
          <w:rFonts w:ascii="Arial" w:hAnsi="Arial"/>
          <w:sz w:val="21"/>
          <w:szCs w:val="21"/>
        </w:rPr>
        <w:t>Montant total du marché € HT : ............................................................</w:t>
      </w:r>
    </w:p>
    <w:p>
      <w:pPr>
        <w:pStyle w:val="Normal"/>
        <w:jc w:val="both"/>
        <w:rPr>
          <w:rFonts w:ascii="Arial" w:hAnsi="Arial"/>
          <w:sz w:val="21"/>
          <w:szCs w:val="21"/>
        </w:rPr>
      </w:pPr>
      <w:r>
        <w:rPr>
          <w:rFonts w:ascii="Arial" w:hAnsi="Arial"/>
          <w:sz w:val="21"/>
          <w:szCs w:val="21"/>
        </w:rPr>
        <w:t>Montant total du marché € TTC : ............................................................</w:t>
      </w:r>
    </w:p>
    <w:p>
      <w:pPr>
        <w:pStyle w:val="Normal"/>
        <w:jc w:val="both"/>
        <w:rPr>
          <w:rFonts w:ascii="Arial" w:hAnsi="Arial"/>
          <w:sz w:val="21"/>
          <w:szCs w:val="21"/>
        </w:rPr>
      </w:pPr>
      <w:r>
        <w:rPr>
          <w:rFonts w:ascii="Arial" w:hAnsi="Arial"/>
          <w:sz w:val="21"/>
          <w:szCs w:val="21"/>
        </w:rPr>
        <w:t>Montant acte(s) de sous-traitance € TTC : ..........</w:t>
      </w:r>
    </w:p>
    <w:p>
      <w:pPr>
        <w:pStyle w:val="Normal"/>
        <w:jc w:val="both"/>
        <w:rPr>
          <w:rFonts w:ascii="Arial" w:hAnsi="Arial"/>
          <w:sz w:val="21"/>
          <w:szCs w:val="21"/>
        </w:rPr>
      </w:pPr>
      <w:r>
        <w:rPr>
          <w:rFonts w:ascii="Arial" w:hAnsi="Arial"/>
          <w:sz w:val="21"/>
          <w:szCs w:val="21"/>
        </w:rPr>
        <w:t>Montant maximal de la créance pouvant être présentée en nantissement € HT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Montant maximal de la créance pouvant être présentée en nantissement € TTC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 xml:space="preserve">Les déclarations à remplir par le(les) sous-traitant(s) énumérées ci-dessus sont annexées au présent acte d'engagement. </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48" w:name="__RefHeading___Toc934_153342055"/>
      <w:bookmarkStart w:id="49" w:name="_Toc38615774"/>
      <w:bookmarkStart w:id="50" w:name="_Toc37843178"/>
      <w:bookmarkStart w:id="51" w:name="_Toc38527035"/>
      <w:bookmarkEnd w:id="48"/>
      <w:bookmarkEnd w:id="49"/>
      <w:bookmarkEnd w:id="50"/>
      <w:bookmarkEnd w:id="51"/>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rFonts w:ascii="Arial" w:hAnsi="Arial" w:eastAsia="Arial" w:cs="Arial"/>
          <w:color w:val="00000A"/>
          <w:sz w:val="21"/>
          <w:szCs w:val="24"/>
          <w:lang w:val="de-DE" w:eastAsia="ja-JP" w:bidi="fa-IR"/>
        </w:rPr>
      </w:pPr>
      <w:r>
        <w:rPr>
          <w:lang w:val="de-DE" w:eastAsia="ja-JP" w:bidi="fa-IR"/>
        </w:rPr>
        <w:t>Je renonce au bénéfice de l’avance (Cf Article 9 du CCAP) : oui/non</w:t>
      </w:r>
    </w:p>
    <w:p>
      <w:pPr>
        <w:pStyle w:val="Standard"/>
        <w:keepNext w:val="false"/>
        <w:keepLines w:val="false"/>
        <w:suppressAutoHyphens w:val="true"/>
        <w:rPr>
          <w:rFonts w:ascii="Arial" w:hAnsi="Arial" w:eastAsia="Arial" w:cs="Arial"/>
          <w:color w:val="00000A"/>
          <w:sz w:val="21"/>
          <w:szCs w:val="24"/>
          <w:lang w:val="de-DE" w:eastAsia="ja-JP" w:bidi="fa-IR"/>
        </w:rPr>
      </w:pPr>
      <w:r>
        <w:rPr>
          <w:lang w:val="de-DE" w:eastAsia="ja-JP" w:bidi="fa-IR"/>
        </w:rPr>
        <w:t>(Rayer la mention inutile)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lang w:val="de-DE" w:eastAsia="ja-JP" w:bidi="fa-IR"/>
        </w:rPr>
      </w:pPr>
      <w:r>
        <w:rPr>
          <w:lang w:val="de-DE" w:eastAsia="ja-JP" w:bidi="fa-I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52" w:name="__RefHeading___Toc936_153342055"/>
      <w:bookmarkStart w:id="53" w:name="_Toc38615775"/>
      <w:bookmarkStart w:id="54" w:name="_Toc37843179"/>
      <w:bookmarkStart w:id="55" w:name="_Toc38527036"/>
      <w:bookmarkEnd w:id="52"/>
      <w:bookmarkEnd w:id="53"/>
      <w:bookmarkEnd w:id="54"/>
      <w:bookmarkEnd w:id="55"/>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6" w:name="__RefHeading___Toc938_153342055"/>
      <w:bookmarkEnd w:id="56"/>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7" w:name="__RefHeading___Toc940_153342055"/>
      <w:bookmarkStart w:id="58" w:name="_Toc38615776"/>
      <w:bookmarkStart w:id="59" w:name="_Toc37843180"/>
      <w:bookmarkStart w:id="60" w:name="_Toc38527037"/>
      <w:bookmarkEnd w:id="57"/>
      <w:bookmarkEnd w:id="58"/>
      <w:bookmarkEnd w:id="59"/>
      <w:bookmarkEnd w:id="60"/>
      <w:r>
        <w:rPr/>
        <w:t>DELAI DE VALIDITE DES OFFRES</w:t>
      </w:r>
    </w:p>
    <w:p>
      <w:pPr>
        <w:pStyle w:val="Standard"/>
        <w:rPr/>
      </w:pPr>
      <w:r>
        <w:rPr/>
      </w:r>
    </w:p>
    <w:p>
      <w:pPr>
        <w:pStyle w:val="Standard"/>
        <w:rPr/>
      </w:pPr>
      <w:r>
        <w:rPr/>
        <w:t>Le candidat est tenu de maintenir son offre, à compter de la date limite de remise des offres, pendant un délai de 6 mois.</w:t>
      </w:r>
    </w:p>
    <w:p>
      <w:pPr>
        <w:pStyle w:val="Standard"/>
        <w:rPr/>
      </w:pPr>
      <w:r>
        <w:rPr/>
      </w:r>
    </w:p>
    <w:p>
      <w:pPr>
        <w:pStyle w:val="Standard"/>
        <w:rPr/>
      </w:pPr>
      <w:r>
        <w:rPr/>
      </w:r>
    </w:p>
    <w:p>
      <w:pPr>
        <w:pStyle w:val="Titre1"/>
        <w:pageBreakBefore w:val="false"/>
        <w:numPr>
          <w:ilvl w:val="0"/>
          <w:numId w:val="2"/>
        </w:numPr>
        <w:rPr/>
      </w:pPr>
      <w:bookmarkStart w:id="61" w:name="__RefHeading___Toc9249_2353004807"/>
      <w:bookmarkEnd w:id="61"/>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Standard"/>
        <w:rPr>
          <w:rFonts w:ascii="Arial" w:hAnsi="Arial"/>
          <w:b w:val="false"/>
          <w:b w:val="false"/>
          <w:i w:val="false"/>
          <w:i w:val="false"/>
          <w:sz w:val="21"/>
          <w:szCs w:val="21"/>
          <w:u w:val="none"/>
        </w:rPr>
      </w:pPr>
      <w:r>
        <w:rPr>
          <w:b w:val="false"/>
          <w:i w:val="false"/>
          <w:sz w:val="21"/>
          <w:szCs w:val="21"/>
          <w:u w:val="none"/>
        </w:rPr>
        <w:t>Clause de protection des données (RGPD)</w:t>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Dans le cadre de leurs relations contractuelles, les parties s’engagent à respecter la </w:t>
      </w:r>
      <w:r>
        <w:rPr>
          <w:rFonts w:ascii="Arial" w:hAnsi="Arial"/>
          <w:sz w:val="21"/>
          <w:szCs w:val="21"/>
        </w:rPr>
        <w:t xml:space="preserve">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RGPD »).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L’ensemble des conditions sont définies dans l’annexe « Protection des données » au présent Acte d'engagement</w:t>
      </w:r>
    </w:p>
    <w:p>
      <w:pPr>
        <w:pStyle w:val="Standard"/>
        <w:jc w:val="both"/>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Standard"/>
        <w:rPr/>
      </w:pPr>
      <w:r>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r>
      <w:r>
        <w:br w:type="page"/>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r>
    </w:p>
    <w:p>
      <w:pPr>
        <w:pStyle w:val="Standard"/>
        <w:rPr/>
      </w:pPr>
      <w:r>
        <w:rPr/>
        <w:t>A ......................................., le .......................................</w:t>
      </w:r>
    </w:p>
    <w:p>
      <w:pPr>
        <w:pStyle w:val="Standard"/>
        <w:rPr/>
      </w:pPr>
      <w:r>
        <w:rPr/>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2" w:name="__RefHeading___Toc944_153342055"/>
      <w:bookmarkStart w:id="63" w:name="_Toc38615778"/>
      <w:bookmarkStart w:id="64" w:name="_Toc37843182"/>
      <w:bookmarkStart w:id="65" w:name="_Toc38527039"/>
      <w:bookmarkEnd w:id="62"/>
      <w:bookmarkEnd w:id="63"/>
      <w:bookmarkEnd w:id="64"/>
      <w:bookmarkEnd w:id="65"/>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la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Monsieur l‘Adjoint à la Maire</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pPr>
      <w:r>
        <w:rPr>
          <w:b w:val="false"/>
          <w:bCs w:val="false"/>
        </w:rPr>
        <w:t>Joël CANICAVE</w:t>
      </w:r>
    </w:p>
    <w:p>
      <w:pPr>
        <w:pStyle w:val="Standard"/>
        <w:rPr>
          <w:b w:val="false"/>
          <w:b w:val="false"/>
          <w:bCs w:val="false"/>
        </w:rPr>
      </w:pPr>
      <w:r>
        <w:rPr>
          <w:b w:val="false"/>
          <w:bCs w:val="false"/>
        </w:rPr>
      </w:r>
    </w:p>
    <w:p>
      <w:pPr>
        <w:pStyle w:val="Standard"/>
        <w:rPr>
          <w:b w:val="false"/>
          <w:b w:val="false"/>
          <w:bCs w:val="false"/>
        </w:rPr>
      </w:pPr>
      <w:r>
        <w:rPr>
          <w:b w:val="false"/>
          <w:bCs w:val="false"/>
        </w:rPr>
      </w:r>
    </w:p>
    <w:p>
      <w:pPr>
        <w:pStyle w:val="Titre1"/>
        <w:widowControl w:val="false"/>
        <w:numPr>
          <w:ilvl w:val="0"/>
          <w:numId w:val="0"/>
        </w:numPr>
        <w:suppressAutoHyphens w:val="true"/>
        <w:jc w:val="both"/>
        <w:textAlignment w:val="baseline"/>
        <w:outlineLvl w:val="0"/>
        <w:rPr>
          <w:b w:val="false"/>
          <w:b w:val="false"/>
          <w:bCs w:val="false"/>
        </w:rPr>
      </w:pPr>
      <w:r>
        <w:rPr>
          <w:b w:val="false"/>
          <w:bCs w:val="false"/>
        </w:rPr>
      </w:r>
    </w:p>
    <w:p>
      <w:pPr>
        <w:pStyle w:val="Titre1"/>
        <w:pageBreakBefore w:val="false"/>
        <w:numPr>
          <w:ilvl w:val="0"/>
          <w:numId w:val="2"/>
        </w:numPr>
        <w:jc w:val="both"/>
        <w:rPr/>
      </w:pPr>
      <w:bookmarkStart w:id="66" w:name="__RefHeading___Toc946_153342055"/>
      <w:bookmarkEnd w:id="66"/>
      <w:r>
        <w:rPr/>
        <w:t>NOTIFICATION DU MARCHE</w:t>
      </w:r>
    </w:p>
    <w:p>
      <w:pPr>
        <w:pStyle w:val="Standard"/>
        <w:rPr/>
      </w:pPr>
      <w:r>
        <w:rPr/>
      </w:r>
    </w:p>
    <w:p>
      <w:pPr>
        <w:pStyle w:val="Normal"/>
        <w:jc w:val="both"/>
        <w:rPr>
          <w:rFonts w:ascii="Arial" w:hAnsi="Arial"/>
          <w:sz w:val="21"/>
          <w:szCs w:val="21"/>
        </w:rPr>
      </w:pPr>
      <w:r>
        <w:rPr>
          <w:rFonts w:ascii="Arial" w:hAnsi="Arial"/>
          <w:sz w:val="21"/>
          <w:szCs w:val="21"/>
        </w:rPr>
        <w:t>En cas de remise contre récépissé, le titulaire signera la formule ci-dessous :</w:t>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"Reçu à titre de notification une copie du présent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 le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Signature du titulaire</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En cas d'envoi en recommandé avec accusé de réception, l'avis de réception postal, daté et signé du titulaire sera annexé au présent document.</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 xml:space="preserve">En cas de notification par voie électronique, indiquer la date et l'heure d'accusé de réception de la présente notification par le titulaire. </w:t>
      </w:r>
      <w:r>
        <w:br w:type="page"/>
      </w:r>
    </w:p>
    <w:p>
      <w:pPr>
        <w:pStyle w:val="Titre1"/>
        <w:numPr>
          <w:ilvl w:val="0"/>
          <w:numId w:val="2"/>
        </w:numPr>
        <w:rPr/>
      </w:pPr>
      <w:bookmarkStart w:id="67" w:name="__RefHeading___Toc948_153342055"/>
      <w:bookmarkStart w:id="68" w:name="_Toc38615779"/>
      <w:bookmarkStart w:id="69" w:name="_Toc37843183"/>
      <w:bookmarkStart w:id="70" w:name="_Toc38527040"/>
      <w:bookmarkEnd w:id="67"/>
      <w:bookmarkEnd w:id="68"/>
      <w:bookmarkEnd w:id="69"/>
      <w:bookmarkEnd w:id="70"/>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Direction / Service :  DGASP-DOF-SCC (30323)</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l'attention de : Madame ou Monsieur le Directeur des Opérations Funéraires</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Adresse : 380 rue Saint Pierre</w:t>
      </w:r>
    </w:p>
    <w:p>
      <w:pPr>
        <w:pStyle w:val="Normal"/>
        <w:jc w:val="both"/>
        <w:rPr>
          <w:rFonts w:ascii="Arial" w:hAnsi="Arial"/>
          <w:sz w:val="21"/>
          <w:szCs w:val="21"/>
        </w:rPr>
      </w:pPr>
      <w:r>
        <w:rPr>
          <w:rFonts w:ascii="Arial" w:hAnsi="Arial"/>
          <w:sz w:val="21"/>
          <w:szCs w:val="21"/>
        </w:rPr>
        <w:t>Code postal : 13233 Marseille cedex 20</w:t>
      </w:r>
    </w:p>
    <w:p>
      <w:pPr>
        <w:pStyle w:val="Normal"/>
        <w:jc w:val="both"/>
        <w:rPr>
          <w:rFonts w:ascii="Arial" w:hAnsi="Arial"/>
          <w:sz w:val="21"/>
          <w:szCs w:val="21"/>
        </w:rPr>
      </w:pPr>
      <w:r>
        <w:rPr>
          <w:rFonts w:ascii="Arial" w:hAnsi="Arial"/>
          <w:sz w:val="21"/>
          <w:szCs w:val="21"/>
        </w:rPr>
        <w:t>Tél : 04 91 14 67 00</w:t>
      </w:r>
    </w:p>
    <w:p>
      <w:pPr>
        <w:pStyle w:val="Standard"/>
        <w:rPr/>
      </w:pPr>
      <w:r>
        <w:rPr/>
      </w:r>
    </w:p>
    <w:p>
      <w:pPr>
        <w:pStyle w:val="Standard"/>
        <w:rPr/>
      </w:pPr>
      <w:r>
        <w:rPr/>
        <w:t>A remplir par l'administration (pouvoir adjudicateur) en original sur une photocopie</w:t>
      </w:r>
    </w:p>
    <w:p>
      <w:pPr>
        <w:pStyle w:val="Standard"/>
        <w:rPr/>
      </w:pPr>
      <w:r>
        <w:rPr/>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3"/>
      <w:footerReference w:type="first" r:id="rId4"/>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 xml:space="preserve">Ville de Marseille AE </w:t>
    </w:r>
  </w:p>
  <w:p>
    <w:pPr>
      <w:pStyle w:val="Pieddepage"/>
      <w:pBdr>
        <w:top w:val="single" w:sz="2" w:space="0" w:color="000001"/>
        <w:left w:val="single" w:sz="2" w:space="0" w:color="000001"/>
        <w:bottom w:val="single" w:sz="2" w:space="0" w:color="000001"/>
        <w:right w:val="single" w:sz="2" w:space="18" w:color="000001"/>
      </w:pBdr>
      <w:tabs>
        <w:tab w:val="center" w:pos="4818" w:leader="none"/>
        <w:tab w:val="center" w:pos="7875" w:leader="none"/>
        <w:tab w:val="right" w:pos="9637" w:leader="none"/>
      </w:tabs>
      <w:rPr/>
    </w:pPr>
    <w:r>
      <w:rPr>
        <w:rFonts w:ascii="Arial" w:hAnsi="Arial"/>
        <w:sz w:val="18"/>
        <w:szCs w:val="18"/>
        <w:shd w:fill="FFFFFF" w:val="clear"/>
        <w:lang w:val="fr-FR"/>
      </w:rPr>
      <w:t>Construction et pose de caveaux, enfeus, caissons et aménagements annexes dans les carrées des 21 cimetières communaux</w:t>
    </w:r>
    <w:r>
      <w:rPr/>
      <w:tab/>
    </w:r>
    <w:r>
      <w:rPr/>
      <w:fldChar w:fldCharType="begin"/>
    </w:r>
    <w:r>
      <w:instrText> PAGE </w:instrText>
    </w:r>
    <w:r>
      <w:fldChar w:fldCharType="separate"/>
    </w:r>
    <w:r>
      <w:t>12</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
      <w:lvlJc w:val="left"/>
      <w:pPr>
        <w:ind w:left="0" w:hanging="-283"/>
      </w:pPr>
    </w:lvl>
    <w:lvl w:ilvl="1">
      <w:start w:val="1"/>
      <w:pStyle w:val="Titre2"/>
      <w:numFmt w:val="decimal"/>
      <w:lvlText w:val="%2"/>
      <w:lvlJc w:val="left"/>
      <w:pPr>
        <w:ind w:left="0" w:hanging="-283"/>
      </w:pPr>
    </w:lvl>
    <w:lvl w:ilvl="2">
      <w:start w:val="1"/>
      <w:pStyle w:val="Titre3"/>
      <w:numFmt w:val="decimal"/>
      <w:lvlText w:val="%2.%3"/>
      <w:lvlJc w:val="left"/>
      <w:pPr>
        <w:ind w:left="0" w:hanging="-283"/>
      </w:pPr>
    </w:lvl>
    <w:lvl w:ilvl="3">
      <w:start w:val="1"/>
      <w:pStyle w:val="Titre4"/>
      <w:numFmt w:val="lowerLetter"/>
      <w:lvlText w:val="%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Application>LibreOffice/5.3.6.1$Windows_x86 LibreOffice_project/686f202eff87ef707079aeb7f485847613344eb7</Application>
  <Pages>12</Pages>
  <Words>2479</Words>
  <Characters>17137</Characters>
  <CharactersWithSpaces>19453</CharactersWithSpaces>
  <Paragraphs>287</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2021-01-19T15:00:54Z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