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46760" cy="80010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46760" cy="800100"/>
                    </a:xfrm>
                    <a:prstGeom prst="rect">
                      <a:avLst/>
                    </a:prstGeom>
                  </pic:spPr>
                </pic:pic>
              </a:graphicData>
            </a:graphic>
          </wp:anchor>
        </w:drawing>
      </w:r>
    </w:p>
    <w:p>
      <w:pPr>
        <w:pStyle w:val="Standard20"/>
        <w:rPr/>
      </w:pPr>
      <w:r>
        <w:rPr/>
      </w:r>
    </w:p>
    <w:p>
      <w:pPr>
        <w:pStyle w:val="PA"/>
        <w:rPr/>
      </w:pPr>
      <w:r>
        <w:rPr/>
        <w:t>Pouvoir adjudicateur</w:t>
      </w:r>
    </w:p>
    <w:p>
      <w:pPr>
        <w:pStyle w:val="Textbody"/>
        <w:rPr/>
      </w:pPr>
      <w:r>
        <w:rPr/>
      </w:r>
    </w:p>
    <w:p>
      <w:pPr>
        <w:pStyle w:val="Direction"/>
        <w:rPr/>
      </w:pPr>
      <w:r>
        <w:rPr/>
        <w:t>DGASP-DOF-SCC (30323)</w:t>
      </w:r>
    </w:p>
    <w:p>
      <w:pPr>
        <w:pStyle w:val="Textbody"/>
        <w:rPr/>
      </w:pPr>
      <w:bookmarkStart w:id="0" w:name="_GoBack"/>
      <w:bookmarkStart w:id="1" w:name="_GoBack"/>
      <w:bookmarkEnd w:id="1"/>
      <w:r>
        <w:rPr/>
      </w:r>
    </w:p>
    <w:p>
      <w:pPr>
        <w:pStyle w:val="Textbody"/>
        <w:rPr/>
      </w:pPr>
      <w:r>
        <w:rPr/>
      </w:r>
    </w:p>
    <w:p>
      <w:pPr>
        <w:pStyle w:val="TypeDocument3"/>
        <w:rPr/>
      </w:pPr>
      <w:r>
        <w:rPr/>
        <w:t>Cahier des Clauses Administratives Particulières</w:t>
      </w:r>
    </w:p>
    <w:p>
      <w:pPr>
        <w:pStyle w:val="TypeDocument3"/>
        <w:rPr/>
      </w:pPr>
      <w:r>
        <w:rPr/>
      </w:r>
    </w:p>
    <w:p>
      <w:pPr>
        <w:pStyle w:val="Intitule2"/>
        <w:rPr/>
      </w:pPr>
      <w:r>
        <w:rPr/>
      </w:r>
    </w:p>
    <w:p>
      <w:pPr>
        <w:pStyle w:val="Intitule2"/>
        <w:rPr/>
      </w:pPr>
      <w:r>
        <w:rPr/>
        <w:t>OPERATIONS DE CREMATION DE CORPS OU DE RESTES DE CORPS ISSUS DE REPRISES ADMINISTRATIVES DES CIMETIERES DE LA VILLE DE MARSEILLE</w:t>
      </w:r>
    </w:p>
    <w:p>
      <w:pPr>
        <w:pStyle w:val="Intitule2"/>
        <w:rPr/>
      </w:pPr>
      <w:r>
        <w:rPr/>
      </w:r>
    </w:p>
    <w:p>
      <w:pPr>
        <w:pStyle w:val="Textbody"/>
        <w:rPr/>
      </w:pPr>
      <w:r>
        <w:rPr/>
      </w:r>
    </w:p>
    <w:p>
      <w:pPr>
        <w:pStyle w:val="Textbody"/>
        <w:rPr/>
      </w:pPr>
      <w:r>
        <w:rPr/>
      </w:r>
    </w:p>
    <w:p>
      <w:pPr>
        <w:pStyle w:val="Textbody"/>
        <w:rPr/>
      </w:pPr>
      <w:r>
        <w:rPr/>
      </w:r>
    </w:p>
    <w:p>
      <w:pPr>
        <w:pStyle w:val="NumeroConsultation"/>
        <w:ind w:left="1134" w:right="0" w:hanging="0"/>
        <w:jc w:val="left"/>
        <w:rPr/>
      </w:pPr>
      <w:r>
        <w:rPr/>
        <w:t>Numéro de la consultation</w:t>
        <w:tab/>
        <w:t>:</w:t>
        <w:tab/>
      </w:r>
      <w:r>
        <w:rPr>
          <w:shd w:fill="FFFFFF" w:val="clear"/>
        </w:rPr>
        <w:t>2020_40302_0012</w:t>
      </w:r>
    </w:p>
    <w:p>
      <w:pPr>
        <w:pStyle w:val="Standard"/>
        <w:ind w:left="1134" w:right="0" w:hanging="0"/>
        <w:jc w:val="left"/>
        <w:rPr>
          <w:shd w:fill="FFFFFF" w:val="clear"/>
        </w:rPr>
      </w:pPr>
      <w:r>
        <w:rPr>
          <w:shd w:fill="FFFFFF" w:val="clear"/>
        </w:rPr>
      </w:r>
    </w:p>
    <w:p>
      <w:pPr>
        <w:pStyle w:val="Standard"/>
        <w:ind w:left="1134" w:right="0" w:hanging="0"/>
        <w:jc w:val="left"/>
        <w:rPr/>
      </w:pPr>
      <w:r>
        <w:rPr/>
      </w:r>
    </w:p>
    <w:p>
      <w:pPr>
        <w:pStyle w:val="Procedure"/>
        <w:ind w:left="1134" w:right="0" w:hanging="0"/>
        <w:jc w:val="left"/>
        <w:rPr/>
      </w:pPr>
      <w:r>
        <w:rPr/>
        <w:t>Procédure de passation :</w:t>
        <w:tab/>
        <w:tab/>
      </w:r>
      <w:r>
        <w:rPr>
          <w:shd w:fill="FFFFFF" w:val="clear"/>
        </w:rPr>
        <w:t>Procédure adaptée</w:t>
      </w:r>
    </w:p>
    <w:p>
      <w:pPr>
        <w:pStyle w:val="Standard"/>
        <w:ind w:left="1134" w:right="0" w:hanging="0"/>
        <w:jc w:val="left"/>
        <w:rPr>
          <w:shd w:fill="FFFFFF" w:val="clear"/>
        </w:rPr>
      </w:pPr>
      <w:r>
        <w:rPr>
          <w:shd w:fill="FFFFFF" w:val="clear"/>
        </w:rPr>
      </w:r>
    </w:p>
    <w:p>
      <w:pPr>
        <w:pStyle w:val="Standard"/>
        <w:ind w:left="1134" w:right="0" w:hanging="0"/>
        <w:jc w:val="left"/>
        <w:rPr>
          <w:shd w:fill="FFFFFF" w:val="clear"/>
        </w:rPr>
      </w:pPr>
      <w:r>
        <w:rPr>
          <w:shd w:fill="FFFFFF" w:val="clear"/>
        </w:rPr>
      </w:r>
    </w:p>
    <w:p>
      <w:pPr>
        <w:pStyle w:val="DateLimite"/>
        <w:ind w:left="1134" w:right="0" w:hanging="0"/>
        <w:jc w:val="left"/>
        <w:rPr/>
      </w:pPr>
      <w:r>
        <w:rPr/>
        <w:t>Date de notification :</w:t>
      </w:r>
    </w:p>
    <w:p>
      <w:pPr>
        <w:pStyle w:val="DateLimite"/>
        <w:ind w:left="1134" w:right="0" w:hanging="0"/>
        <w:jc w:val="left"/>
        <w:rPr/>
      </w:pPr>
      <w:r>
        <w:rPr/>
      </w:r>
    </w:p>
    <w:p>
      <w:pPr>
        <w:pStyle w:val="Standard"/>
        <w:ind w:left="1134" w:right="0" w:hanging="0"/>
        <w:jc w:val="left"/>
        <w:rPr/>
      </w:pPr>
      <w:r>
        <w:rPr/>
      </w:r>
    </w:p>
    <w:p>
      <w:pPr>
        <w:pStyle w:val="Standard"/>
        <w:rPr/>
      </w:pPr>
      <w:r>
        <w:rPr/>
      </w:r>
      <w:r>
        <w:br w:type="page"/>
      </w:r>
    </w:p>
    <w:p>
      <w:pPr>
        <w:pStyle w:val="Normal"/>
        <w:pBdr>
          <w:top w:val="single" w:sz="4" w:space="1" w:color="000001"/>
          <w:left w:val="single" w:sz="4" w:space="4" w:color="000001"/>
          <w:bottom w:val="single" w:sz="4" w:space="1" w:color="000001"/>
          <w:right w:val="single" w:sz="4" w:space="4" w:color="000001"/>
        </w:pBdr>
        <w:suppressAutoHyphens w:val="false"/>
        <w:jc w:val="center"/>
        <w:rPr/>
      </w:pPr>
      <w:r>
        <w:rPr/>
        <w:t>SOMMAIRE</w:t>
      </w:r>
    </w:p>
    <w:p>
      <w:pPr>
        <w:pStyle w:val="Standard"/>
        <w:rPr/>
      </w:pPr>
      <w:r>
        <w:rPr/>
      </w:r>
    </w:p>
    <w:p>
      <w:pPr>
        <w:pStyle w:val="Tabledesmatiresniveau1"/>
        <w:tabs>
          <w:tab w:val="right" w:pos="8402" w:leader="dot"/>
        </w:tabs>
        <w:rPr/>
      </w:pPr>
      <w:r>
        <w:fldChar w:fldCharType="begin"/>
      </w:r>
      <w:r>
        <w:instrText> TOC \o "1-4" \h</w:instrText>
      </w:r>
      <w:r>
        <w:fldChar w:fldCharType="separate"/>
      </w:r>
      <w:hyperlink w:anchor="__RefHeading___Toc1305_423768294">
        <w:r>
          <w:rPr>
            <w:rStyle w:val="Sautdindex"/>
          </w:rPr>
          <w:t>ARTICLE 1 – OBJET DES PRESTATIONS</w:t>
          <w:tab/>
          <w:t>4</w:t>
        </w:r>
      </w:hyperlink>
    </w:p>
    <w:p>
      <w:pPr>
        <w:pStyle w:val="Tabledesmatiresniveau2"/>
        <w:tabs>
          <w:tab w:val="right" w:pos="8402" w:leader="dot"/>
        </w:tabs>
        <w:rPr/>
      </w:pPr>
      <w:hyperlink w:anchor="__RefHeading___Toc5796_1887393591">
        <w:r>
          <w:rPr>
            <w:rStyle w:val="Sautdindex"/>
          </w:rPr>
          <w:t xml:space="preserve">1.1 </w:t>
        </w:r>
        <w:r>
          <w:rPr>
            <w:rStyle w:val="Sautdindex"/>
            <w:i w:val="false"/>
            <w:iCs w:val="false"/>
          </w:rPr>
          <w:t>Procédure</w:t>
        </w:r>
        <w:r>
          <w:rPr>
            <w:rStyle w:val="Sautdindex"/>
          </w:rPr>
          <w:tab/>
          <w:t>4</w:t>
        </w:r>
      </w:hyperlink>
    </w:p>
    <w:p>
      <w:pPr>
        <w:pStyle w:val="Tabledesmatiresniveau2"/>
        <w:tabs>
          <w:tab w:val="right" w:pos="8402" w:leader="dot"/>
        </w:tabs>
        <w:rPr/>
      </w:pPr>
      <w:hyperlink w:anchor="__RefHeading___Toc1307_423768294">
        <w:r>
          <w:rPr>
            <w:rStyle w:val="Sautdindex"/>
          </w:rPr>
          <w:t xml:space="preserve">1.2 </w:t>
        </w:r>
        <w:r>
          <w:rPr>
            <w:rStyle w:val="Sautdindex"/>
            <w:i w:val="false"/>
            <w:iCs w:val="false"/>
          </w:rPr>
          <w:t>Décomposition</w:t>
        </w:r>
        <w:r>
          <w:rPr>
            <w:rStyle w:val="Sautdindex"/>
          </w:rPr>
          <w:t xml:space="preserve"> </w:t>
        </w:r>
        <w:r>
          <w:rPr>
            <w:rStyle w:val="Sautdindex"/>
            <w:i w:val="false"/>
            <w:iCs w:val="false"/>
          </w:rPr>
          <w:t>en lots, tranches</w:t>
        </w:r>
        <w:r>
          <w:rPr>
            <w:rStyle w:val="Sautdindex"/>
          </w:rPr>
          <w:tab/>
          <w:t>4</w:t>
        </w:r>
      </w:hyperlink>
    </w:p>
    <w:p>
      <w:pPr>
        <w:pStyle w:val="Tabledesmatiresniveau3"/>
        <w:tabs>
          <w:tab w:val="right" w:pos="8402" w:leader="dot"/>
        </w:tabs>
        <w:rPr/>
      </w:pPr>
      <w:hyperlink w:anchor="__RefHeading___Toc1309_423768294">
        <w:r>
          <w:rPr>
            <w:rStyle w:val="Sautdindex"/>
          </w:rPr>
          <w:t>1.2.1 Décomposition en lots</w:t>
          <w:tab/>
          <w:t>4</w:t>
        </w:r>
      </w:hyperlink>
    </w:p>
    <w:p>
      <w:pPr>
        <w:pStyle w:val="Tabledesmatiresniveau3"/>
        <w:tabs>
          <w:tab w:val="right" w:pos="8402" w:leader="dot"/>
        </w:tabs>
        <w:rPr/>
      </w:pPr>
      <w:hyperlink w:anchor="__RefHeading___Toc1311_423768294">
        <w:r>
          <w:rPr>
            <w:rStyle w:val="Sautdindex"/>
          </w:rPr>
          <w:t>1.2.2 Décomposition en tranches</w:t>
          <w:tab/>
          <w:t>4</w:t>
        </w:r>
      </w:hyperlink>
    </w:p>
    <w:p>
      <w:pPr>
        <w:pStyle w:val="Tabledesmatiresniveau2"/>
        <w:tabs>
          <w:tab w:val="right" w:pos="8402" w:leader="dot"/>
        </w:tabs>
        <w:rPr/>
      </w:pPr>
      <w:hyperlink w:anchor="__RefHeading___Toc1313_423768294">
        <w:r>
          <w:rPr>
            <w:rStyle w:val="Sautdindex"/>
          </w:rPr>
          <w:t>1.3 Accord-cadre à bons de commande</w:t>
        </w:r>
        <w:r>
          <w:rPr>
            <w:rStyle w:val="Sautdindex"/>
          </w:rPr>
          <w:tab/>
          <w:t>4</w:t>
        </w:r>
      </w:hyperlink>
    </w:p>
    <w:p>
      <w:pPr>
        <w:pStyle w:val="Tabledesmatiresniveau2"/>
        <w:tabs>
          <w:tab w:val="right" w:pos="8402" w:leader="dot"/>
        </w:tabs>
        <w:rPr/>
      </w:pPr>
      <w:hyperlink w:anchor="__RefHeading___Toc1315_423768294">
        <w:r>
          <w:rPr>
            <w:rStyle w:val="Sautdindex"/>
          </w:rPr>
          <w:t>1.4 Date d’effet de l’accord-cadre</w:t>
        </w:r>
        <w:r>
          <w:rPr>
            <w:rStyle w:val="Sautdindex"/>
          </w:rPr>
          <w:tab/>
          <w:t>4</w:t>
        </w:r>
      </w:hyperlink>
    </w:p>
    <w:p>
      <w:pPr>
        <w:pStyle w:val="Tabledesmatiresniveau2"/>
        <w:tabs>
          <w:tab w:val="right" w:pos="8402" w:leader="dot"/>
        </w:tabs>
        <w:rPr/>
      </w:pPr>
      <w:hyperlink w:anchor="__RefHeading___Toc1317_423768294">
        <w:r>
          <w:rPr>
            <w:rStyle w:val="Sautdindex"/>
          </w:rPr>
          <w:t>1.5 Durée de l’accord-cadre</w:t>
          <w:tab/>
          <w:t>4</w:t>
        </w:r>
      </w:hyperlink>
    </w:p>
    <w:p>
      <w:pPr>
        <w:pStyle w:val="Tabledesmatiresniveau2"/>
        <w:tabs>
          <w:tab w:val="right" w:pos="8402" w:leader="dot"/>
        </w:tabs>
        <w:rPr/>
      </w:pPr>
      <w:hyperlink w:anchor="__RefHeading___Toc1319_423768294">
        <w:r>
          <w:rPr>
            <w:rStyle w:val="Sautdindex"/>
          </w:rPr>
          <w:t>1.6 Clause obligatoire d’insertion par l’activité économique</w:t>
          <w:tab/>
          <w:t>5</w:t>
        </w:r>
      </w:hyperlink>
    </w:p>
    <w:p>
      <w:pPr>
        <w:pStyle w:val="Tabledesmatiresniveau1"/>
        <w:tabs>
          <w:tab w:val="right" w:pos="8402" w:leader="dot"/>
        </w:tabs>
        <w:rPr/>
      </w:pPr>
      <w:hyperlink w:anchor="__RefHeading___Toc1321_423768294">
        <w:r>
          <w:rPr>
            <w:rStyle w:val="Sautdindex"/>
          </w:rPr>
          <w:t>ARTICLE 2 - DOCUMENTS CONTRACTUELS</w:t>
          <w:tab/>
          <w:t>5</w:t>
        </w:r>
      </w:hyperlink>
    </w:p>
    <w:p>
      <w:pPr>
        <w:pStyle w:val="Tabledesmatiresniveau2"/>
        <w:tabs>
          <w:tab w:val="right" w:pos="8402" w:leader="dot"/>
        </w:tabs>
        <w:rPr/>
      </w:pPr>
      <w:hyperlink w:anchor="__RefHeading___Toc5798_1887393591">
        <w:r>
          <w:rPr>
            <w:rStyle w:val="Sautdindex"/>
          </w:rPr>
          <w:t>2.1 Pièces particulières</w:t>
          <w:tab/>
          <w:t>5</w:t>
        </w:r>
      </w:hyperlink>
    </w:p>
    <w:p>
      <w:pPr>
        <w:pStyle w:val="Tabledesmatiresniveau2"/>
        <w:tabs>
          <w:tab w:val="right" w:pos="8402" w:leader="dot"/>
        </w:tabs>
        <w:rPr/>
      </w:pPr>
      <w:hyperlink w:anchor="__RefHeading___Toc5800_1887393591">
        <w:r>
          <w:rPr>
            <w:rStyle w:val="Sautdindex"/>
          </w:rPr>
          <w:t>2.2 Pièces générales</w:t>
          <w:tab/>
          <w:t>5</w:t>
        </w:r>
      </w:hyperlink>
    </w:p>
    <w:p>
      <w:pPr>
        <w:pStyle w:val="Tabledesmatiresniveau1"/>
        <w:tabs>
          <w:tab w:val="right" w:pos="8402" w:leader="dot"/>
        </w:tabs>
        <w:rPr/>
      </w:pPr>
      <w:hyperlink w:anchor="__RefHeading___Toc1323_423768294">
        <w:r>
          <w:rPr>
            <w:rStyle w:val="Sautdindex"/>
          </w:rPr>
          <w:t>ARTICLE 3 - DELAIS D'EXECUTION</w:t>
          <w:tab/>
          <w:t>5</w:t>
        </w:r>
      </w:hyperlink>
    </w:p>
    <w:p>
      <w:pPr>
        <w:pStyle w:val="Tabledesmatiresniveau2"/>
        <w:tabs>
          <w:tab w:val="right" w:pos="8402" w:leader="dot"/>
        </w:tabs>
        <w:rPr/>
      </w:pPr>
      <w:hyperlink w:anchor="__RefHeading___Toc1325_423768294">
        <w:r>
          <w:rPr>
            <w:rStyle w:val="Sautdindex"/>
          </w:rPr>
          <w:t>3.1 Délais</w:t>
          <w:tab/>
          <w:t>5</w:t>
        </w:r>
      </w:hyperlink>
    </w:p>
    <w:p>
      <w:pPr>
        <w:pStyle w:val="Tabledesmatiresniveau2"/>
        <w:tabs>
          <w:tab w:val="right" w:pos="8402" w:leader="dot"/>
        </w:tabs>
        <w:rPr/>
      </w:pPr>
      <w:hyperlink w:anchor="__RefHeading___Toc1327_423768294">
        <w:r>
          <w:rPr>
            <w:rStyle w:val="Sautdindex"/>
          </w:rPr>
          <w:t>3.2 Emission des bons de commande</w:t>
          <w:tab/>
          <w:t>6</w:t>
        </w:r>
      </w:hyperlink>
    </w:p>
    <w:p>
      <w:pPr>
        <w:pStyle w:val="Tabledesmatiresniveau1"/>
        <w:tabs>
          <w:tab w:val="right" w:pos="8402" w:leader="dot"/>
        </w:tabs>
        <w:rPr/>
      </w:pPr>
      <w:hyperlink w:anchor="__RefHeading___Toc1329_423768294">
        <w:r>
          <w:rPr>
            <w:rStyle w:val="Sautdindex"/>
          </w:rPr>
          <w:t>ARTICLE 4 - ENTREPRISES GROUPEES</w:t>
          <w:tab/>
          <w:t>6</w:t>
        </w:r>
      </w:hyperlink>
    </w:p>
    <w:p>
      <w:pPr>
        <w:pStyle w:val="Tabledesmatiresniveau1"/>
        <w:tabs>
          <w:tab w:val="right" w:pos="8402" w:leader="dot"/>
        </w:tabs>
        <w:rPr/>
      </w:pPr>
      <w:hyperlink w:anchor="__RefHeading___Toc1331_423768294">
        <w:r>
          <w:rPr>
            <w:rStyle w:val="Sautdindex"/>
          </w:rPr>
          <w:t>ARTICLE 5 - CONDITIONS D'EXECUTION</w:t>
          <w:tab/>
          <w:t>6</w:t>
        </w:r>
      </w:hyperlink>
    </w:p>
    <w:p>
      <w:pPr>
        <w:pStyle w:val="Tabledesmatiresniveau1"/>
        <w:tabs>
          <w:tab w:val="right" w:pos="8402" w:leader="dot"/>
        </w:tabs>
        <w:rPr/>
      </w:pPr>
      <w:hyperlink w:anchor="__RefHeading___Toc1333_423768294">
        <w:r>
          <w:rPr>
            <w:rStyle w:val="Sautdindex"/>
          </w:rPr>
          <w:t>ARTICLE 6 - CONDITIONS PARTICULIERES D'EXECUTION</w:t>
          <w:tab/>
          <w:t>7</w:t>
        </w:r>
      </w:hyperlink>
    </w:p>
    <w:p>
      <w:pPr>
        <w:pStyle w:val="Tabledesmatiresniveau1"/>
        <w:tabs>
          <w:tab w:val="right" w:pos="8402" w:leader="dot"/>
        </w:tabs>
        <w:rPr/>
      </w:pPr>
      <w:hyperlink w:anchor="__RefHeading___Toc1335_423768294">
        <w:r>
          <w:rPr>
            <w:rStyle w:val="Sautdindex"/>
          </w:rPr>
          <w:t>ARTICLE 7 - OPERATIONS DE VERIFICATIONS – ADMISSION</w:t>
          <w:tab/>
          <w:t>7</w:t>
        </w:r>
      </w:hyperlink>
    </w:p>
    <w:p>
      <w:pPr>
        <w:pStyle w:val="Tabledesmatiresniveau2"/>
        <w:tabs>
          <w:tab w:val="right" w:pos="8402" w:leader="dot"/>
        </w:tabs>
        <w:rPr/>
      </w:pPr>
      <w:hyperlink w:anchor="__RefHeading___Toc1337_423768294">
        <w:r>
          <w:rPr>
            <w:rStyle w:val="Sautdindex"/>
          </w:rPr>
          <w:t>7.1 Vérifications</w:t>
          <w:tab/>
          <w:t>7</w:t>
        </w:r>
      </w:hyperlink>
    </w:p>
    <w:p>
      <w:pPr>
        <w:pStyle w:val="Tabledesmatiresniveau2"/>
        <w:tabs>
          <w:tab w:val="right" w:pos="8402" w:leader="dot"/>
        </w:tabs>
        <w:rPr/>
      </w:pPr>
      <w:hyperlink w:anchor="__RefHeading___Toc1339_423768294">
        <w:r>
          <w:rPr>
            <w:rStyle w:val="Sautdindex"/>
          </w:rPr>
          <w:t>7.2 Admission</w:t>
          <w:tab/>
          <w:t>7</w:t>
        </w:r>
      </w:hyperlink>
    </w:p>
    <w:p>
      <w:pPr>
        <w:pStyle w:val="Tabledesmatiresniveau1"/>
        <w:tabs>
          <w:tab w:val="right" w:pos="8402" w:leader="dot"/>
        </w:tabs>
        <w:rPr/>
      </w:pPr>
      <w:hyperlink w:anchor="__RefHeading___Toc1341_423768294">
        <w:r>
          <w:rPr>
            <w:rStyle w:val="Sautdindex"/>
          </w:rPr>
          <w:t>ARTICLE 8 - MODALITES DE DETERMINATION DES PRIX</w:t>
          <w:tab/>
          <w:t>7</w:t>
        </w:r>
      </w:hyperlink>
    </w:p>
    <w:p>
      <w:pPr>
        <w:pStyle w:val="Tabledesmatiresniveau2"/>
        <w:tabs>
          <w:tab w:val="right" w:pos="8402" w:leader="dot"/>
        </w:tabs>
        <w:rPr/>
      </w:pPr>
      <w:hyperlink w:anchor="__RefHeading___Toc1343_423768294">
        <w:r>
          <w:rPr>
            <w:rStyle w:val="Sautdindex"/>
          </w:rPr>
          <w:t>8.1 Nature du prix</w:t>
          <w:tab/>
          <w:t>7</w:t>
        </w:r>
      </w:hyperlink>
    </w:p>
    <w:p>
      <w:pPr>
        <w:pStyle w:val="Tabledesmatiresniveau2"/>
        <w:tabs>
          <w:tab w:val="right" w:pos="8402" w:leader="dot"/>
        </w:tabs>
        <w:rPr/>
      </w:pPr>
      <w:hyperlink w:anchor="__RefHeading___Toc1345_423768294">
        <w:r>
          <w:rPr>
            <w:rStyle w:val="Sautdindex"/>
          </w:rPr>
          <w:t>8.2 Variations de prix</w:t>
          <w:tab/>
          <w:t>8</w:t>
        </w:r>
      </w:hyperlink>
    </w:p>
    <w:p>
      <w:pPr>
        <w:pStyle w:val="Tabledesmatiresniveau2"/>
        <w:tabs>
          <w:tab w:val="right" w:pos="8402" w:leader="dot"/>
        </w:tabs>
        <w:rPr/>
      </w:pPr>
      <w:hyperlink w:anchor="__RefHeading___Toc1347_423768294">
        <w:r>
          <w:rPr>
            <w:rStyle w:val="Sautdindex"/>
          </w:rPr>
          <w:t>8.3 Disparition d'indice</w:t>
          <w:tab/>
          <w:t>8</w:t>
        </w:r>
      </w:hyperlink>
    </w:p>
    <w:p>
      <w:pPr>
        <w:pStyle w:val="Tabledesmatiresniveau1"/>
        <w:tabs>
          <w:tab w:val="right" w:pos="8402" w:leader="dot"/>
        </w:tabs>
        <w:rPr/>
      </w:pPr>
      <w:hyperlink w:anchor="__RefHeading___Toc1349_423768294">
        <w:r>
          <w:rPr>
            <w:rStyle w:val="Sautdindex"/>
          </w:rPr>
          <w:t>ARTICLE 9 - AVANCE</w:t>
          <w:tab/>
          <w:t>8</w:t>
        </w:r>
      </w:hyperlink>
    </w:p>
    <w:p>
      <w:pPr>
        <w:pStyle w:val="Tabledesmatiresniveau1"/>
        <w:tabs>
          <w:tab w:val="right" w:pos="8402" w:leader="dot"/>
        </w:tabs>
        <w:rPr/>
      </w:pPr>
      <w:hyperlink w:anchor="__RefHeading___Toc1351_423768294">
        <w:r>
          <w:rPr>
            <w:rStyle w:val="Sautdindex"/>
          </w:rPr>
          <w:t>ARTICLE 10 - MODALITÉS DE REGLEMENT</w:t>
          <w:tab/>
          <w:t>9</w:t>
        </w:r>
      </w:hyperlink>
    </w:p>
    <w:p>
      <w:pPr>
        <w:pStyle w:val="Tabledesmatiresniveau1"/>
        <w:tabs>
          <w:tab w:val="right" w:pos="8402" w:leader="dot"/>
        </w:tabs>
        <w:rPr/>
      </w:pPr>
      <w:hyperlink w:anchor="__RefHeading___Toc1353_423768294">
        <w:r>
          <w:rPr>
            <w:rStyle w:val="Sautdindex"/>
          </w:rPr>
          <w:t>ARTICLE 11 - PAIEMENT – ETABLISSEMENT DE LA FACTURE</w:t>
          <w:tab/>
          <w:t>9</w:t>
        </w:r>
      </w:hyperlink>
    </w:p>
    <w:p>
      <w:pPr>
        <w:pStyle w:val="Tabledesmatiresniveau2"/>
        <w:tabs>
          <w:tab w:val="right" w:pos="8402" w:leader="dot"/>
        </w:tabs>
        <w:rPr/>
      </w:pPr>
      <w:hyperlink w:anchor="__RefHeading___Toc1355_423768294">
        <w:r>
          <w:rPr>
            <w:rStyle w:val="Sautdindex"/>
          </w:rPr>
          <w:t>11.1 Délais de paiements</w:t>
          <w:tab/>
          <w:t>9</w:t>
        </w:r>
      </w:hyperlink>
    </w:p>
    <w:p>
      <w:pPr>
        <w:pStyle w:val="Tabledesmatiresniveau2"/>
        <w:tabs>
          <w:tab w:val="right" w:pos="8402" w:leader="dot"/>
        </w:tabs>
        <w:rPr/>
      </w:pPr>
      <w:hyperlink w:anchor="__RefHeading___Toc1357_423768294">
        <w:r>
          <w:rPr>
            <w:rStyle w:val="Sautdindex"/>
          </w:rPr>
          <w:t>11.2 Intérêts moratoires</w:t>
          <w:tab/>
          <w:t>9</w:t>
        </w:r>
      </w:hyperlink>
    </w:p>
    <w:p>
      <w:pPr>
        <w:pStyle w:val="Tabledesmatiresniveau2"/>
        <w:tabs>
          <w:tab w:val="right" w:pos="8402" w:leader="dot"/>
        </w:tabs>
        <w:rPr/>
      </w:pPr>
      <w:hyperlink w:anchor="__RefHeading___Toc1359_423768294">
        <w:r>
          <w:rPr>
            <w:rStyle w:val="Sautdindex"/>
          </w:rPr>
          <w:t>11.3 Sous-traitance</w:t>
          <w:tab/>
          <w:t>9</w:t>
        </w:r>
      </w:hyperlink>
    </w:p>
    <w:p>
      <w:pPr>
        <w:pStyle w:val="Tabledesmatiresniveau2"/>
        <w:tabs>
          <w:tab w:val="right" w:pos="8402" w:leader="dot"/>
        </w:tabs>
        <w:rPr/>
      </w:pPr>
      <w:hyperlink w:anchor="__RefHeading___Toc1361_423768294">
        <w:r>
          <w:rPr>
            <w:rStyle w:val="Sautdindex"/>
          </w:rPr>
          <w:t>11.4 Dématérialisation des factures</w:t>
          <w:tab/>
          <w:t>10</w:t>
        </w:r>
      </w:hyperlink>
    </w:p>
    <w:p>
      <w:pPr>
        <w:pStyle w:val="Tabledesmatiresniveau1"/>
        <w:tabs>
          <w:tab w:val="right" w:pos="8402" w:leader="dot"/>
        </w:tabs>
        <w:rPr/>
      </w:pPr>
      <w:hyperlink w:anchor="__RefHeading___Toc1363_423768294">
        <w:r>
          <w:rPr>
            <w:rStyle w:val="Sautdindex"/>
          </w:rPr>
          <w:t>ARTICLE 12 - PENALITES</w:t>
          <w:tab/>
          <w:t>10</w:t>
        </w:r>
      </w:hyperlink>
    </w:p>
    <w:p>
      <w:pPr>
        <w:pStyle w:val="Tabledesmatiresniveau2"/>
        <w:tabs>
          <w:tab w:val="right" w:pos="8402" w:leader="dot"/>
        </w:tabs>
        <w:rPr/>
      </w:pPr>
      <w:hyperlink w:anchor="__RefHeading___Toc1365_423768294">
        <w:r>
          <w:rPr>
            <w:rStyle w:val="Sautdindex"/>
          </w:rPr>
          <w:t>12.1 Pénalités de retard</w:t>
          <w:tab/>
          <w:t>10</w:t>
        </w:r>
      </w:hyperlink>
    </w:p>
    <w:p>
      <w:pPr>
        <w:pStyle w:val="Tabledesmatiresniveau2"/>
        <w:tabs>
          <w:tab w:val="right" w:pos="8402" w:leader="dot"/>
        </w:tabs>
        <w:rPr/>
      </w:pPr>
      <w:hyperlink w:anchor="__RefHeading___Toc1367_423768294">
        <w:r>
          <w:rPr>
            <w:rStyle w:val="Sautdindex"/>
          </w:rPr>
          <w:t>12.2 Pénalités pour non-respect des dispositions du Code du Travail</w:t>
          <w:tab/>
          <w:t>11</w:t>
        </w:r>
      </w:hyperlink>
    </w:p>
    <w:p>
      <w:pPr>
        <w:pStyle w:val="Tabledesmatiresniveau1"/>
        <w:tabs>
          <w:tab w:val="right" w:pos="8402" w:leader="dot"/>
        </w:tabs>
        <w:rPr/>
      </w:pPr>
      <w:hyperlink w:anchor="__RefHeading___Toc1369_423768294">
        <w:r>
          <w:rPr>
            <w:rStyle w:val="Sautdindex"/>
          </w:rPr>
          <w:t>ARTICLE 13 - RESILIATION – EXECUTION DES PRESTATIONS AUX FRAIS ET RISQUES DU TITULAIRE</w:t>
          <w:tab/>
          <w:t>11</w:t>
        </w:r>
      </w:hyperlink>
    </w:p>
    <w:p>
      <w:pPr>
        <w:pStyle w:val="Tabledesmatiresniveau1"/>
        <w:tabs>
          <w:tab w:val="right" w:pos="8402" w:leader="dot"/>
        </w:tabs>
        <w:rPr/>
      </w:pPr>
      <w:hyperlink w:anchor="__RefHeading___Toc1371_423768294">
        <w:r>
          <w:rPr>
            <w:rStyle w:val="Sautdindex"/>
          </w:rPr>
          <w:t>ARTICLE 14 - CLAUSES DE GESTION DES DONNEES</w:t>
          <w:tab/>
          <w:t>11</w:t>
        </w:r>
      </w:hyperlink>
    </w:p>
    <w:p>
      <w:pPr>
        <w:pStyle w:val="Tabledesmatiresniveau2"/>
        <w:tabs>
          <w:tab w:val="right" w:pos="8402" w:leader="dot"/>
        </w:tabs>
        <w:rPr/>
      </w:pPr>
      <w:hyperlink w:anchor="__RefHeading___Toc1373_423768294">
        <w:r>
          <w:rPr>
            <w:rStyle w:val="Sautdindex"/>
          </w:rPr>
          <w:t>14.1 Les contraintes réglementaires</w:t>
          <w:tab/>
          <w:t>11</w:t>
        </w:r>
      </w:hyperlink>
    </w:p>
    <w:p>
      <w:pPr>
        <w:pStyle w:val="Tabledesmatiresniveau3"/>
        <w:tabs>
          <w:tab w:val="right" w:pos="8402" w:leader="dot"/>
        </w:tabs>
        <w:rPr/>
      </w:pPr>
      <w:hyperlink w:anchor="__RefHeading___Toc1375_423768294">
        <w:r>
          <w:rPr>
            <w:rStyle w:val="Sautdindex"/>
          </w:rPr>
          <w:t>14.1.1 Le RGS</w:t>
          <w:tab/>
          <w:t>11</w:t>
        </w:r>
      </w:hyperlink>
    </w:p>
    <w:p>
      <w:pPr>
        <w:pStyle w:val="Tabledesmatiresniveau3"/>
        <w:tabs>
          <w:tab w:val="right" w:pos="8402" w:leader="dot"/>
        </w:tabs>
        <w:rPr/>
      </w:pPr>
      <w:hyperlink w:anchor="__RefHeading___Toc1377_423768294">
        <w:r>
          <w:rPr>
            <w:rStyle w:val="Sautdindex"/>
          </w:rPr>
          <w:t>14.1.2 Le Règlement Général sur la Protection des Données (RGPD)</w:t>
          <w:tab/>
          <w:t>11</w:t>
        </w:r>
      </w:hyperlink>
    </w:p>
    <w:p>
      <w:pPr>
        <w:pStyle w:val="Tabledesmatiresniveau3"/>
        <w:tabs>
          <w:tab w:val="right" w:pos="8402" w:leader="dot"/>
        </w:tabs>
        <w:rPr/>
      </w:pPr>
      <w:hyperlink w:anchor="__RefHeading___Toc2724_3390906728">
        <w:r>
          <w:rPr>
            <w:rStyle w:val="Sautdindex"/>
          </w:rPr>
          <w:t>14.1.3 Le Code du Patrimoine</w:t>
          <w:tab/>
          <w:t>12</w:t>
        </w:r>
      </w:hyperlink>
    </w:p>
    <w:p>
      <w:pPr>
        <w:pStyle w:val="Tabledesmatiresniveau2"/>
        <w:tabs>
          <w:tab w:val="right" w:pos="8402" w:leader="dot"/>
        </w:tabs>
        <w:rPr/>
      </w:pPr>
      <w:hyperlink w:anchor="__RefHeading___Toc1379_423768294">
        <w:r>
          <w:rPr>
            <w:rStyle w:val="Sautdindex"/>
          </w:rPr>
          <w:t>14.2 Les clauses générales de confidentialité</w:t>
          <w:tab/>
          <w:t>12</w:t>
        </w:r>
      </w:hyperlink>
    </w:p>
    <w:p>
      <w:pPr>
        <w:pStyle w:val="Tabledesmatiresniveau2"/>
        <w:tabs>
          <w:tab w:val="right" w:pos="8402" w:leader="dot"/>
        </w:tabs>
        <w:rPr/>
      </w:pPr>
      <w:hyperlink w:anchor="__RefHeading___Toc1381_423768294">
        <w:r>
          <w:rPr>
            <w:rStyle w:val="Sautdindex"/>
          </w:rPr>
          <w:t>14.3 Les contrôles</w:t>
          <w:tab/>
          <w:t>12</w:t>
        </w:r>
      </w:hyperlink>
    </w:p>
    <w:p>
      <w:pPr>
        <w:pStyle w:val="Tabledesmatiresniveau2"/>
        <w:tabs>
          <w:tab w:val="right" w:pos="8402" w:leader="dot"/>
        </w:tabs>
        <w:rPr/>
      </w:pPr>
      <w:hyperlink w:anchor="__RefHeading___Toc2726_3390906728">
        <w:r>
          <w:rPr>
            <w:rStyle w:val="Sautdindex"/>
          </w:rPr>
          <w:t>14.4 Phase de réversibilité</w:t>
          <w:tab/>
          <w:t>13</w:t>
        </w:r>
      </w:hyperlink>
    </w:p>
    <w:p>
      <w:pPr>
        <w:pStyle w:val="Tabledesmatiresniveau1"/>
        <w:tabs>
          <w:tab w:val="right" w:pos="8402" w:leader="dot"/>
        </w:tabs>
        <w:rPr/>
      </w:pPr>
      <w:hyperlink w:anchor="__RefHeading___Toc1385_423768294">
        <w:r>
          <w:rPr>
            <w:rStyle w:val="Sautdindex"/>
          </w:rPr>
          <w:t>ARTICLE 15 - LOGICIEL E-ATTESTATIONS</w:t>
          <w:tab/>
          <w:t>13</w:t>
        </w:r>
      </w:hyperlink>
    </w:p>
    <w:p>
      <w:pPr>
        <w:pStyle w:val="Tabledesmatiresniveau1"/>
        <w:tabs>
          <w:tab w:val="right" w:pos="8402" w:leader="dot"/>
        </w:tabs>
        <w:rPr/>
      </w:pPr>
      <w:hyperlink w:anchor="__RefHeading___Toc1387_423768294">
        <w:r>
          <w:rPr>
            <w:rStyle w:val="Sautdindex"/>
          </w:rPr>
          <w:t>ARTICLE 16 - LOI APPLICABLE</w:t>
          <w:tab/>
          <w:t>13</w:t>
        </w:r>
      </w:hyperlink>
    </w:p>
    <w:p>
      <w:pPr>
        <w:pStyle w:val="Tabledesmatiresniveau1"/>
        <w:tabs>
          <w:tab w:val="right" w:pos="8402" w:leader="dot"/>
        </w:tabs>
        <w:rPr/>
      </w:pPr>
      <w:hyperlink w:anchor="__RefHeading___Toc1389_423768294">
        <w:r>
          <w:rPr>
            <w:rStyle w:val="Sautdindex"/>
          </w:rPr>
          <w:t>ARTICLE 17 - CONFORMITE AUX NORMES</w:t>
          <w:tab/>
          <w:t>13</w:t>
        </w:r>
      </w:hyperlink>
    </w:p>
    <w:p>
      <w:pPr>
        <w:pStyle w:val="Tabledesmatiresniveau1"/>
        <w:tabs>
          <w:tab w:val="right" w:pos="8402" w:leader="dot"/>
        </w:tabs>
        <w:rPr/>
      </w:pPr>
      <w:hyperlink w:anchor="__RefHeading___Toc1391_423768294">
        <w:r>
          <w:rPr>
            <w:rStyle w:val="Sautdindex"/>
          </w:rPr>
          <w:t>ARTICLE 18 - ASSURANCES</w:t>
          <w:tab/>
          <w:t>13</w:t>
        </w:r>
      </w:hyperlink>
    </w:p>
    <w:p>
      <w:pPr>
        <w:pStyle w:val="Tabledesmatiresniveau1"/>
        <w:tabs>
          <w:tab w:val="right" w:pos="8402" w:leader="dot"/>
        </w:tabs>
        <w:rPr/>
      </w:pPr>
      <w:hyperlink w:anchor="__RefHeading___Toc1393_423768294">
        <w:r>
          <w:rPr>
            <w:rStyle w:val="Sautdindex"/>
          </w:rPr>
          <w:t>ARTICLE 19 - DEROGATIONS AUX DOCUMENTS GENERAUX</w:t>
          <w:tab/>
          <w:t>14</w:t>
        </w:r>
      </w:hyperlink>
      <w:r>
        <w:fldChar w:fldCharType="end"/>
      </w:r>
    </w:p>
    <w:p>
      <w:pPr>
        <w:pStyle w:val="Titre2"/>
        <w:widowControl w:val="false"/>
        <w:numPr>
          <w:ilvl w:val="0"/>
          <w:numId w:val="0"/>
        </w:numPr>
        <w:suppressAutoHyphens w:val="true"/>
        <w:jc w:val="left"/>
        <w:textAlignment w:val="baseline"/>
        <w:outlineLvl w:val="1"/>
        <w:rPr/>
      </w:pPr>
      <w:r>
        <w:rPr/>
      </w:r>
      <w:r>
        <w:br w:type="page"/>
      </w:r>
    </w:p>
    <w:p>
      <w:pPr>
        <w:pStyle w:val="Titre1"/>
        <w:rPr>
          <w:rFonts w:ascii="Arial" w:hAnsi="Arial"/>
          <w:sz w:val="32"/>
          <w:szCs w:val="32"/>
        </w:rPr>
      </w:pPr>
      <w:bookmarkStart w:id="2" w:name="__RefHeading___Toc1305_423768294"/>
      <w:bookmarkStart w:id="3" w:name="_Toc38531025"/>
      <w:bookmarkStart w:id="4" w:name="_Toc38033667"/>
      <w:bookmarkStart w:id="5" w:name="_Toc37340638"/>
      <w:bookmarkStart w:id="6" w:name="_Toc37090759"/>
      <w:bookmarkEnd w:id="2"/>
      <w:bookmarkEnd w:id="3"/>
      <w:bookmarkEnd w:id="4"/>
      <w:bookmarkEnd w:id="5"/>
      <w:bookmarkEnd w:id="6"/>
      <w:r>
        <w:rPr/>
        <w:t>ARTICLE 1 – OBJET DES PRESTATIONS</w:t>
      </w:r>
    </w:p>
    <w:p>
      <w:pPr>
        <w:pStyle w:val="Standard"/>
        <w:rPr/>
      </w:pPr>
      <w:r>
        <w:rPr/>
      </w:r>
    </w:p>
    <w:p>
      <w:pPr>
        <w:pStyle w:val="Standard"/>
        <w:rPr/>
      </w:pPr>
      <w:r>
        <w:rPr/>
        <w:t>Les stipulations du présent Cahier des Clauses Administratives Particulières (CCAP) concernent :</w:t>
      </w:r>
    </w:p>
    <w:p>
      <w:pPr>
        <w:pStyle w:val="Standard"/>
        <w:rPr/>
      </w:pPr>
      <w:r>
        <w:rPr/>
        <w:t>OPERATIONS DE CREMATIONS DE CORPS OU DE RESTES DE CORPS ISSUS DE REPRISES ADMINISTRATIVES DES CIMETIERES DE LA VILLE DE MARSEILLE</w:t>
      </w:r>
    </w:p>
    <w:p>
      <w:pPr>
        <w:pStyle w:val="Titre2"/>
        <w:rPr/>
      </w:pPr>
      <w:bookmarkStart w:id="7" w:name="__RefHeading___Toc5796_1887393591"/>
      <w:bookmarkEnd w:id="7"/>
      <w:r>
        <w:rPr/>
        <w:t xml:space="preserve">1.1 </w:t>
      </w:r>
      <w:r>
        <w:rPr>
          <w:i w:val="false"/>
          <w:iCs w:val="false"/>
        </w:rPr>
        <w:t>Procédure</w:t>
      </w:r>
    </w:p>
    <w:p>
      <w:pPr>
        <w:pStyle w:val="Standard"/>
        <w:rPr/>
      </w:pPr>
      <w:r>
        <w:rPr/>
      </w:r>
    </w:p>
    <w:p>
      <w:pPr>
        <w:pStyle w:val="Normal"/>
        <w:jc w:val="both"/>
        <w:rPr/>
      </w:pPr>
      <w:r>
        <w:rPr>
          <w:rFonts w:ascii="Arial" w:hAnsi="Arial"/>
          <w:sz w:val="20"/>
          <w:szCs w:val="20"/>
        </w:rPr>
        <w:t>La procédure de passation est la suivante : MAPA OUVERT AVEC BOAMP - selon les articles suivants : articles L2123-1, R2123-1-1°, R2123-4 et 5 du Code de la Commande Publique.</w:t>
      </w:r>
    </w:p>
    <w:p>
      <w:pPr>
        <w:pStyle w:val="Titre2"/>
        <w:rPr/>
      </w:pPr>
      <w:bookmarkStart w:id="8" w:name="__RefHeading___Toc1307_423768294"/>
      <w:bookmarkEnd w:id="8"/>
      <w:r>
        <w:rPr/>
        <w:t xml:space="preserve">1.2 </w:t>
      </w:r>
      <w:r>
        <w:rPr>
          <w:i w:val="false"/>
          <w:iCs w:val="false"/>
        </w:rPr>
        <w:t>Décomposition</w:t>
      </w:r>
      <w:r>
        <w:rPr/>
        <w:t xml:space="preserve"> </w:t>
      </w:r>
      <w:r>
        <w:rPr>
          <w:i w:val="false"/>
          <w:iCs w:val="false"/>
        </w:rPr>
        <w:t>en lots, tranches</w:t>
      </w:r>
    </w:p>
    <w:p>
      <w:pPr>
        <w:pStyle w:val="Titre3"/>
        <w:rPr>
          <w:rFonts w:ascii="Arial" w:hAnsi="Arial"/>
          <w:sz w:val="22"/>
          <w:szCs w:val="22"/>
        </w:rPr>
      </w:pPr>
      <w:bookmarkStart w:id="9" w:name="__RefHeading___Toc1309_423768294"/>
      <w:bookmarkEnd w:id="9"/>
      <w:r>
        <w:rPr/>
        <w:t>1.2.1 Décomposition en lots</w:t>
      </w:r>
    </w:p>
    <w:p>
      <w:pPr>
        <w:pStyle w:val="Standard"/>
        <w:rPr/>
      </w:pPr>
      <w:r>
        <w:rPr/>
      </w:r>
    </w:p>
    <w:p>
      <w:pPr>
        <w:pStyle w:val="Standard"/>
        <w:rPr/>
      </w:pPr>
      <w:r>
        <w:rPr/>
        <w:t>La présente consultation n’est pas allotie.</w:t>
      </w:r>
    </w:p>
    <w:p>
      <w:pPr>
        <w:pStyle w:val="Standard"/>
        <w:rPr/>
      </w:pPr>
      <w:r>
        <w:rPr/>
        <w:t xml:space="preserve">Les prestations appartiennent à une même famille d’achat uniforme et permettent pas l’identification de prestations distinctes. </w:t>
      </w:r>
    </w:p>
    <w:p>
      <w:pPr>
        <w:pStyle w:val="Titre3"/>
        <w:rPr>
          <w:rFonts w:ascii="Arial" w:hAnsi="Arial"/>
          <w:sz w:val="22"/>
          <w:szCs w:val="22"/>
        </w:rPr>
      </w:pPr>
      <w:bookmarkStart w:id="10" w:name="__RefHeading___Toc1311_423768294"/>
      <w:bookmarkEnd w:id="10"/>
      <w:r>
        <w:rPr/>
        <w:t>1.2.2 Décomposition en tranches</w:t>
      </w:r>
    </w:p>
    <w:p>
      <w:pPr>
        <w:pStyle w:val="Standard"/>
        <w:rPr/>
      </w:pPr>
      <w:r>
        <w:rPr/>
      </w:r>
    </w:p>
    <w:p>
      <w:pPr>
        <w:pStyle w:val="Standard"/>
        <w:rPr/>
      </w:pPr>
      <w:r>
        <w:rPr/>
        <w:t>L'ensemble des prestations n'est pas subdivisé en tranche</w:t>
      </w:r>
    </w:p>
    <w:p>
      <w:pPr>
        <w:pStyle w:val="Titre2"/>
        <w:rPr>
          <w:rFonts w:ascii="Arial" w:hAnsi="Arial"/>
          <w:i w:val="false"/>
          <w:i w:val="false"/>
          <w:iCs w:val="false"/>
          <w:sz w:val="24"/>
          <w:szCs w:val="24"/>
        </w:rPr>
      </w:pPr>
      <w:bookmarkStart w:id="11" w:name="__RefHeading___Toc1313_423768294"/>
      <w:bookmarkEnd w:id="11"/>
      <w:r>
        <w:rPr/>
        <w:t>1.3 Accord-cadre à bons de commande</w:t>
      </w:r>
    </w:p>
    <w:p>
      <w:pPr>
        <w:pStyle w:val="Standard"/>
        <w:rPr/>
      </w:pPr>
      <w:r>
        <w:rPr/>
      </w:r>
    </w:p>
    <w:p>
      <w:pPr>
        <w:pStyle w:val="Normal"/>
        <w:jc w:val="both"/>
        <w:rPr/>
      </w:pPr>
      <w:r>
        <w:rPr>
          <w:rFonts w:ascii="Arial" w:hAnsi="Arial"/>
          <w:sz w:val="20"/>
          <w:szCs w:val="20"/>
        </w:rPr>
        <w:t>Le présent marché est un accord-cadre exécuté par l'émission de bons de commande, en application des articles R2162-1 à 6 et R2162-13 et 14 du Code de la Commande Publique.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seront émis dans les conditions et limites suivantes.</w:t>
      </w:r>
    </w:p>
    <w:p>
      <w:pPr>
        <w:pStyle w:val="Normal"/>
        <w:jc w:val="both"/>
        <w:rPr>
          <w:rFonts w:ascii="Arial" w:hAnsi="Arial"/>
          <w:sz w:val="20"/>
          <w:szCs w:val="20"/>
        </w:rPr>
      </w:pPr>
      <w:r>
        <w:rPr>
          <w:rFonts w:ascii="Arial" w:hAnsi="Arial"/>
          <w:sz w:val="20"/>
          <w:szCs w:val="20"/>
        </w:rPr>
      </w:r>
    </w:p>
    <w:p>
      <w:pPr>
        <w:pStyle w:val="Normal"/>
        <w:keepNext w:val="false"/>
        <w:keepLines w:val="false"/>
        <w:widowControl/>
        <w:suppressAutoHyphens w:val="false"/>
        <w:jc w:val="both"/>
        <w:textAlignment w:val="auto"/>
        <w:rPr/>
      </w:pPr>
      <w:r>
        <w:rPr>
          <w:rFonts w:eastAsia="Times New Roman" w:cs="Arial" w:ascii="Arial" w:hAnsi="Arial"/>
          <w:sz w:val="20"/>
          <w:szCs w:val="20"/>
        </w:rPr>
        <w:t>Les valeurs données ci-après sont données par période annuelle :</w:t>
      </w:r>
    </w:p>
    <w:p>
      <w:pPr>
        <w:pStyle w:val="Normal"/>
        <w:keepNext w:val="false"/>
        <w:keepLines w:val="false"/>
        <w:widowControl/>
        <w:suppressAutoHyphens w:val="false"/>
        <w:jc w:val="both"/>
        <w:textAlignment w:val="auto"/>
        <w:rPr>
          <w:rFonts w:ascii="Arial" w:hAnsi="Arial"/>
          <w:sz w:val="20"/>
          <w:szCs w:val="20"/>
        </w:rPr>
      </w:pPr>
      <w:r>
        <w:rPr>
          <w:rFonts w:ascii="Arial" w:hAnsi="Arial"/>
          <w:sz w:val="20"/>
          <w:szCs w:val="20"/>
        </w:rPr>
      </w:r>
    </w:p>
    <w:p>
      <w:pPr>
        <w:pStyle w:val="Standard"/>
        <w:jc w:val="both"/>
        <w:rPr/>
      </w:pPr>
      <w:r>
        <w:rPr>
          <w:sz w:val="20"/>
          <w:szCs w:val="20"/>
        </w:rPr>
        <w:t>Montant minimum annuel</w:t>
        <w:tab/>
        <w:tab/>
        <w:t>Sans</w:t>
      </w:r>
    </w:p>
    <w:p>
      <w:pPr>
        <w:pStyle w:val="Standard"/>
        <w:suppressAutoHyphens w:val="true"/>
        <w:jc w:val="both"/>
        <w:rPr/>
      </w:pPr>
      <w:r>
        <w:rPr>
          <w:i w:val="false"/>
          <w:iCs w:val="false"/>
          <w:color w:val="00000A"/>
          <w:sz w:val="20"/>
          <w:szCs w:val="20"/>
          <w:lang w:val="fr-FR" w:eastAsia="zh-CN" w:bidi="hi-IN"/>
        </w:rPr>
        <w:t>Montant maximum annuel</w:t>
        <w:tab/>
        <w:tab/>
        <w:t>100 000,00 € HT</w:t>
      </w:r>
    </w:p>
    <w:p>
      <w:pPr>
        <w:pStyle w:val="Titre2"/>
        <w:rPr>
          <w:rFonts w:ascii="Arial" w:hAnsi="Arial"/>
          <w:i w:val="false"/>
          <w:i w:val="false"/>
          <w:iCs w:val="false"/>
          <w:sz w:val="24"/>
          <w:szCs w:val="24"/>
        </w:rPr>
      </w:pPr>
      <w:bookmarkStart w:id="12" w:name="__RefHeading___Toc1315_423768294"/>
      <w:bookmarkEnd w:id="12"/>
      <w:r>
        <w:rPr/>
        <w:t>1.4 Date d’effet de l’accord-cadre</w:t>
      </w:r>
    </w:p>
    <w:p>
      <w:pPr>
        <w:pStyle w:val="Standard"/>
        <w:rPr>
          <w:shd w:fill="FFFFFF" w:val="clear"/>
        </w:rPr>
      </w:pPr>
      <w:r>
        <w:rPr>
          <w:shd w:fill="FFFFFF" w:val="clear"/>
        </w:rPr>
      </w:r>
    </w:p>
    <w:p>
      <w:pPr>
        <w:pStyle w:val="Standard"/>
        <w:suppressAutoHyphens w:val="true"/>
        <w:jc w:val="both"/>
        <w:rPr/>
      </w:pPr>
      <w:r>
        <w:rPr>
          <w:i w:val="false"/>
          <w:iCs w:val="false"/>
          <w:color w:val="00000A"/>
          <w:highlight w:val="white"/>
          <w:lang w:val="fr-FR" w:eastAsia="zh-CN" w:bidi="hi-IN"/>
        </w:rPr>
        <w:t>La date de début de la période de validité et d’exécution de l’accord-cadre est sa date de notification au titulaire.</w:t>
      </w:r>
    </w:p>
    <w:p>
      <w:pPr>
        <w:pStyle w:val="Titre2"/>
        <w:rPr/>
      </w:pPr>
      <w:bookmarkStart w:id="13" w:name="__RefHeading___Toc1317_423768294"/>
      <w:bookmarkEnd w:id="13"/>
      <w:r>
        <w:rPr/>
        <w:t>1.5 Durée de l’accord-cadre</w:t>
      </w:r>
    </w:p>
    <w:p>
      <w:pPr>
        <w:pStyle w:val="Standard"/>
        <w:rPr/>
      </w:pPr>
      <w:r>
        <w:rPr/>
      </w:r>
    </w:p>
    <w:p>
      <w:pPr>
        <w:pStyle w:val="Standard"/>
        <w:rPr>
          <w:rFonts w:ascii="Arial" w:hAnsi="Arial"/>
          <w:sz w:val="20"/>
          <w:szCs w:val="20"/>
        </w:rPr>
      </w:pPr>
      <w:r>
        <w:rPr>
          <w:sz w:val="20"/>
          <w:szCs w:val="20"/>
          <w:u w:val="none"/>
          <w:lang w:val="zxx" w:eastAsia="zxx" w:bidi="zxx"/>
        </w:rPr>
        <w:t xml:space="preserve">La durée se définit comme </w:t>
      </w:r>
      <w:r>
        <w:rPr>
          <w:sz w:val="20"/>
          <w:szCs w:val="20"/>
        </w:rPr>
        <w:t xml:space="preserve">suit : pour une période initiale de </w:t>
      </w:r>
      <w:r>
        <w:rPr>
          <w:b/>
          <w:bCs/>
          <w:sz w:val="20"/>
          <w:szCs w:val="20"/>
        </w:rPr>
        <w:t>12 mois</w:t>
      </w:r>
      <w:r>
        <w:rPr>
          <w:sz w:val="20"/>
          <w:szCs w:val="20"/>
        </w:rPr>
        <w:t xml:space="preserve"> à compter de sa date de notification au titulaire.</w:t>
      </w:r>
    </w:p>
    <w:p>
      <w:pPr>
        <w:pStyle w:val="Standard"/>
        <w:rPr/>
      </w:pPr>
      <w:r>
        <w:rPr/>
      </w:r>
    </w:p>
    <w:p>
      <w:pPr>
        <w:pStyle w:val="Standard"/>
        <w:rPr>
          <w:rFonts w:ascii="Arial" w:hAnsi="Arial"/>
          <w:sz w:val="20"/>
          <w:szCs w:val="20"/>
        </w:rPr>
      </w:pPr>
      <w:r>
        <w:rPr>
          <w:sz w:val="20"/>
          <w:szCs w:val="20"/>
        </w:rPr>
        <w:t>L’accord-cadre est reconductible par période</w:t>
      </w:r>
      <w:r>
        <w:rPr>
          <w:b/>
          <w:sz w:val="20"/>
          <w:szCs w:val="20"/>
        </w:rPr>
        <w:t xml:space="preserve"> 12 mois</w:t>
      </w:r>
      <w:r>
        <w:rPr>
          <w:b w:val="false"/>
          <w:i w:val="false"/>
          <w:sz w:val="20"/>
          <w:szCs w:val="20"/>
          <w:u w:val="none"/>
        </w:rPr>
        <w:t xml:space="preserve">, dans la limite de </w:t>
      </w:r>
      <w:r>
        <w:rPr>
          <w:b/>
          <w:i w:val="false"/>
          <w:sz w:val="20"/>
          <w:szCs w:val="20"/>
          <w:u w:val="none"/>
        </w:rPr>
        <w:t>1</w:t>
      </w:r>
      <w:r>
        <w:rPr>
          <w:b w:val="false"/>
          <w:i w:val="false"/>
          <w:sz w:val="20"/>
          <w:szCs w:val="20"/>
          <w:u w:val="none"/>
        </w:rPr>
        <w:t xml:space="preserve"> reconduction.</w:t>
      </w:r>
    </w:p>
    <w:p>
      <w:pPr>
        <w:pStyle w:val="Standard"/>
        <w:rPr/>
      </w:pPr>
      <w:r>
        <w:rPr/>
      </w:r>
    </w:p>
    <w:p>
      <w:pPr>
        <w:pStyle w:val="Standard"/>
        <w:rPr>
          <w:rFonts w:ascii="Arial" w:hAnsi="Arial"/>
          <w:sz w:val="20"/>
          <w:szCs w:val="20"/>
        </w:rPr>
      </w:pPr>
      <w:r>
        <w:rPr>
          <w:b w:val="false"/>
          <w:i w:val="false"/>
          <w:sz w:val="20"/>
          <w:szCs w:val="20"/>
          <w:u w:val="none"/>
        </w:rPr>
        <w:t xml:space="preserve">La reconduction se fera de manière </w:t>
      </w:r>
      <w:r>
        <w:rPr>
          <w:b/>
          <w:i w:val="false"/>
          <w:sz w:val="20"/>
          <w:szCs w:val="20"/>
          <w:u w:val="none"/>
        </w:rPr>
        <w:t>tacite.</w:t>
      </w:r>
    </w:p>
    <w:p>
      <w:pPr>
        <w:pStyle w:val="Standard"/>
        <w:rPr/>
      </w:pPr>
      <w:r>
        <w:rPr/>
      </w:r>
    </w:p>
    <w:p>
      <w:pPr>
        <w:pStyle w:val="Standard"/>
        <w:rPr>
          <w:rFonts w:ascii="Arial" w:hAnsi="Arial"/>
          <w:sz w:val="20"/>
          <w:szCs w:val="20"/>
        </w:rPr>
      </w:pPr>
      <w:r>
        <w:rPr>
          <w:b w:val="false"/>
          <w:i w:val="false"/>
          <w:sz w:val="20"/>
          <w:szCs w:val="20"/>
          <w:u w:val="none"/>
        </w:rPr>
        <w:t xml:space="preserve">En cas de décision de </w:t>
      </w:r>
      <w:r>
        <w:rPr>
          <w:b/>
          <w:i w:val="false"/>
          <w:sz w:val="20"/>
          <w:szCs w:val="20"/>
          <w:u w:val="none"/>
        </w:rPr>
        <w:t>non</w:t>
      </w:r>
      <w:r>
        <w:rPr>
          <w:b w:val="false"/>
          <w:i w:val="false"/>
          <w:sz w:val="20"/>
          <w:szCs w:val="20"/>
          <w:u w:val="none"/>
        </w:rPr>
        <w:t xml:space="preserve"> reconduction, le représentant du Pouvoir Adjudicateur transmet sa décision au titulaire par lettre recommandée avec accusé de réception au plus tard </w:t>
      </w:r>
      <w:r>
        <w:rPr>
          <w:b/>
          <w:i w:val="false"/>
          <w:sz w:val="20"/>
          <w:szCs w:val="20"/>
          <w:u w:val="none"/>
        </w:rPr>
        <w:t>2 mois</w:t>
      </w:r>
      <w:r>
        <w:rPr>
          <w:b w:val="false"/>
          <w:i w:val="false"/>
          <w:sz w:val="20"/>
          <w:szCs w:val="20"/>
          <w:u w:val="none"/>
        </w:rPr>
        <w:t xml:space="preserve"> avant la fin de la durée de validité de l'accord-cadre.</w:t>
      </w:r>
    </w:p>
    <w:p>
      <w:pPr>
        <w:pStyle w:val="Standard"/>
        <w:rPr/>
      </w:pPr>
      <w:r>
        <w:rPr/>
      </w:r>
    </w:p>
    <w:p>
      <w:pPr>
        <w:pStyle w:val="Standard"/>
        <w:rPr>
          <w:rFonts w:ascii="Arial" w:hAnsi="Arial"/>
          <w:sz w:val="20"/>
          <w:szCs w:val="20"/>
        </w:rPr>
      </w:pPr>
      <w:r>
        <w:rPr>
          <w:sz w:val="20"/>
          <w:szCs w:val="20"/>
        </w:rPr>
      </w:r>
    </w:p>
    <w:p>
      <w:pPr>
        <w:pStyle w:val="Titre2"/>
        <w:rPr/>
      </w:pPr>
      <w:bookmarkStart w:id="14" w:name="__RefHeading___Toc1319_423768294"/>
      <w:bookmarkEnd w:id="14"/>
      <w:r>
        <w:rPr/>
        <w:t>1.6 Clause obligatoire d’insertion par l’activité économique</w:t>
      </w:r>
    </w:p>
    <w:p>
      <w:pPr>
        <w:pStyle w:val="Standard"/>
        <w:rPr/>
      </w:pPr>
      <w:r>
        <w:rPr/>
      </w:r>
    </w:p>
    <w:p>
      <w:pPr>
        <w:pStyle w:val="Standard"/>
        <w:rPr/>
      </w:pPr>
      <w:r>
        <w:rPr/>
        <w:t>L’accord-cadre ne prévoit pas de clause obligatoire d’insertion par l’activité économique.</w:t>
      </w:r>
    </w:p>
    <w:p>
      <w:pPr>
        <w:pStyle w:val="Standard"/>
        <w:rPr/>
      </w:pPr>
      <w:r>
        <w:rPr/>
      </w:r>
    </w:p>
    <w:p>
      <w:pPr>
        <w:pStyle w:val="Titre1"/>
        <w:rPr>
          <w:rFonts w:ascii="Arial" w:hAnsi="Arial"/>
          <w:sz w:val="32"/>
          <w:szCs w:val="32"/>
        </w:rPr>
      </w:pPr>
      <w:bookmarkStart w:id="15" w:name="__RefHeading___Toc1321_423768294"/>
      <w:bookmarkStart w:id="16" w:name="_Toc38531033"/>
      <w:bookmarkStart w:id="17" w:name="_Toc38033676"/>
      <w:bookmarkStart w:id="18" w:name="_Toc37340647"/>
      <w:bookmarkStart w:id="19" w:name="_Toc37090768"/>
      <w:bookmarkEnd w:id="15"/>
      <w:bookmarkEnd w:id="16"/>
      <w:bookmarkEnd w:id="17"/>
      <w:bookmarkEnd w:id="18"/>
      <w:bookmarkEnd w:id="19"/>
      <w:r>
        <w:rPr/>
        <w:t>ARTICLE 2 - DOCUMENTS CONTRACTUELS</w:t>
      </w:r>
    </w:p>
    <w:p>
      <w:pPr>
        <w:pStyle w:val="Standard"/>
        <w:rPr/>
      </w:pPr>
      <w:r>
        <w:rPr/>
      </w:r>
    </w:p>
    <w:p>
      <w:pPr>
        <w:pStyle w:val="Standard"/>
        <w:rPr/>
      </w:pPr>
      <w:r>
        <w:rPr/>
        <w:t>Les pièces constitutives sont les suivantes, par ordre de priorité décroissante :</w:t>
      </w:r>
    </w:p>
    <w:p>
      <w:pPr>
        <w:pStyle w:val="Titre2"/>
        <w:rPr/>
      </w:pPr>
      <w:bookmarkStart w:id="20" w:name="__RefHeading___Toc5798_1887393591"/>
      <w:bookmarkEnd w:id="20"/>
      <w:r>
        <w:rPr/>
        <w:t>2.1 Pièces particulières</w:t>
      </w:r>
    </w:p>
    <w:p>
      <w:pPr>
        <w:pStyle w:val="Standard"/>
        <w:rPr/>
      </w:pPr>
      <w:r>
        <w:rPr/>
      </w:r>
    </w:p>
    <w:p>
      <w:pPr>
        <w:pStyle w:val="Standard"/>
        <w:rPr/>
      </w:pPr>
      <w:r>
        <w:rPr/>
        <w:t>- L'Acte d'Engagement (AE)</w:t>
      </w:r>
    </w:p>
    <w:p>
      <w:pPr>
        <w:pStyle w:val="Standard"/>
        <w:rPr/>
      </w:pPr>
      <w:r>
        <w:rPr/>
        <w:t>- Le présent Cahier des Clauses Administratives Particulières (C.C.A.P.)</w:t>
      </w:r>
    </w:p>
    <w:p>
      <w:pPr>
        <w:pStyle w:val="Standard"/>
        <w:rPr/>
      </w:pPr>
      <w:r>
        <w:rPr/>
        <w:t>- Le Cahier des Clauses Techniques Particulières (C.C.T.P.)</w:t>
      </w:r>
    </w:p>
    <w:p>
      <w:pPr>
        <w:pStyle w:val="Standard"/>
        <w:rPr/>
      </w:pPr>
      <w:r>
        <w:rPr/>
        <w:t>- Le Bordereau de Prix Unitaires (BPU)</w:t>
      </w:r>
    </w:p>
    <w:p>
      <w:pPr>
        <w:pStyle w:val="Standard"/>
        <w:rPr/>
      </w:pPr>
      <w:r>
        <w:rPr/>
        <w:t>- Le mémoire technique du titulaire</w:t>
      </w:r>
    </w:p>
    <w:p>
      <w:pPr>
        <w:pStyle w:val="Standard"/>
        <w:rPr/>
      </w:pPr>
      <w:r>
        <w:rPr/>
        <w:t>- Le planning de coordination et de planification</w:t>
      </w:r>
    </w:p>
    <w:p>
      <w:pPr>
        <w:pStyle w:val="Titre2"/>
        <w:rPr/>
      </w:pPr>
      <w:bookmarkStart w:id="21" w:name="__RefHeading___Toc5800_1887393591"/>
      <w:bookmarkEnd w:id="21"/>
      <w:r>
        <w:rPr/>
        <w:t>2.2 Pièces générales</w:t>
      </w:r>
    </w:p>
    <w:p>
      <w:pPr>
        <w:pStyle w:val="Standard"/>
        <w:rPr/>
      </w:pPr>
      <w:r>
        <w:rPr/>
      </w:r>
    </w:p>
    <w:p>
      <w:pPr>
        <w:pStyle w:val="Standard"/>
        <w:rPr/>
      </w:pPr>
      <w:r>
        <w:rPr>
          <w:shd w:fill="FFFFFF" w:val="clear"/>
        </w:rPr>
        <w:t>- Le Code Général des Collectivités Territoriales (C.G.C.T.)</w:t>
      </w:r>
    </w:p>
    <w:p>
      <w:pPr>
        <w:pStyle w:val="Standard"/>
        <w:rPr/>
      </w:pPr>
      <w:r>
        <w:rPr/>
        <w:t>- Le cahier des clauses administratives générales (C.C.A.G.) applicable aux marchés publics de Fournitures courantes et de services</w:t>
      </w:r>
      <w:r>
        <w:rPr>
          <w:shd w:fill="FFFFFF" w:val="clear"/>
        </w:rPr>
        <w:t xml:space="preserve"> approuvé par l'arrêté du 19 janvier 2009 publié au JORF du 19 mars 2009</w:t>
      </w:r>
    </w:p>
    <w:p>
      <w:pPr>
        <w:pStyle w:val="Standard"/>
        <w:rPr/>
      </w:pPr>
      <w:r>
        <w:rPr/>
      </w:r>
    </w:p>
    <w:p>
      <w:pPr>
        <w:pStyle w:val="Titre1"/>
        <w:rPr/>
      </w:pPr>
      <w:bookmarkStart w:id="22" w:name="__RefHeading___Toc1323_423768294"/>
      <w:bookmarkStart w:id="23" w:name="_Toc38531034"/>
      <w:bookmarkStart w:id="24" w:name="_Toc38033677"/>
      <w:bookmarkStart w:id="25" w:name="_Toc37340648"/>
      <w:bookmarkStart w:id="26" w:name="_Toc37090769"/>
      <w:bookmarkEnd w:id="22"/>
      <w:bookmarkEnd w:id="23"/>
      <w:bookmarkEnd w:id="24"/>
      <w:bookmarkEnd w:id="25"/>
      <w:bookmarkEnd w:id="26"/>
      <w:r>
        <w:rPr>
          <w:rFonts w:ascii="Arial" w:hAnsi="Arial"/>
          <w:sz w:val="32"/>
          <w:szCs w:val="32"/>
        </w:rPr>
        <w:t xml:space="preserve">ARTICLE 3 - </w:t>
      </w:r>
      <w:r>
        <w:rPr/>
        <w:t>DELAIS D'EXECUTION</w:t>
      </w:r>
    </w:p>
    <w:p>
      <w:pPr>
        <w:pStyle w:val="Titre2"/>
        <w:rPr/>
      </w:pPr>
      <w:bookmarkStart w:id="27" w:name="__RefHeading___Toc1325_423768294"/>
      <w:bookmarkEnd w:id="27"/>
      <w:r>
        <w:rPr/>
        <w:t>3.1 Délais</w:t>
      </w:r>
    </w:p>
    <w:p>
      <w:pPr>
        <w:pStyle w:val="Standard"/>
        <w:rPr>
          <w:rFonts w:ascii="Arial" w:hAnsi="Arial"/>
          <w:sz w:val="20"/>
          <w:szCs w:val="20"/>
        </w:rPr>
      </w:pPr>
      <w:r>
        <w:rPr>
          <w:sz w:val="20"/>
          <w:szCs w:val="20"/>
        </w:rPr>
      </w:r>
    </w:p>
    <w:p>
      <w:pPr>
        <w:pStyle w:val="Normal"/>
        <w:suppressAutoHyphens w:val="false"/>
        <w:jc w:val="both"/>
        <w:textAlignment w:val="auto"/>
        <w:rPr/>
      </w:pPr>
      <w:r>
        <w:rPr>
          <w:rFonts w:ascii="Arial" w:hAnsi="Arial"/>
          <w:sz w:val="20"/>
          <w:szCs w:val="20"/>
        </w:rPr>
        <w:t>Un planning des prestations sera établi en coordination entre le pouvoir adjudicateur et le titulaire pour le mois suivant. Le bon de commande tiendra compte de cette planification.</w:t>
      </w:r>
    </w:p>
    <w:p>
      <w:pPr>
        <w:pStyle w:val="Normal"/>
        <w:suppressAutoHyphens w:val="false"/>
        <w:jc w:val="both"/>
        <w:textAlignment w:val="auto"/>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color w:val="000000"/>
          <w:sz w:val="20"/>
          <w:szCs w:val="20"/>
        </w:rPr>
      </w:pPr>
      <w:r>
        <w:rPr>
          <w:rFonts w:ascii="Arial" w:hAnsi="Arial"/>
          <w:color w:val="000000"/>
          <w:sz w:val="20"/>
          <w:szCs w:val="20"/>
        </w:rPr>
        <w:t>Une prolongation du délai d'exécution peut être accordée par le pouvoir adjudicateur dans les conditions de l'article 13.3 du CCAG-FCS.</w:t>
      </w:r>
    </w:p>
    <w:p>
      <w:pPr>
        <w:pStyle w:val="Normal"/>
        <w:suppressAutoHyphens w:val="false"/>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Conformément à l'article 13 du CCAG F.C.S, une prolongation du délai d'exécution peut être accordée par la Ville de Marseille au titulaire lorsqu'une cause n'engageant pas la responsabilité de ce dernier et ne lui étant pas imputable fait obstacle à l'exécution de l’accord-cadre dans les délais contractuels. Il en est notamment ainsi si la cause qui met le titulaire dans l'impossibilité de respecter les délais contractuels est le fait de la personne publique ou provient d'un événement ayant le caractère de force majeure.</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textAlignment w:val="auto"/>
        <w:rPr/>
      </w:pPr>
      <w:r>
        <w:rPr>
          <w:rFonts w:ascii="Arial" w:hAnsi="Arial"/>
          <w:sz w:val="20"/>
          <w:szCs w:val="20"/>
        </w:rPr>
        <w:t>Le délai ainsi prolongé a, pour l'application de l’accord-cadre, les mêmes effets que le délai contractuel.</w:t>
      </w:r>
    </w:p>
    <w:p>
      <w:pPr>
        <w:pStyle w:val="Normal"/>
        <w:jc w:val="both"/>
        <w:textAlignment w:val="auto"/>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sz w:val="20"/>
          <w:szCs w:val="20"/>
        </w:rPr>
        <w:t>Pour bénéficier d'une telle prolongation, il faut que les conditions suivantes soient remplies :</w:t>
      </w:r>
    </w:p>
    <w:p>
      <w:pPr>
        <w:pStyle w:val="Normal"/>
        <w:jc w:val="both"/>
        <w:rPr>
          <w:rFonts w:ascii="Arial" w:hAnsi="Arial"/>
          <w:sz w:val="20"/>
          <w:szCs w:val="20"/>
        </w:rPr>
      </w:pPr>
      <w:r>
        <w:rPr>
          <w:rFonts w:ascii="Arial" w:hAnsi="Arial"/>
          <w:sz w:val="20"/>
          <w:szCs w:val="20"/>
        </w:rPr>
        <w:t>- Le délai d'exécution du bon de commande ne soit pas épuisé au moment où la demande de prolongation est formulée,</w:t>
      </w:r>
    </w:p>
    <w:p>
      <w:pPr>
        <w:pStyle w:val="Normal"/>
        <w:jc w:val="both"/>
        <w:rPr>
          <w:rFonts w:ascii="Arial" w:hAnsi="Arial"/>
          <w:sz w:val="20"/>
          <w:szCs w:val="20"/>
        </w:rPr>
      </w:pPr>
      <w:r>
        <w:rPr>
          <w:rFonts w:ascii="Arial" w:hAnsi="Arial"/>
          <w:sz w:val="20"/>
          <w:szCs w:val="20"/>
        </w:rPr>
        <w:t>- La demande de prolongation soit dûment effectuée auprès du Pouvoir Adjudicateur par lettre recommandée avec accusé de réception (le titulaire dispose d'un délai de 15 jours ouvrés à compter de la date à laquelle sont apparues les causes du retard, pour adresser cette demande),</w:t>
      </w:r>
    </w:p>
    <w:p>
      <w:pPr>
        <w:pStyle w:val="Normal"/>
        <w:jc w:val="both"/>
        <w:textAlignment w:val="auto"/>
        <w:rPr/>
      </w:pPr>
      <w:r>
        <w:rPr>
          <w:rFonts w:ascii="Arial" w:hAnsi="Arial"/>
          <w:sz w:val="20"/>
          <w:szCs w:val="20"/>
        </w:rPr>
        <w:t>- Le Titulaire apporte les preuves que les retards sont dus à des circonstances imprévisibles ne résultant pas de son fait.</w:t>
      </w:r>
    </w:p>
    <w:p>
      <w:pPr>
        <w:pStyle w:val="Titre2"/>
        <w:widowControl w:val="false"/>
        <w:numPr>
          <w:ilvl w:val="0"/>
          <w:numId w:val="0"/>
        </w:numPr>
        <w:suppressAutoHyphens w:val="true"/>
        <w:bidi w:val="0"/>
        <w:spacing w:before="240" w:after="60"/>
        <w:ind w:left="1080" w:right="0" w:hanging="0"/>
        <w:jc w:val="left"/>
        <w:textAlignment w:val="baseline"/>
        <w:outlineLvl w:val="1"/>
        <w:rPr>
          <w:rFonts w:ascii="Arial" w:hAnsi="Arial"/>
          <w:i w:val="false"/>
          <w:i w:val="false"/>
          <w:iCs w:val="false"/>
          <w:sz w:val="24"/>
          <w:szCs w:val="24"/>
          <w:highlight w:val="white"/>
        </w:rPr>
      </w:pPr>
      <w:r>
        <w:rPr>
          <w:rFonts w:ascii="Arial" w:hAnsi="Arial"/>
          <w:i w:val="false"/>
          <w:iCs w:val="false"/>
          <w:sz w:val="24"/>
          <w:szCs w:val="24"/>
          <w:highlight w:val="white"/>
        </w:rPr>
      </w:r>
      <w:r>
        <w:br w:type="page"/>
      </w:r>
    </w:p>
    <w:p>
      <w:pPr>
        <w:pStyle w:val="Titre2"/>
        <w:rPr/>
      </w:pPr>
      <w:bookmarkStart w:id="28" w:name="__RefHeading___Toc1327_423768294"/>
      <w:bookmarkEnd w:id="28"/>
      <w:r>
        <w:rPr/>
        <w:t>3.2 Emission des bons de commande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précisent les prestations dont l’exécution est demandée et en déterminent la quantité.</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 xml:space="preserve">Les bons de commande pourront être émis jusqu’au dernier jour de validité de l’accord-cadre. </w:t>
      </w:r>
    </w:p>
    <w:p>
      <w:pPr>
        <w:pStyle w:val="Normal"/>
        <w:rPr>
          <w:rFonts w:ascii="Arial" w:hAnsi="Arial"/>
          <w:sz w:val="20"/>
          <w:szCs w:val="20"/>
        </w:rPr>
      </w:pPr>
      <w:r>
        <w:rPr>
          <w:rFonts w:ascii="Arial" w:hAnsi="Arial"/>
          <w:sz w:val="20"/>
          <w:szCs w:val="20"/>
        </w:rPr>
      </w:r>
    </w:p>
    <w:p>
      <w:pPr>
        <w:pStyle w:val="Normal"/>
        <w:suppressAutoHyphens w:val="false"/>
        <w:jc w:val="both"/>
        <w:textAlignment w:val="auto"/>
        <w:rPr>
          <w:rFonts w:ascii="Arial" w:hAnsi="Arial"/>
          <w:sz w:val="20"/>
          <w:szCs w:val="20"/>
        </w:rPr>
      </w:pPr>
      <w:r>
        <w:rPr>
          <w:rFonts w:ascii="Arial" w:hAnsi="Arial"/>
          <w:sz w:val="20"/>
          <w:szCs w:val="20"/>
        </w:rPr>
        <w:t>Leur durée d'exécution ne peut excéder 3 mois au-delà de la date de validité de l’accord cadre.</w:t>
      </w:r>
    </w:p>
    <w:p>
      <w:pPr>
        <w:pStyle w:val="Normal"/>
        <w:suppressAutoHyphens w:val="false"/>
        <w:jc w:val="both"/>
        <w:textAlignment w:val="auto"/>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Chaque bon de commande contiendra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désignation de la prestation à effectuer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maximale de prestations à réaliser,</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référence au marché,</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quantité commandée,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délai d'exécution, dates de début et fin</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Les prix unitaires HT</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Le montant total en Euro HT et TTC du bon de commande</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rPr>
        <w:t>La date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bons de commande signés par le représentant du Pouvoir Adjudicateur pourront être honorés par le Titulaire.</w:t>
      </w:r>
    </w:p>
    <w:p>
      <w:pPr>
        <w:pStyle w:val="Normal"/>
        <w:jc w:val="both"/>
        <w:rPr>
          <w:rFonts w:ascii="Arial" w:hAnsi="Arial"/>
          <w:sz w:val="20"/>
          <w:szCs w:val="20"/>
        </w:rPr>
      </w:pPr>
      <w:r>
        <w:rPr>
          <w:rFonts w:ascii="Arial" w:hAnsi="Arial"/>
          <w:sz w:val="20"/>
          <w:szCs w:val="20"/>
        </w:rPr>
      </w:r>
    </w:p>
    <w:p>
      <w:pPr>
        <w:pStyle w:val="Normal"/>
        <w:jc w:val="both"/>
        <w:rPr>
          <w:rFonts w:ascii="Arial" w:hAnsi="Arial"/>
          <w:b/>
          <w:b/>
          <w:sz w:val="20"/>
          <w:szCs w:val="20"/>
        </w:rPr>
      </w:pPr>
      <w:r>
        <w:rPr>
          <w:rFonts w:ascii="Arial" w:hAnsi="Arial"/>
          <w:b w:val="false"/>
          <w:bCs w:val="false"/>
          <w:sz w:val="20"/>
          <w:szCs w:val="20"/>
        </w:rPr>
        <w:t>Le prix de règlement de chaque commande est déterminé en affectant les prix unitaires aux quantités commandées.</w:t>
      </w:r>
    </w:p>
    <w:p>
      <w:pPr>
        <w:pStyle w:val="Normal"/>
        <w:jc w:val="both"/>
        <w:rPr>
          <w:b w:val="false"/>
          <w:b w:val="false"/>
          <w:bCs w:val="false"/>
        </w:rPr>
      </w:pPr>
      <w:r>
        <w:rPr>
          <w:rFonts w:ascii="Arial" w:hAnsi="Arial"/>
          <w:b w:val="false"/>
          <w:bCs w:val="false"/>
          <w:sz w:val="20"/>
          <w:szCs w:val="20"/>
        </w:rPr>
        <w:t>L'administration commandera les quantités qu'elle jugera nécessaire.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bons de commande seront notifiés par mail (avec accusé de réception) ou par tout autre moyen.</w:t>
      </w:r>
    </w:p>
    <w:p>
      <w:pPr>
        <w:pStyle w:val="Normal"/>
        <w:jc w:val="both"/>
        <w:rPr>
          <w:rFonts w:ascii="Arial" w:hAnsi="Arial"/>
          <w:sz w:val="20"/>
          <w:szCs w:val="20"/>
        </w:rPr>
      </w:pPr>
      <w:r>
        <w:rPr>
          <w:rFonts w:ascii="Arial" w:hAnsi="Arial"/>
          <w:sz w:val="20"/>
          <w:szCs w:val="20"/>
        </w:rPr>
      </w:r>
    </w:p>
    <w:p>
      <w:pPr>
        <w:pStyle w:val="Titre1"/>
        <w:rPr>
          <w:rFonts w:ascii="Arial" w:hAnsi="Arial"/>
          <w:sz w:val="32"/>
          <w:szCs w:val="32"/>
        </w:rPr>
      </w:pPr>
      <w:bookmarkStart w:id="29" w:name="__RefHeading___Toc1329_423768294"/>
      <w:bookmarkStart w:id="30" w:name="_Toc38531037"/>
      <w:bookmarkStart w:id="31" w:name="_Toc38033680"/>
      <w:bookmarkStart w:id="32" w:name="_Toc37340651"/>
      <w:bookmarkStart w:id="33" w:name="_Toc37090772"/>
      <w:bookmarkEnd w:id="29"/>
      <w:bookmarkEnd w:id="30"/>
      <w:bookmarkEnd w:id="31"/>
      <w:bookmarkEnd w:id="32"/>
      <w:bookmarkEnd w:id="33"/>
      <w:r>
        <w:rPr/>
        <w:t>ARTICLE 4 - ENTREPRISES GROUPEES</w:t>
      </w:r>
    </w:p>
    <w:p>
      <w:pPr>
        <w:pStyle w:val="Normal"/>
        <w:widowControl/>
        <w:suppressAutoHyphens w:val="true"/>
        <w:bidi w:val="0"/>
        <w:ind w:left="0" w:right="0" w:hanging="0"/>
        <w:jc w:val="left"/>
        <w:textAlignment w:val="baseline"/>
        <w:rPr/>
      </w:pPr>
      <w:r>
        <w:rPr/>
      </w:r>
    </w:p>
    <w:p>
      <w:pPr>
        <w:pStyle w:val="Standard"/>
        <w:rPr/>
      </w:pPr>
      <w:r>
        <w:rPr/>
        <w:t>Le mandataire du groupement représente l'ensemble des entrepreneurs, vis-à-vis du représentant du pouvoir adjudicateur pour l'exécution du marché.</w:t>
      </w:r>
    </w:p>
    <w:p>
      <w:pPr>
        <w:pStyle w:val="Standard"/>
        <w:rPr/>
      </w:pPr>
      <w:r>
        <w:rPr/>
        <w:t>Il assure, sous sa responsabilité, la coordination de ces entrepreneurs.</w:t>
      </w:r>
    </w:p>
    <w:p>
      <w:pPr>
        <w:pStyle w:val="Standard"/>
        <w:rPr/>
      </w:pPr>
      <w:r>
        <w:rPr/>
      </w:r>
    </w:p>
    <w:p>
      <w:pPr>
        <w:pStyle w:val="Standard"/>
        <w:rPr/>
      </w:pPr>
      <w: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Standard"/>
        <w:rPr/>
      </w:pPr>
      <w:r>
        <w:rPr/>
        <w:t xml:space="preserve"> </w:t>
      </w:r>
    </w:p>
    <w:p>
      <w:pPr>
        <w:pStyle w:val="Standard"/>
        <w:rPr/>
      </w:pPr>
      <w:r>
        <w:rPr/>
        <w:t>Dans le cas d'entrepreneurs groupés solidaires, si le marché ne désigne pas l'entrepreneur mandataire, celui qui est énuméré le premier dans l'acte d'engagement est le mandataire des autres entrepreneurs.</w:t>
      </w:r>
    </w:p>
    <w:p>
      <w:pPr>
        <w:pStyle w:val="Standard"/>
        <w:rPr/>
      </w:pPr>
      <w:r>
        <w:rPr/>
      </w:r>
    </w:p>
    <w:p>
      <w:pPr>
        <w:pStyle w:val="Titre1"/>
        <w:rPr>
          <w:rFonts w:ascii="Arial" w:hAnsi="Arial"/>
          <w:sz w:val="32"/>
          <w:szCs w:val="32"/>
        </w:rPr>
      </w:pPr>
      <w:bookmarkStart w:id="34" w:name="__RefHeading___Toc1331_423768294"/>
      <w:bookmarkStart w:id="35" w:name="_Toc38531038"/>
      <w:bookmarkStart w:id="36" w:name="_Toc38033681"/>
      <w:bookmarkStart w:id="37" w:name="_Toc37340652"/>
      <w:bookmarkStart w:id="38" w:name="_Toc37090773"/>
      <w:bookmarkEnd w:id="34"/>
      <w:bookmarkEnd w:id="35"/>
      <w:bookmarkEnd w:id="36"/>
      <w:bookmarkEnd w:id="37"/>
      <w:bookmarkEnd w:id="38"/>
      <w:r>
        <w:rPr/>
        <w:t>ARTICLE 5 - CONDITIONS D'EXECUTION</w:t>
      </w:r>
    </w:p>
    <w:p>
      <w:pPr>
        <w:pStyle w:val="Standard"/>
        <w:rPr/>
      </w:pPr>
      <w:r>
        <w:rPr/>
      </w:r>
    </w:p>
    <w:p>
      <w:pPr>
        <w:pStyle w:val="Standard"/>
        <w:rPr/>
      </w:pPr>
      <w:r>
        <w:rPr>
          <w:color w:val="000000"/>
        </w:rPr>
        <w:t>Les prestations de crémation seront réalisées dans le crématorium du titulaire situé dans le périmètre géographique de la Métropole Aix-Marseille-Provence.</w:t>
      </w:r>
    </w:p>
    <w:p>
      <w:pPr>
        <w:pStyle w:val="Standard"/>
        <w:rPr>
          <w:color w:val="000000"/>
        </w:rPr>
      </w:pPr>
      <w:r>
        <w:rPr>
          <w:color w:val="000000"/>
        </w:rPr>
      </w:r>
    </w:p>
    <w:p>
      <w:pPr>
        <w:pStyle w:val="Standard"/>
        <w:rPr/>
      </w:pPr>
      <w:r>
        <w:rPr>
          <w:color w:val="000000"/>
        </w:rPr>
        <w:t>Le C.C.T.P. du marché fixe les conditions particulières d'exécution.</w:t>
      </w:r>
    </w:p>
    <w:p>
      <w:pPr>
        <w:pStyle w:val="Standard"/>
        <w:rPr/>
      </w:pPr>
      <w:r>
        <w:rPr/>
      </w:r>
    </w:p>
    <w:p>
      <w:pPr>
        <w:pStyle w:val="Titre1"/>
        <w:widowControl w:val="false"/>
        <w:numPr>
          <w:ilvl w:val="0"/>
          <w:numId w:val="0"/>
        </w:numPr>
        <w:suppressAutoHyphens w:val="true"/>
        <w:bidi w:val="0"/>
        <w:ind w:left="720" w:right="0" w:hanging="0"/>
        <w:jc w:val="both"/>
        <w:textAlignment w:val="baseline"/>
        <w:outlineLvl w:val="0"/>
        <w:rPr/>
      </w:pPr>
      <w:r>
        <w:rPr/>
      </w:r>
      <w:r>
        <w:br w:type="page"/>
      </w:r>
    </w:p>
    <w:p>
      <w:pPr>
        <w:pStyle w:val="Titre1"/>
        <w:jc w:val="both"/>
        <w:rPr/>
      </w:pPr>
      <w:bookmarkStart w:id="39" w:name="__RefHeading___Toc1333_423768294"/>
      <w:bookmarkStart w:id="40" w:name="_Toc38531039"/>
      <w:bookmarkStart w:id="41" w:name="_Toc38033682"/>
      <w:bookmarkStart w:id="42" w:name="_Toc37340653"/>
      <w:bookmarkStart w:id="43" w:name="_Toc37090774"/>
      <w:bookmarkEnd w:id="39"/>
      <w:bookmarkEnd w:id="40"/>
      <w:bookmarkEnd w:id="41"/>
      <w:bookmarkEnd w:id="42"/>
      <w:bookmarkEnd w:id="43"/>
      <w:r>
        <w:rPr/>
        <w:t>ARTICLE 6 - CONDITIONS PARTICULIERES D'EXECUTION</w:t>
      </w:r>
    </w:p>
    <w:p>
      <w:pPr>
        <w:pStyle w:val="Standard"/>
        <w:rPr/>
      </w:pPr>
      <w:r>
        <w:rPr/>
      </w:r>
    </w:p>
    <w:p>
      <w:pPr>
        <w:pStyle w:val="Standard"/>
        <w:rPr/>
      </w:pPr>
      <w:r>
        <w:rPr/>
        <w:t xml:space="preserve">Le </w:t>
      </w:r>
      <w:bookmarkStart w:id="44" w:name="__DdeLink__3392_1887393591"/>
      <w:bookmarkEnd w:id="44"/>
      <w:r>
        <w:rPr/>
        <w:t>C.C.T.P. du marché fixe les conditions particulières d'exécution.</w:t>
      </w:r>
    </w:p>
    <w:p>
      <w:pPr>
        <w:pStyle w:val="Standard"/>
        <w:rPr/>
      </w:pPr>
      <w:r>
        <w:rPr/>
      </w:r>
    </w:p>
    <w:p>
      <w:pPr>
        <w:pStyle w:val="Titre1"/>
        <w:widowControl w:val="false"/>
        <w:numPr>
          <w:ilvl w:val="0"/>
          <w:numId w:val="0"/>
        </w:numPr>
        <w:suppressAutoHyphens w:val="true"/>
        <w:bidi w:val="0"/>
        <w:ind w:left="0" w:right="0" w:hanging="0"/>
        <w:jc w:val="both"/>
        <w:textAlignment w:val="baseline"/>
        <w:outlineLvl w:val="0"/>
        <w:rPr/>
      </w:pPr>
      <w:bookmarkStart w:id="45" w:name="__RefHeading___Toc1335_423768294"/>
      <w:bookmarkStart w:id="46" w:name="_Toc38531040"/>
      <w:bookmarkStart w:id="47" w:name="_Toc38033683"/>
      <w:bookmarkStart w:id="48" w:name="_Toc37340654"/>
      <w:bookmarkStart w:id="49" w:name="_Toc37090775"/>
      <w:bookmarkEnd w:id="45"/>
      <w:bookmarkEnd w:id="46"/>
      <w:bookmarkEnd w:id="47"/>
      <w:bookmarkEnd w:id="48"/>
      <w:bookmarkEnd w:id="49"/>
      <w:r>
        <w:rPr/>
        <w:t>ARTICLE 7 - OPERATIONS DE VERIFICATIONS – ADMISSION</w:t>
      </w:r>
    </w:p>
    <w:p>
      <w:pPr>
        <w:pStyle w:val="Titre2"/>
        <w:rPr/>
      </w:pPr>
      <w:bookmarkStart w:id="50" w:name="__RefHeading___Toc1337_423768294"/>
      <w:bookmarkStart w:id="51" w:name="_Toc38531041"/>
      <w:bookmarkStart w:id="52" w:name="_Toc38033684"/>
      <w:bookmarkStart w:id="53" w:name="_Toc37340655"/>
      <w:bookmarkStart w:id="54" w:name="_Toc37090776"/>
      <w:bookmarkEnd w:id="50"/>
      <w:bookmarkEnd w:id="51"/>
      <w:bookmarkEnd w:id="52"/>
      <w:bookmarkEnd w:id="53"/>
      <w:bookmarkEnd w:id="54"/>
      <w:r>
        <w:rPr/>
        <w:t>7.1 Vérifications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Tous les litiges pouvant résulter de l'exécution des prestations, et non prévus dans le présent CCAP, seront réglés conformément aux dispositions des articles 22 à 24 «opérations de vérification» du C.C.A.G. relatif aux marchés de fournitures et services.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opérations de vérification seront effectuées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au moment de l’exécution des prestations. Ces opérations de vérifications quantitatives ont pour objet de contrôler la conformité entre la prestation exécutée et les indications figurant sur le bon de commande.</w:t>
      </w:r>
    </w:p>
    <w:p>
      <w:pPr>
        <w:pStyle w:val="Normal"/>
        <w:jc w:val="both"/>
        <w:rPr>
          <w:rFonts w:ascii="Arial" w:hAnsi="Arial"/>
          <w:sz w:val="20"/>
          <w:szCs w:val="20"/>
        </w:rPr>
      </w:pPr>
      <w:r>
        <w:rPr>
          <w:rFonts w:ascii="Arial" w:hAnsi="Arial"/>
          <w:sz w:val="20"/>
          <w:szCs w:val="20"/>
        </w:rPr>
        <w:t>- à posteriori, par la personne gestionnaire du marché de la ville. Ces opérations de vérifications qualitatives ont pour objet de contrôler la conformité des prestations exécutées vis-à-vis des commandes et des spécifications de l’accord-cadre.</w:t>
      </w:r>
    </w:p>
    <w:p>
      <w:pPr>
        <w:pStyle w:val="Titre2"/>
        <w:widowControl w:val="false"/>
        <w:numPr>
          <w:ilvl w:val="0"/>
          <w:numId w:val="0"/>
        </w:numPr>
        <w:suppressAutoHyphens w:val="true"/>
        <w:bidi w:val="0"/>
        <w:spacing w:before="240" w:after="60"/>
        <w:ind w:left="0" w:right="0" w:hanging="0"/>
        <w:jc w:val="left"/>
        <w:textAlignment w:val="baseline"/>
        <w:outlineLvl w:val="1"/>
        <w:rPr/>
      </w:pPr>
      <w:bookmarkStart w:id="55" w:name="__RefHeading___Toc1339_423768294"/>
      <w:bookmarkStart w:id="56" w:name="_Toc38531042"/>
      <w:bookmarkStart w:id="57" w:name="_Toc38033685"/>
      <w:bookmarkStart w:id="58" w:name="_Toc37340656"/>
      <w:bookmarkStart w:id="59" w:name="_Toc37090777"/>
      <w:bookmarkEnd w:id="55"/>
      <w:bookmarkEnd w:id="56"/>
      <w:bookmarkEnd w:id="57"/>
      <w:bookmarkEnd w:id="58"/>
      <w:bookmarkEnd w:id="59"/>
      <w:r>
        <w:rPr/>
        <w:t>7.2 Admission</w:t>
      </w:r>
    </w:p>
    <w:p>
      <w:pPr>
        <w:pStyle w:val="Standard"/>
        <w:rPr/>
      </w:pPr>
      <w:r>
        <w:rPr>
          <w:shd w:fill="FFFFFF" w:val="clear"/>
        </w:rPr>
        <w:t>Suite aux opérations de vérifications, les décisions d'admission, de réfaction, d'ajournement ou de rejet sont prises dans les conditions prévues aux articles 24 et 25 du CCAG/FCS.</w:t>
      </w:r>
    </w:p>
    <w:p>
      <w:pPr>
        <w:pStyle w:val="Standard"/>
        <w:rPr/>
      </w:pPr>
      <w:r>
        <w:rPr/>
      </w:r>
    </w:p>
    <w:p>
      <w:pPr>
        <w:pStyle w:val="Standard"/>
        <w:rPr/>
      </w:pPr>
      <w:r>
        <w:rPr/>
        <w:t>Dans le cas où les fournitures et ou les prestations n'auraient pas été effectuées conformément à la commande, le Représentant du Pouvoir Adjudicateur pourra prononcer l'ajournement, la réfaction ou le rejet des prestations. Cette décision sera transmise au Titulaire, selon l'importance, par courrier recommandé avec accusé de réception, par télécopie ou courrier électronique.</w:t>
      </w:r>
    </w:p>
    <w:p>
      <w:pPr>
        <w:pStyle w:val="Standard"/>
        <w:rPr/>
      </w:pPr>
      <w:r>
        <w:rPr/>
      </w:r>
    </w:p>
    <w:p>
      <w:pPr>
        <w:pStyle w:val="Standard"/>
        <w:rPr/>
      </w:pPr>
      <w:r>
        <w:rPr/>
        <w:t>Ces dispositions ne sont dans tous les cas pas exclusives de l'application des pénalités prévues dans le présent marché sauf cause particulière, dûment justifiée, n'engageant pas la responsabilité du Titulaire.</w:t>
      </w:r>
    </w:p>
    <w:p>
      <w:pPr>
        <w:pStyle w:val="Standard"/>
        <w:rPr/>
      </w:pPr>
      <w:r>
        <w:rPr/>
      </w:r>
    </w:p>
    <w:p>
      <w:pPr>
        <w:pStyle w:val="Titre1"/>
        <w:rPr/>
      </w:pPr>
      <w:bookmarkStart w:id="60" w:name="__RefHeading___Toc1341_423768294"/>
      <w:bookmarkStart w:id="61" w:name="_Toc38531043"/>
      <w:bookmarkStart w:id="62" w:name="_Toc38033686"/>
      <w:bookmarkStart w:id="63" w:name="_Toc37340657"/>
      <w:bookmarkStart w:id="64" w:name="_Toc37090778"/>
      <w:bookmarkEnd w:id="60"/>
      <w:r>
        <w:rPr/>
        <w:t>A</w:t>
      </w:r>
      <w:bookmarkEnd w:id="61"/>
      <w:bookmarkEnd w:id="62"/>
      <w:bookmarkEnd w:id="63"/>
      <w:bookmarkEnd w:id="64"/>
      <w:r>
        <w:rPr/>
        <w:t xml:space="preserve">RTICLE 8 - </w:t>
      </w:r>
      <w:bookmarkStart w:id="65" w:name="_Toc38033687"/>
      <w:bookmarkStart w:id="66" w:name="_Toc37340658"/>
      <w:bookmarkStart w:id="67" w:name="_Toc37090779"/>
      <w:bookmarkEnd w:id="65"/>
      <w:bookmarkEnd w:id="66"/>
      <w:bookmarkEnd w:id="67"/>
      <w:r>
        <w:rPr/>
        <w:t>MODALITES DE DETERMINATION DES PRIX</w:t>
      </w:r>
    </w:p>
    <w:p>
      <w:pPr>
        <w:pStyle w:val="Titre2"/>
        <w:rPr/>
      </w:pPr>
      <w:bookmarkStart w:id="68" w:name="__RefHeading___Toc1343_423768294"/>
      <w:bookmarkStart w:id="69" w:name="_Toc38531044"/>
      <w:bookmarkEnd w:id="68"/>
      <w:bookmarkEnd w:id="69"/>
      <w:r>
        <w:rPr/>
        <w:t>8.1 Nature du prix</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t>L’accord-cadre est traité à prix unitaires.</w:t>
      </w:r>
    </w:p>
    <w:p>
      <w:pPr>
        <w:pStyle w:val="Normal"/>
        <w:tabs>
          <w:tab w:val="left" w:pos="567" w:leader="none"/>
          <w:tab w:val="left" w:pos="851" w:leader="none"/>
          <w:tab w:val="left" w:pos="1134" w:leader="none"/>
        </w:tabs>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Les prix unitaires des fournitures détaillées dans le Bordereau de Prix Unitaires comprennent toutes les charges fiscales, parafiscales ou autres frappant obligatoirement la prestation ainsi que tous les frais afférents au ramassage, au conditionnement, à l'emballage et au transport jusqu'au lieu d’exécution.</w:t>
      </w:r>
    </w:p>
    <w:p>
      <w:pPr>
        <w:pStyle w:val="Normal"/>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Le montant des prestations est calculé en application du taux de TVA en vigueur.</w:t>
      </w:r>
    </w:p>
    <w:p>
      <w:pPr>
        <w:pStyle w:val="Titre2"/>
        <w:numPr>
          <w:ilvl w:val="0"/>
          <w:numId w:val="0"/>
        </w:numPr>
        <w:ind w:left="1080" w:hanging="0"/>
        <w:rPr/>
      </w:pPr>
      <w:r>
        <w:rPr/>
      </w:r>
      <w:r>
        <w:br w:type="page"/>
      </w:r>
    </w:p>
    <w:p>
      <w:pPr>
        <w:pStyle w:val="Titre2"/>
        <w:rPr/>
      </w:pPr>
      <w:bookmarkStart w:id="70" w:name="__RefHeading___Toc1345_423768294"/>
      <w:bookmarkStart w:id="71" w:name="_Toc38033688"/>
      <w:bookmarkStart w:id="72" w:name="_Toc37340659"/>
      <w:bookmarkStart w:id="73" w:name="_Toc37090780"/>
      <w:bookmarkStart w:id="74" w:name="_Toc38531045"/>
      <w:bookmarkEnd w:id="70"/>
      <w:bookmarkEnd w:id="74"/>
      <w:r>
        <w:rPr/>
        <w:t>8</w:t>
      </w:r>
      <w:bookmarkEnd w:id="71"/>
      <w:bookmarkEnd w:id="72"/>
      <w:bookmarkEnd w:id="73"/>
      <w:r>
        <w:rPr/>
        <w:t>.2 Variations de prix</w:t>
      </w:r>
    </w:p>
    <w:p>
      <w:pPr>
        <w:pStyle w:val="Standard"/>
        <w:rPr/>
      </w:pPr>
      <w:r>
        <w:rPr/>
      </w:r>
    </w:p>
    <w:p>
      <w:pPr>
        <w:pStyle w:val="Normal"/>
        <w:jc w:val="both"/>
        <w:rPr/>
      </w:pPr>
      <w:r>
        <w:rPr>
          <w:rFonts w:ascii="Arial" w:hAnsi="Arial"/>
          <w:sz w:val="20"/>
          <w:szCs w:val="20"/>
        </w:rPr>
        <w:t>Variation du prix – Prix révisables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Les prix unitaires sont révisables selon les modalités fixées ci-après.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b w:val="false"/>
          <w:i w:val="false"/>
          <w:sz w:val="20"/>
          <w:szCs w:val="20"/>
          <w:u w:val="none"/>
        </w:rPr>
        <w:t>Les prix de chaque accord-cadre sont réputés établis sur la base des conditions économiques du mois de la date limite de remise des offres ; ce mois est appelé "mois zéro".</w:t>
      </w:r>
    </w:p>
    <w:p>
      <w:pPr>
        <w:pStyle w:val="Normal"/>
        <w:jc w:val="both"/>
        <w:rPr>
          <w:rFonts w:ascii="Arial" w:hAnsi="Arial"/>
          <w:b w:val="false"/>
          <w:b w:val="false"/>
          <w:i w:val="false"/>
          <w:i w:val="false"/>
          <w:sz w:val="20"/>
          <w:szCs w:val="20"/>
          <w:u w:val="none"/>
        </w:rPr>
      </w:pPr>
      <w:r>
        <w:rPr>
          <w:rFonts w:ascii="Arial" w:hAnsi="Arial"/>
          <w:b w:val="false"/>
          <w:i w:val="false"/>
          <w:sz w:val="20"/>
          <w:szCs w:val="20"/>
          <w:u w:val="none"/>
        </w:rPr>
      </w:r>
    </w:p>
    <w:p>
      <w:pPr>
        <w:pStyle w:val="Normal"/>
        <w:jc w:val="both"/>
        <w:rPr/>
      </w:pPr>
      <w:r>
        <w:rPr>
          <w:rFonts w:ascii="Arial" w:hAnsi="Arial"/>
          <w:b w:val="false"/>
          <w:i w:val="false"/>
          <w:sz w:val="20"/>
          <w:szCs w:val="20"/>
          <w:u w:val="none"/>
        </w:rPr>
        <w:t xml:space="preserve">Les prix évoluent de la manière suivante en fonction de l'évolution des conditions économiques. </w:t>
      </w:r>
      <w:r>
        <w:rPr>
          <w:rFonts w:ascii="Arial" w:hAnsi="Arial"/>
          <w:b w:val="false"/>
          <w:i w:val="false"/>
          <w:sz w:val="20"/>
          <w:szCs w:val="20"/>
          <w:u w:val="single"/>
        </w:rPr>
        <w:t>Les prix sont révisables</w:t>
      </w:r>
      <w:r>
        <w:rPr>
          <w:rFonts w:ascii="Arial" w:hAnsi="Arial"/>
          <w:b w:val="false"/>
          <w:i w:val="false"/>
          <w:sz w:val="20"/>
          <w:szCs w:val="20"/>
          <w:u w:val="none"/>
        </w:rPr>
        <w:t>.</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b w:val="false"/>
          <w:i w:val="false"/>
          <w:sz w:val="20"/>
          <w:szCs w:val="20"/>
          <w:u w:val="none"/>
        </w:rPr>
        <w:t>Pour déterminer les prix de règlement, il sera fait application de la formule de révision figurant ci-après.</w:t>
      </w:r>
    </w:p>
    <w:p>
      <w:pPr>
        <w:pStyle w:val="Normal"/>
        <w:jc w:val="both"/>
        <w:rPr>
          <w:rFonts w:ascii="Arial" w:hAnsi="Arial"/>
          <w:b w:val="false"/>
          <w:b w:val="false"/>
          <w:i w:val="false"/>
          <w:i w:val="false"/>
          <w:sz w:val="20"/>
          <w:szCs w:val="20"/>
          <w:u w:val="none"/>
        </w:rPr>
      </w:pPr>
      <w:r>
        <w:rPr>
          <w:rFonts w:ascii="Arial" w:hAnsi="Arial"/>
          <w:b w:val="false"/>
          <w:i w:val="false"/>
          <w:sz w:val="20"/>
          <w:szCs w:val="20"/>
          <w:u w:val="none"/>
        </w:rPr>
      </w:r>
    </w:p>
    <w:p>
      <w:pPr>
        <w:pStyle w:val="Normal"/>
        <w:jc w:val="both"/>
        <w:rPr/>
      </w:pPr>
      <w:r>
        <w:rPr>
          <w:rFonts w:ascii="Arial" w:hAnsi="Arial"/>
          <w:b w:val="false"/>
          <w:i w:val="false"/>
          <w:sz w:val="20"/>
          <w:szCs w:val="20"/>
          <w:u w:val="none"/>
        </w:rPr>
        <w:t>Les prix sont révisés annuellement à chaque date anniversaire de la notification de l'accord-cadre, en application de la formule suivante :</w:t>
      </w:r>
    </w:p>
    <w:p>
      <w:pPr>
        <w:pStyle w:val="Standard"/>
        <w:rPr>
          <w:shd w:fill="FFFF00" w:val="clear"/>
        </w:rPr>
      </w:pPr>
      <w:r>
        <w:rPr>
          <w:shd w:fill="FFFF00" w:val="clear"/>
        </w:rPr>
      </w:r>
    </w:p>
    <w:p>
      <w:pPr>
        <w:pStyle w:val="Standard"/>
        <w:rPr>
          <w:highlight w:val="white"/>
        </w:rPr>
      </w:pPr>
      <w:r>
        <w:rPr>
          <w:shd w:fill="FFFFFF" w:val="clear"/>
        </w:rPr>
        <w:t>P(n) = P(o)* [0.15+0.85*(I(n)/I(0))]</w:t>
      </w:r>
    </w:p>
    <w:p>
      <w:pPr>
        <w:pStyle w:val="Standard"/>
        <w:rPr>
          <w:highlight w:val="white"/>
        </w:rPr>
      </w:pPr>
      <w:r>
        <w:rPr>
          <w:highlight w:val="white"/>
        </w:rPr>
      </w:r>
    </w:p>
    <w:p>
      <w:pPr>
        <w:pStyle w:val="Standard"/>
        <w:rPr>
          <w:highlight w:val="white"/>
        </w:rPr>
      </w:pPr>
      <w:r>
        <w:rPr>
          <w:shd w:fill="FFFFFF" w:val="clear"/>
        </w:rPr>
        <w:t>Les paramètres figurant dans la formule ont la signification suivante :</w:t>
      </w:r>
    </w:p>
    <w:p>
      <w:pPr>
        <w:pStyle w:val="Standard"/>
        <w:rPr/>
      </w:pPr>
      <w:r>
        <w:rPr>
          <w:shd w:fill="FFFFFF" w:val="clear"/>
        </w:rPr>
        <w:t>P (n) : Prix après la révision</w:t>
      </w:r>
    </w:p>
    <w:p>
      <w:pPr>
        <w:pStyle w:val="Standard"/>
        <w:rPr/>
      </w:pPr>
      <w:r>
        <w:rPr>
          <w:shd w:fill="FFFFFF" w:val="clear"/>
        </w:rPr>
        <w:t xml:space="preserve">P (0) : Prix </w:t>
      </w:r>
      <w:r>
        <w:rPr>
          <w:highlight w:val="white"/>
          <w:shd w:fill="FFFFFF" w:val="clear"/>
        </w:rPr>
        <w:t>à la date limite de remise des offres</w:t>
      </w:r>
    </w:p>
    <w:p>
      <w:pPr>
        <w:pStyle w:val="Standard"/>
        <w:rPr/>
      </w:pPr>
      <w:r>
        <w:rPr>
          <w:shd w:fill="FFFFFF" w:val="clear"/>
        </w:rPr>
        <w:t xml:space="preserve">I (n) : </w:t>
      </w:r>
      <w:r>
        <w:rPr/>
        <w:t>Indice de prix à la consommation Base 2015 – Ensemble des ménages France métropolitaine - Identifiant INSEE 001764296</w:t>
      </w:r>
    </w:p>
    <w:p>
      <w:pPr>
        <w:pStyle w:val="Standard"/>
        <w:rPr/>
      </w:pPr>
      <w:r>
        <w:rPr>
          <w:shd w:fill="FFFFFF" w:val="clear"/>
        </w:rPr>
        <w:t>I (0) : Même indice pris à la date limite de remise des offres.</w:t>
      </w:r>
    </w:p>
    <w:p>
      <w:pPr>
        <w:pStyle w:val="Titre2"/>
        <w:widowControl w:val="false"/>
        <w:numPr>
          <w:ilvl w:val="0"/>
          <w:numId w:val="0"/>
        </w:numPr>
        <w:suppressAutoHyphens w:val="true"/>
        <w:bidi w:val="0"/>
        <w:spacing w:before="240" w:after="60"/>
        <w:ind w:left="0" w:right="0" w:hanging="0"/>
        <w:jc w:val="left"/>
        <w:textAlignment w:val="baseline"/>
        <w:outlineLvl w:val="1"/>
        <w:rPr/>
      </w:pPr>
      <w:bookmarkStart w:id="75" w:name="__RefHeading___Toc1347_423768294"/>
      <w:bookmarkStart w:id="76" w:name="_Toc38531046"/>
      <w:bookmarkStart w:id="77" w:name="_Toc38033689"/>
      <w:bookmarkStart w:id="78" w:name="_Toc37340660"/>
      <w:bookmarkStart w:id="79" w:name="_Toc37090781"/>
      <w:bookmarkEnd w:id="75"/>
      <w:bookmarkEnd w:id="76"/>
      <w:bookmarkEnd w:id="77"/>
      <w:bookmarkEnd w:id="78"/>
      <w:bookmarkEnd w:id="79"/>
      <w:r>
        <w:rPr/>
        <w:t>8.3 Disparition d'indice</w:t>
      </w:r>
    </w:p>
    <w:p>
      <w:pPr>
        <w:pStyle w:val="Standard"/>
        <w:rPr/>
      </w:pPr>
      <w:r>
        <w:rPr/>
      </w:r>
    </w:p>
    <w:p>
      <w:pPr>
        <w:pStyle w:val="Normal"/>
        <w:jc w:val="both"/>
        <w:rPr/>
      </w:pPr>
      <w:r>
        <w:rPr>
          <w:rFonts w:ascii="Arial" w:hAnsi="Arial"/>
          <w:sz w:val="20"/>
          <w:szCs w:val="20"/>
          <w:u w:val="none"/>
        </w:rPr>
        <w:t>Dans le cas de disparition d'indice, le nouvel indice de substitution préconisé par l'organisme qui l'établit sera de plein-droit applicable dès lors qu'il correspond à la structure de prix de la prestation.</w:t>
      </w:r>
    </w:p>
    <w:p>
      <w:pPr>
        <w:pStyle w:val="Normal"/>
        <w:jc w:val="both"/>
        <w:rPr>
          <w:rFonts w:ascii="Arial" w:hAnsi="Arial"/>
          <w:sz w:val="20"/>
          <w:szCs w:val="20"/>
          <w:u w:val="none"/>
        </w:rPr>
      </w:pPr>
      <w:r>
        <w:rPr>
          <w:rFonts w:ascii="Arial" w:hAnsi="Arial"/>
          <w:sz w:val="20"/>
          <w:szCs w:val="20"/>
          <w:u w:val="none"/>
        </w:rPr>
      </w:r>
    </w:p>
    <w:p>
      <w:pPr>
        <w:pStyle w:val="Normal"/>
        <w:jc w:val="both"/>
        <w:rPr/>
      </w:pPr>
      <w:r>
        <w:rPr>
          <w:rFonts w:ascii="Arial" w:hAnsi="Arial"/>
          <w:b w:val="false"/>
          <w:bCs w:val="false"/>
          <w:sz w:val="20"/>
          <w:szCs w:val="20"/>
          <w:u w:val="none"/>
        </w:rPr>
        <w:t>Dans l'hypothèse où aucun indice de substitution ne serait préconisé, les parties conviennent que la substitution d'indice sera effectuée par avenant après accord de chacune d'elles.</w:t>
      </w:r>
    </w:p>
    <w:p>
      <w:pPr>
        <w:pStyle w:val="Standard"/>
        <w:rPr/>
      </w:pPr>
      <w:r>
        <w:rPr/>
      </w:r>
    </w:p>
    <w:p>
      <w:pPr>
        <w:pStyle w:val="Titre1"/>
        <w:rPr/>
      </w:pPr>
      <w:bookmarkStart w:id="80" w:name="__RefHeading___Toc1349_423768294"/>
      <w:bookmarkStart w:id="81" w:name="_Toc38531047"/>
      <w:bookmarkStart w:id="82" w:name="_Toc38033690"/>
      <w:bookmarkStart w:id="83" w:name="_Toc37340661"/>
      <w:bookmarkStart w:id="84" w:name="_Toc37090782"/>
      <w:bookmarkEnd w:id="80"/>
      <w:r>
        <w:rPr/>
        <w:t>A</w:t>
      </w:r>
      <w:bookmarkEnd w:id="81"/>
      <w:bookmarkEnd w:id="82"/>
      <w:bookmarkEnd w:id="83"/>
      <w:bookmarkEnd w:id="84"/>
      <w:r>
        <w:rPr/>
        <w:t>RTICLE 9 - AVANCE</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t>Sauf renoncement du titulaire porté à l'acte d'engagement, une avance sera versée au titulaire, dans les cas et selon les modalités prévues aux articles R2191-3 à 19 du Code de la commande publique.</w:t>
      </w:r>
    </w:p>
    <w:p>
      <w:pPr>
        <w:pStyle w:val="Normal"/>
        <w:widowControl/>
        <w:suppressAutoHyphens w:val="true"/>
        <w:bidi w:val="0"/>
        <w:ind w:left="0" w:right="0" w:hanging="0"/>
        <w:jc w:val="left"/>
        <w:textAlignment w:val="baseline"/>
        <w:rPr/>
      </w:pPr>
      <w:r>
        <w:rPr/>
      </w:r>
    </w:p>
    <w:p>
      <w:pPr>
        <w:pStyle w:val="Standard"/>
        <w:rPr/>
      </w:pPr>
      <w:r>
        <w:rPr/>
        <w:t>Elle est versée le cas échéant dans le délai de 30 jours à compter de la date de début du délai contractuel d'exécution du marché, du bon de commande ou de la tranche.</w:t>
      </w:r>
    </w:p>
    <w:p>
      <w:pPr>
        <w:pStyle w:val="Standard"/>
        <w:rPr/>
      </w:pPr>
      <w:r>
        <w:rPr/>
      </w:r>
    </w:p>
    <w:p>
      <w:pPr>
        <w:pStyle w:val="Standard"/>
        <w:rPr/>
      </w:pPr>
      <w:r>
        <w:rPr/>
        <w:t>L'avance est remboursée dans les conditions prévues aux articles R2191-11, R2191-12 et R2191-29 du Code de la commande publique.</w:t>
      </w:r>
    </w:p>
    <w:p>
      <w:pPr>
        <w:pStyle w:val="Standard"/>
        <w:rPr/>
      </w:pPr>
      <w:r>
        <w:rPr/>
      </w:r>
    </w:p>
    <w:p>
      <w:pPr>
        <w:pStyle w:val="Standard"/>
        <w:rPr/>
      </w:pPr>
      <w: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Standard"/>
        <w:rPr>
          <w:szCs w:val="21"/>
        </w:rPr>
      </w:pPr>
      <w:r>
        <w:rPr>
          <w:szCs w:val="21"/>
        </w:rPr>
      </w:r>
    </w:p>
    <w:p>
      <w:pPr>
        <w:pStyle w:val="Standard"/>
        <w:rPr/>
      </w:pPr>
      <w:r>
        <w:rPr>
          <w:rFonts w:eastAsia="Times New Roman"/>
          <w:szCs w:val="21"/>
        </w:rPr>
        <w:t>Si le titulaire du marché public ou son sous-traitant admis au paiement direct est une petite ou moyenne entreprise mentionnée à l’article R. 2151-13, le taux minimal de l’avance est porté à : 10 %.</w:t>
      </w:r>
    </w:p>
    <w:p>
      <w:pPr>
        <w:pStyle w:val="Standard"/>
        <w:rPr>
          <w:szCs w:val="21"/>
        </w:rPr>
      </w:pPr>
      <w:r>
        <w:rPr>
          <w:szCs w:val="21"/>
        </w:rPr>
      </w:r>
    </w:p>
    <w:p>
      <w:pPr>
        <w:pStyle w:val="Normal"/>
        <w:jc w:val="both"/>
        <w:rPr/>
      </w:pPr>
      <w:r>
        <w:rPr>
          <w:rFonts w:ascii="Arial" w:hAnsi="Arial"/>
          <w:sz w:val="20"/>
          <w:szCs w:val="20"/>
        </w:rPr>
        <w:t>Le remboursement de cette avance sera effectué par précompte sur les sommes dues ultérieurement au titulaire lorsque le montant des prestations exécutées au titre du marché atteindra 65% du montant du bon de commande. Il sera terminé lorsque ce pourcentage aura atteint 80%, ceci conformément à l'article R. 2191-19 du code de la commande publique.</w:t>
      </w:r>
    </w:p>
    <w:p>
      <w:pPr>
        <w:pStyle w:val="Normal"/>
        <w:jc w:val="both"/>
        <w:rPr>
          <w:rFonts w:ascii="Arial" w:hAnsi="Arial"/>
          <w:sz w:val="20"/>
          <w:szCs w:val="20"/>
        </w:rPr>
      </w:pPr>
      <w:r>
        <w:rPr>
          <w:rFonts w:ascii="Arial" w:hAnsi="Arial"/>
          <w:sz w:val="20"/>
          <w:szCs w:val="20"/>
        </w:rPr>
      </w:r>
    </w:p>
    <w:p>
      <w:pPr>
        <w:pStyle w:val="Titre1"/>
        <w:rPr/>
      </w:pPr>
      <w:bookmarkStart w:id="85" w:name="__RefHeading___Toc1351_423768294"/>
      <w:bookmarkStart w:id="86" w:name="_Toc38531048"/>
      <w:bookmarkStart w:id="87" w:name="_Toc38033691"/>
      <w:bookmarkStart w:id="88" w:name="_Toc37340662"/>
      <w:bookmarkStart w:id="89" w:name="_Toc37090783"/>
      <w:bookmarkEnd w:id="85"/>
      <w:bookmarkEnd w:id="86"/>
      <w:bookmarkEnd w:id="87"/>
      <w:bookmarkEnd w:id="88"/>
      <w:bookmarkEnd w:id="89"/>
      <w:r>
        <w:rPr/>
        <w:t>ARTICLE 10 - MODALITÉS DE REGLEMENT</w:t>
      </w:r>
    </w:p>
    <w:p>
      <w:pPr>
        <w:pStyle w:val="Standard"/>
        <w:rPr/>
      </w:pPr>
      <w:r>
        <w:rPr/>
      </w:r>
    </w:p>
    <w:p>
      <w:pPr>
        <w:pStyle w:val="Normal"/>
        <w:jc w:val="both"/>
        <w:rPr/>
      </w:pPr>
      <w:r>
        <w:rPr>
          <w:rFonts w:ascii="Arial" w:hAnsi="Arial"/>
          <w:sz w:val="20"/>
          <w:szCs w:val="20"/>
        </w:rPr>
        <w:t>Les dispositions des articles R2191-20 à 22 du Code de la Commande Publique relatives aux acomptes sont applicables.</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Il n'est pas prévu de disposition complémentaire.</w:t>
      </w:r>
    </w:p>
    <w:p>
      <w:pPr>
        <w:pStyle w:val="Normal"/>
        <w:jc w:val="both"/>
        <w:rPr>
          <w:rFonts w:ascii="Arial" w:hAnsi="Arial"/>
          <w:sz w:val="20"/>
          <w:szCs w:val="20"/>
        </w:rPr>
      </w:pPr>
      <w:r>
        <w:rPr>
          <w:rFonts w:ascii="Arial" w:hAnsi="Arial"/>
          <w:sz w:val="20"/>
          <w:szCs w:val="20"/>
        </w:rPr>
      </w:r>
    </w:p>
    <w:p>
      <w:pPr>
        <w:pStyle w:val="Titre1"/>
        <w:widowControl w:val="false"/>
        <w:numPr>
          <w:ilvl w:val="0"/>
          <w:numId w:val="0"/>
        </w:numPr>
        <w:suppressAutoHyphens w:val="true"/>
        <w:bidi w:val="0"/>
        <w:ind w:left="0" w:right="0" w:hanging="0"/>
        <w:jc w:val="left"/>
        <w:textAlignment w:val="baseline"/>
        <w:outlineLvl w:val="0"/>
        <w:rPr/>
      </w:pPr>
      <w:bookmarkStart w:id="90" w:name="__RefHeading___Toc1353_423768294"/>
      <w:bookmarkStart w:id="91" w:name="_Toc38033692"/>
      <w:bookmarkStart w:id="92" w:name="_Toc37340663"/>
      <w:bookmarkStart w:id="93" w:name="_Toc37090784"/>
      <w:bookmarkEnd w:id="90"/>
      <w:bookmarkEnd w:id="91"/>
      <w:bookmarkEnd w:id="92"/>
      <w:bookmarkEnd w:id="93"/>
      <w:r>
        <w:rPr/>
        <w:t>ARTICLE 11 - PAIEMENT – ETABLISSEMENT DE LA FACTURE</w:t>
      </w:r>
    </w:p>
    <w:p>
      <w:pPr>
        <w:pStyle w:val="Titre2"/>
        <w:rPr/>
      </w:pPr>
      <w:bookmarkStart w:id="94" w:name="__RefHeading___Toc1355_423768294"/>
      <w:bookmarkStart w:id="95" w:name="_Toc38531050"/>
      <w:bookmarkStart w:id="96" w:name="_Toc38033693"/>
      <w:bookmarkStart w:id="97" w:name="_Toc37340664"/>
      <w:bookmarkStart w:id="98" w:name="_Toc37090785"/>
      <w:bookmarkEnd w:id="94"/>
      <w:bookmarkEnd w:id="95"/>
      <w:bookmarkEnd w:id="96"/>
      <w:bookmarkEnd w:id="97"/>
      <w:bookmarkEnd w:id="98"/>
      <w:r>
        <w:rPr/>
        <w:t>11.1 Délais de paiements</w:t>
      </w:r>
    </w:p>
    <w:p>
      <w:pPr>
        <w:pStyle w:val="Standard"/>
        <w:rPr/>
      </w:pPr>
      <w:r>
        <w:rPr/>
      </w:r>
    </w:p>
    <w:p>
      <w:pPr>
        <w:pStyle w:val="Normal"/>
        <w:jc w:val="both"/>
        <w:rPr/>
      </w:pPr>
      <w:r>
        <w:rPr>
          <w:rFonts w:ascii="Arial" w:hAnsi="Arial"/>
          <w:sz w:val="20"/>
          <w:szCs w:val="20"/>
        </w:rPr>
        <w:t>Paiement par virement administratif dans le délai global de 30 jours conformément à l’article R2192-10 du code de la commande publique. Le délai court à compter de la réception de la facture sur la plate-forme « chorus portail pro ».</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Le défaut de paiement dans le délai prévu donne droit au versement d'intérêts moratoires au titulaire et au sous-traitant</w:t>
      </w:r>
    </w:p>
    <w:p>
      <w:pPr>
        <w:pStyle w:val="Titre2"/>
        <w:rPr/>
      </w:pPr>
      <w:bookmarkStart w:id="99" w:name="__RefHeading___Toc1357_423768294"/>
      <w:bookmarkStart w:id="100" w:name="_Toc38531051"/>
      <w:bookmarkStart w:id="101" w:name="_Toc38033694"/>
      <w:bookmarkStart w:id="102" w:name="_Toc37340665"/>
      <w:bookmarkStart w:id="103" w:name="_Toc37090786"/>
      <w:bookmarkEnd w:id="99"/>
      <w:bookmarkEnd w:id="100"/>
      <w:bookmarkEnd w:id="101"/>
      <w:bookmarkEnd w:id="102"/>
      <w:bookmarkEnd w:id="103"/>
      <w:r>
        <w:rPr/>
        <w:t>11.2 Intérêts moratoires</w:t>
      </w:r>
    </w:p>
    <w:p>
      <w:pPr>
        <w:pStyle w:val="Standard"/>
        <w:rPr/>
      </w:pPr>
      <w:r>
        <w:rPr/>
      </w:r>
    </w:p>
    <w:p>
      <w:pPr>
        <w:pStyle w:val="Standard"/>
        <w:rPr/>
      </w:pPr>
      <w: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Standard"/>
        <w:rPr/>
      </w:pPr>
      <w:r>
        <w:rPr/>
      </w:r>
    </w:p>
    <w:p>
      <w:pPr>
        <w:pStyle w:val="Standard"/>
        <w:rPr/>
      </w:pPr>
      <w:r>
        <w:rPr/>
        <w:t>Le montant de l'indemnité forfaitaire pour frais de recouvrement est fixé à 40 Euros conformément à l'article D2192-35 du Code de la commande publique.</w:t>
      </w:r>
    </w:p>
    <w:p>
      <w:pPr>
        <w:pStyle w:val="Titre2"/>
        <w:rPr/>
      </w:pPr>
      <w:bookmarkStart w:id="104" w:name="__RefHeading___Toc1359_423768294"/>
      <w:bookmarkStart w:id="105" w:name="_Toc38531052"/>
      <w:bookmarkStart w:id="106" w:name="_Toc38033695"/>
      <w:bookmarkStart w:id="107" w:name="_Toc37340666"/>
      <w:bookmarkEnd w:id="104"/>
      <w:bookmarkEnd w:id="105"/>
      <w:bookmarkEnd w:id="106"/>
      <w:bookmarkEnd w:id="107"/>
      <w:r>
        <w:rPr/>
        <w:t>11.3 Sous-traitance</w:t>
      </w:r>
    </w:p>
    <w:p>
      <w:pPr>
        <w:pStyle w:val="Standard"/>
        <w:rPr/>
      </w:pPr>
      <w:r>
        <w:rPr/>
      </w:r>
    </w:p>
    <w:p>
      <w:pPr>
        <w:pStyle w:val="Normal"/>
        <w:jc w:val="both"/>
        <w:rPr/>
      </w:pPr>
      <w:r>
        <w:rPr>
          <w:rFonts w:ascii="Arial" w:hAnsi="Arial"/>
          <w:sz w:val="20"/>
          <w:szCs w:val="20"/>
        </w:rPr>
        <w:t>En application de l'article R2193-1 du Code de la Commande Publique, la sous-traitance est autorisée à condition de produire (sur papier libre ou DC4)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Un engagement écrit du sous-traitant ;</w:t>
      </w:r>
    </w:p>
    <w:p>
      <w:pPr>
        <w:pStyle w:val="Normal"/>
        <w:jc w:val="both"/>
        <w:rPr>
          <w:rFonts w:ascii="Arial" w:hAnsi="Arial"/>
          <w:sz w:val="20"/>
          <w:szCs w:val="20"/>
        </w:rPr>
      </w:pPr>
      <w:r>
        <w:rPr>
          <w:rFonts w:ascii="Arial" w:hAnsi="Arial"/>
          <w:sz w:val="20"/>
          <w:szCs w:val="20"/>
        </w:rPr>
        <w:t>- Une déclaration du sous-traitant mentionnant les éléments figurant l'article R. 2193-1 du Code de la commande publique ;</w:t>
      </w:r>
    </w:p>
    <w:p>
      <w:pPr>
        <w:pStyle w:val="Normal"/>
        <w:jc w:val="both"/>
        <w:rPr>
          <w:rFonts w:ascii="Arial" w:hAnsi="Arial"/>
          <w:sz w:val="20"/>
          <w:szCs w:val="20"/>
        </w:rPr>
      </w:pPr>
      <w:r>
        <w:rPr>
          <w:rFonts w:ascii="Arial" w:hAnsi="Arial"/>
          <w:sz w:val="20"/>
          <w:szCs w:val="20"/>
        </w:rPr>
        <w:t>- Une déclaration du sous-traitant justifiant qu'il n’est pas dans un cas d’exclusion de la procédure de passation.</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Seuls les sous-traitants directs du titulaire, dûment acceptés et dont les conditions de paiement ont été agréées par l’acheteur peuvent bénéficier du paiement direct.</w:t>
      </w:r>
    </w:p>
    <w:p>
      <w:pPr>
        <w:pStyle w:val="Normal"/>
        <w:jc w:val="both"/>
        <w:rPr>
          <w:rFonts w:ascii="Arial" w:hAnsi="Arial"/>
          <w:sz w:val="20"/>
          <w:szCs w:val="20"/>
        </w:rPr>
      </w:pPr>
      <w:r>
        <w:rPr>
          <w:rFonts w:ascii="Arial" w:hAnsi="Arial"/>
          <w:sz w:val="20"/>
          <w:szCs w:val="20"/>
        </w:rPr>
      </w:r>
    </w:p>
    <w:p>
      <w:pPr>
        <w:pStyle w:val="Normal"/>
        <w:jc w:val="both"/>
        <w:rPr/>
      </w:pPr>
      <w:bookmarkStart w:id="108" w:name="_Toc37090788"/>
      <w:bookmarkEnd w:id="108"/>
      <w:r>
        <w:rPr>
          <w:rFonts w:ascii="Arial" w:hAnsi="Arial"/>
          <w:sz w:val="20"/>
          <w:szCs w:val="20"/>
        </w:rPr>
        <w:t>Le paiement direct des sous-traitants régulièrement acceptés est mis en œuvre selon les modalités prévues par les articles R2193-11 et suivants du Code de la commande publique.</w:t>
      </w:r>
    </w:p>
    <w:p>
      <w:pPr>
        <w:pStyle w:val="Normal"/>
        <w:jc w:val="both"/>
        <w:rPr>
          <w:rFonts w:ascii="Arial" w:hAnsi="Arial"/>
          <w:sz w:val="20"/>
          <w:szCs w:val="20"/>
        </w:rPr>
      </w:pPr>
      <w:r>
        <w:rPr>
          <w:rFonts w:ascii="Arial" w:hAnsi="Arial"/>
          <w:sz w:val="20"/>
          <w:szCs w:val="20"/>
        </w:rPr>
      </w:r>
    </w:p>
    <w:p>
      <w:pPr>
        <w:pStyle w:val="Titre2"/>
        <w:rPr/>
      </w:pPr>
      <w:bookmarkStart w:id="109" w:name="__RefHeading___Toc1361_423768294"/>
      <w:bookmarkStart w:id="110" w:name="_Toc370907881"/>
      <w:bookmarkStart w:id="111" w:name="_Toc38531053"/>
      <w:bookmarkStart w:id="112" w:name="_Toc38033696"/>
      <w:bookmarkStart w:id="113" w:name="_Toc37340667"/>
      <w:bookmarkEnd w:id="109"/>
      <w:bookmarkEnd w:id="110"/>
      <w:bookmarkEnd w:id="111"/>
      <w:bookmarkEnd w:id="112"/>
      <w:bookmarkEnd w:id="113"/>
      <w:r>
        <w:rPr/>
        <w:t>11.4 Dématérialisation des factures</w:t>
      </w:r>
    </w:p>
    <w:p>
      <w:pPr>
        <w:pStyle w:val="Normal"/>
        <w:widowControl/>
        <w:suppressAutoHyphens w:val="true"/>
        <w:bidi w:val="0"/>
        <w:ind w:left="57" w:right="0" w:hanging="0"/>
        <w:jc w:val="left"/>
        <w:textAlignment w:val="baseline"/>
        <w:rPr/>
      </w:pPr>
      <w:r>
        <w:rPr/>
      </w:r>
    </w:p>
    <w:p>
      <w:pPr>
        <w:pStyle w:val="Standard"/>
        <w:keepNext w:val="true"/>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t>En vertu du décret n° 2019-748 du 18 juillet 2019 relatif à la facturation électronique dans la commande publique, le titulaire respectera le calendrier qui lui est imposé par la réglementation.</w:t>
      </w:r>
    </w:p>
    <w:p>
      <w:pPr>
        <w:pStyle w:val="Standard"/>
        <w:keepNext w:val="true"/>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t>Toutefois, l'anticipation de ce calendrier est possible et la Ville de Marseille réceptionnera toute facture déposée sur le portail CHORUS PRO.</w:t>
      </w:r>
    </w:p>
    <w:p>
      <w:pPr>
        <w:pStyle w:val="Normal"/>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t>Les factures doivent être envoyées de façon dématérialisée et gratuite en utilisant le portail sécurisé Chorus Pro à l'adresse suivante : https://chorus-pro.gouv.fr</w:t>
      </w:r>
    </w:p>
    <w:p>
      <w:pPr>
        <w:pStyle w:val="Standard"/>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r>
    </w:p>
    <w:p>
      <w:pPr>
        <w:pStyle w:val="Standard"/>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Standard"/>
        <w:keepLines/>
        <w:widowControl/>
        <w:suppressAutoHyphens w:val="true"/>
        <w:bidi w:val="0"/>
        <w:ind w:left="0" w:right="0" w:hanging="0"/>
        <w:jc w:val="left"/>
        <w:textAlignment w:val="baseline"/>
        <w:rPr>
          <w:rFonts w:ascii="Arial" w:hAnsi="Arial" w:eastAsia="Arial" w:cs="Arial"/>
          <w:color w:val="00000A"/>
          <w:sz w:val="20"/>
          <w:szCs w:val="20"/>
          <w:lang w:val="fr-FR" w:eastAsia="zh-CN" w:bidi="hi-IN"/>
        </w:rPr>
      </w:pPr>
      <w:r>
        <w:rPr>
          <w:rFonts w:eastAsia="Arial" w:cs="Arial"/>
          <w:color w:val="00000A"/>
          <w:sz w:val="20"/>
          <w:szCs w:val="20"/>
          <w:lang w:val="fr-FR" w:eastAsia="zh-CN" w:bidi="hi-IN"/>
        </w:rPr>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t>Toutes les informations utiles aux modalités d'utilisation du portail et de transmission des factures sont disponibles directement sur le site.</w:t>
      </w:r>
    </w:p>
    <w:p>
      <w:pPr>
        <w:pStyle w:val="Normal"/>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t>Pour accéder à la « structure »(au sens CHORUS PRO) Ville de Marseille adéquate, le titulaire sera informé du numéro SIRET devant être utilisé.</w:t>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t>De même, la Ville de Marseille a choisi de rendre obligatoire la référence à l'engagement. Le ou les numéros d'engagement seront communiqués au titulaire par le service gestionnaire du marché ou par le service acheteur. Ce numéro se trouve également en pied de page des bons de commande.</w:t>
      </w:r>
    </w:p>
    <w:p>
      <w:pPr>
        <w:pStyle w:val="Normal"/>
        <w:widowControl/>
        <w:suppressAutoHyphens w:val="true"/>
        <w:bidi w:val="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jc w:val="left"/>
        <w:textAlignment w:val="baseline"/>
        <w:rPr>
          <w:rFonts w:cs="Arial"/>
          <w:color w:val="00000A"/>
          <w:lang w:val="fr-FR" w:eastAsia="zh-CN" w:bidi="hi-IN"/>
        </w:rPr>
      </w:pPr>
      <w:r>
        <w:rPr>
          <w:rFonts w:cs="Arial"/>
          <w:color w:val="00000A"/>
          <w:lang w:val="fr-FR" w:eastAsia="zh-CN" w:bidi="hi-IN"/>
        </w:rPr>
        <w:t>Sous peine d'irrecevabilité, les factures seront déposées dans CHORUS PRO en respectant l'obligation de renseignement exact des 2 numéros précités.</w:t>
      </w:r>
    </w:p>
    <w:p>
      <w:pPr>
        <w:pStyle w:val="Standard"/>
        <w:keepNext w:val="false"/>
        <w:bidi w:val="0"/>
        <w:jc w:val="left"/>
        <w:rPr/>
      </w:pPr>
      <w:r>
        <w:rPr/>
      </w:r>
    </w:p>
    <w:p>
      <w:pPr>
        <w:pStyle w:val="Titre1"/>
        <w:rPr/>
      </w:pPr>
      <w:bookmarkStart w:id="114" w:name="__RefHeading___Toc1363_423768294"/>
      <w:bookmarkStart w:id="115" w:name="_Toc38531054"/>
      <w:bookmarkStart w:id="116" w:name="_Toc38033697"/>
      <w:bookmarkStart w:id="117" w:name="_Toc37340668"/>
      <w:bookmarkStart w:id="118" w:name="_Toc37090789"/>
      <w:bookmarkEnd w:id="114"/>
      <w:bookmarkEnd w:id="115"/>
      <w:bookmarkEnd w:id="116"/>
      <w:bookmarkEnd w:id="117"/>
      <w:bookmarkEnd w:id="118"/>
      <w:r>
        <w:rPr/>
        <w:t>ARTICLE 12 - PENALITES</w:t>
      </w:r>
    </w:p>
    <w:p>
      <w:pPr>
        <w:pStyle w:val="Titre2"/>
        <w:rPr/>
      </w:pPr>
      <w:bookmarkStart w:id="119" w:name="__RefHeading___Toc1365_423768294"/>
      <w:bookmarkStart w:id="120" w:name="_Toc38531055"/>
      <w:bookmarkStart w:id="121" w:name="_Toc38033698"/>
      <w:bookmarkStart w:id="122" w:name="_Toc37340669"/>
      <w:bookmarkStart w:id="123" w:name="_Toc37090790"/>
      <w:bookmarkEnd w:id="119"/>
      <w:bookmarkEnd w:id="120"/>
      <w:bookmarkEnd w:id="121"/>
      <w:bookmarkEnd w:id="122"/>
      <w:bookmarkEnd w:id="123"/>
      <w:r>
        <w:rPr/>
        <w:t>12.1 Pénalités de retard</w:t>
      </w:r>
    </w:p>
    <w:p>
      <w:pPr>
        <w:pStyle w:val="Normal"/>
        <w:keepNext w:val="false"/>
        <w:widowControl/>
        <w:suppressAutoHyphens w:val="true"/>
        <w:bidi w:val="0"/>
        <w:ind w:left="0" w:right="0" w:hanging="0"/>
        <w:jc w:val="left"/>
        <w:textAlignment w:val="baseline"/>
        <w:rPr/>
      </w:pPr>
      <w:r>
        <w:rPr/>
      </w:r>
    </w:p>
    <w:p>
      <w:pPr>
        <w:pStyle w:val="Standard"/>
        <w:keepNext w:val="false"/>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Les dispositions de l’article 14.1 du CCAG FCS s’appliquent.</w:t>
      </w:r>
    </w:p>
    <w:p>
      <w:pPr>
        <w:pStyle w:val="Normal"/>
        <w:keepNext w:val="false"/>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Standard"/>
        <w:keepNext w:val="false"/>
        <w:keepLines/>
        <w:widowControl/>
        <w:suppressAutoHyphens w:val="true"/>
        <w:bidi w:val="0"/>
        <w:ind w:left="0" w:right="0" w:hanging="0"/>
        <w:jc w:val="left"/>
        <w:textAlignment w:val="baseline"/>
        <w:rPr/>
      </w:pPr>
      <w:r>
        <w:rPr>
          <w:rFonts w:cs="Arial"/>
          <w:color w:val="00000A"/>
          <w:lang w:val="fr-FR" w:eastAsia="zh-CN" w:bidi="hi-IN"/>
        </w:rPr>
        <w:t xml:space="preserve">Dans les cas définis ci-après, et par dérogation à </w:t>
      </w:r>
      <w:r>
        <w:rPr>
          <w:rFonts w:eastAsia="Arial" w:cs="Arial"/>
          <w:color w:val="00000A"/>
          <w:sz w:val="20"/>
          <w:szCs w:val="20"/>
          <w:lang w:val="fr-FR" w:eastAsia="zh-CN" w:bidi="hi-IN"/>
        </w:rPr>
        <w:t>l’article</w:t>
      </w:r>
      <w:r>
        <w:rPr>
          <w:rFonts w:cs="Arial"/>
          <w:color w:val="00000A"/>
          <w:lang w:val="fr-FR" w:eastAsia="zh-CN" w:bidi="hi-IN"/>
        </w:rPr>
        <w:t xml:space="preserve"> 14.1 du </w:t>
      </w:r>
      <w:r>
        <w:rPr>
          <w:rFonts w:eastAsia="Arial" w:cs="Arial"/>
          <w:color w:val="00000A"/>
          <w:sz w:val="20"/>
          <w:szCs w:val="20"/>
          <w:lang w:val="fr-FR" w:eastAsia="zh-CN" w:bidi="hi-IN"/>
        </w:rPr>
        <w:t>CCAG</w:t>
      </w:r>
      <w:r>
        <w:rPr>
          <w:rFonts w:cs="Arial"/>
          <w:color w:val="00000A"/>
          <w:lang w:val="fr-FR" w:eastAsia="zh-CN" w:bidi="hi-IN"/>
        </w:rPr>
        <w:t xml:space="preserve"> FCS, les pénalités s’appliquent dans les conditions et avec les montants suivants :</w:t>
      </w:r>
    </w:p>
    <w:p>
      <w:pPr>
        <w:pStyle w:val="Normal"/>
        <w:keepNext w:val="false"/>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r>
    </w:p>
    <w:p>
      <w:pPr>
        <w:pStyle w:val="Standard"/>
        <w:widowControl/>
        <w:suppressAutoHyphens w:val="true"/>
        <w:bidi w:val="0"/>
        <w:ind w:left="0" w:right="0" w:hanging="0"/>
        <w:jc w:val="left"/>
        <w:textAlignment w:val="baseline"/>
        <w:rPr>
          <w:rFonts w:cs="Arial"/>
          <w:color w:val="00000A"/>
          <w:lang w:val="fr-FR" w:eastAsia="zh-CN" w:bidi="hi-IN"/>
        </w:rPr>
      </w:pPr>
      <w:r>
        <w:rPr>
          <w:rFonts w:cs="Arial"/>
          <w:color w:val="00000A"/>
          <w:lang w:val="fr-FR" w:eastAsia="zh-CN" w:bidi="hi-IN"/>
        </w:rPr>
        <w:t>Pénalités pour non remise de documentation :</w:t>
      </w:r>
    </w:p>
    <w:p>
      <w:pPr>
        <w:pStyle w:val="Standard"/>
        <w:keepNext w:val="true"/>
        <w:keepLines/>
        <w:widowControl/>
        <w:suppressAutoHyphens w:val="true"/>
        <w:bidi w:val="0"/>
        <w:ind w:left="0" w:right="0" w:hanging="0"/>
        <w:jc w:val="left"/>
        <w:textAlignment w:val="baseline"/>
        <w:rPr/>
      </w:pPr>
      <w:r>
        <w:rPr>
          <w:rFonts w:cs="Arial"/>
          <w:color w:val="00000A"/>
          <w:lang w:val="fr-FR" w:eastAsia="zh-CN" w:bidi="hi-IN"/>
        </w:rPr>
        <w:tab/>
        <w:t xml:space="preserve">50 €/jour de retard pour la non remise du certificat de crémation par </w:t>
      </w:r>
      <w:r>
        <w:rPr>
          <w:rFonts w:eastAsia="Arial" w:cs="Arial"/>
          <w:color w:val="00000A"/>
          <w:sz w:val="20"/>
          <w:szCs w:val="20"/>
          <w:lang w:val="fr-FR" w:eastAsia="zh-CN" w:bidi="hi-IN"/>
        </w:rPr>
        <w:t>corps</w:t>
      </w:r>
      <w:r>
        <w:rPr>
          <w:rFonts w:cs="Arial"/>
          <w:color w:val="00000A"/>
          <w:lang w:val="fr-FR" w:eastAsia="zh-CN" w:bidi="hi-IN"/>
        </w:rPr>
        <w:t xml:space="preserve"> ou reste de corps incinérés</w:t>
      </w:r>
    </w:p>
    <w:p>
      <w:pPr>
        <w:pStyle w:val="Normal"/>
        <w:widowControl/>
        <w:suppressAutoHyphens w:val="true"/>
        <w:bidi w:val="0"/>
        <w:ind w:left="0" w:right="0" w:hanging="0"/>
        <w:jc w:val="left"/>
        <w:textAlignment w:val="baseline"/>
        <w:rPr/>
      </w:pPr>
      <w:r>
        <w:rPr/>
      </w:r>
    </w:p>
    <w:p>
      <w:pPr>
        <w:pStyle w:val="Standard"/>
        <w:rPr/>
      </w:pPr>
      <w:r>
        <w:rPr/>
        <w:t>Pénalités pour les prestations de crémation :</w:t>
      </w:r>
    </w:p>
    <w:p>
      <w:pPr>
        <w:pStyle w:val="Standard"/>
        <w:rPr/>
      </w:pPr>
      <w:r>
        <w:rPr/>
        <w:tab/>
        <w:t>50 €/jour de retard du délai contractuel</w:t>
      </w:r>
    </w:p>
    <w:p>
      <w:pPr>
        <w:pStyle w:val="Standard"/>
        <w:rPr/>
      </w:pPr>
      <w:r>
        <w:rPr/>
      </w:r>
    </w:p>
    <w:p>
      <w:pPr>
        <w:pStyle w:val="Normal"/>
        <w:jc w:val="both"/>
        <w:rPr/>
      </w:pPr>
      <w:r>
        <w:rPr>
          <w:rFonts w:ascii="Arial" w:hAnsi="Arial"/>
          <w:sz w:val="20"/>
          <w:szCs w:val="20"/>
        </w:rPr>
        <w:t>Par dérogation à l'article 14.1.2 du CCAG FCS, une fois le montant des pénalités déterminé, il n’est pas procédé à leur révision.</w:t>
      </w:r>
    </w:p>
    <w:p>
      <w:pPr>
        <w:pStyle w:val="Normal"/>
        <w:rPr>
          <w:rFonts w:ascii="Arial" w:hAnsi="Arial"/>
          <w:sz w:val="20"/>
          <w:szCs w:val="20"/>
        </w:rPr>
      </w:pPr>
      <w:r>
        <w:rPr>
          <w:rFonts w:ascii="Arial" w:hAnsi="Arial"/>
          <w:sz w:val="20"/>
          <w:szCs w:val="20"/>
        </w:rPr>
      </w:r>
    </w:p>
    <w:p>
      <w:pPr>
        <w:pStyle w:val="Normal"/>
        <w:jc w:val="both"/>
        <w:rPr/>
      </w:pPr>
      <w:r>
        <w:rPr>
          <w:rFonts w:ascii="Arial" w:hAnsi="Arial"/>
          <w:sz w:val="20"/>
          <w:szCs w:val="20"/>
        </w:rPr>
        <w:t>Par dérogation à l’article 14.1.3, le titulaire n’est pas exonéré des pénalités dont le montant total ne dépasse pas 300 euros pour l’ensemble du marché.</w:t>
      </w:r>
    </w:p>
    <w:p>
      <w:pPr>
        <w:pStyle w:val="Normal"/>
        <w:rPr>
          <w:rFonts w:ascii="Arial" w:hAnsi="Arial"/>
          <w:sz w:val="20"/>
          <w:szCs w:val="20"/>
        </w:rPr>
      </w:pPr>
      <w:r>
        <w:rPr>
          <w:rFonts w:ascii="Arial" w:hAnsi="Arial"/>
          <w:sz w:val="20"/>
          <w:szCs w:val="20"/>
        </w:rPr>
      </w:r>
    </w:p>
    <w:p>
      <w:pPr>
        <w:pStyle w:val="Normal"/>
        <w:rPr/>
      </w:pPr>
      <w:r>
        <w:rPr>
          <w:rFonts w:ascii="Arial" w:hAnsi="Arial"/>
          <w:sz w:val="20"/>
          <w:szCs w:val="20"/>
        </w:rPr>
        <w:t>Le calcul des pénalités est compté en jours calendaires.</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Titre2"/>
        <w:rPr/>
      </w:pPr>
      <w:bookmarkStart w:id="124" w:name="__RefHeading___Toc1367_423768294"/>
      <w:bookmarkStart w:id="125" w:name="_Toc38531056"/>
      <w:bookmarkStart w:id="126" w:name="_Toc38033699"/>
      <w:bookmarkStart w:id="127" w:name="_Toc37340670"/>
      <w:bookmarkStart w:id="128" w:name="_Toc37090791"/>
      <w:bookmarkEnd w:id="124"/>
      <w:bookmarkEnd w:id="125"/>
      <w:bookmarkEnd w:id="126"/>
      <w:bookmarkEnd w:id="127"/>
      <w:bookmarkEnd w:id="128"/>
      <w:r>
        <w:rPr/>
        <w:t>12.2 Pénalités pour non-respect des dispositions du Code du Travail</w:t>
      </w:r>
    </w:p>
    <w:p>
      <w:pPr>
        <w:pStyle w:val="Standard"/>
        <w:rPr>
          <w:shd w:fill="FFFF00" w:val="clear"/>
        </w:rPr>
      </w:pPr>
      <w:r>
        <w:rPr>
          <w:shd w:fill="FFFF00" w:val="clear"/>
        </w:rPr>
      </w:r>
    </w:p>
    <w:p>
      <w:pPr>
        <w:pStyle w:val="Standard"/>
        <w:rPr/>
      </w:pPr>
      <w:r>
        <w:rPr>
          <w:b w:val="false"/>
          <w:bCs w:val="false"/>
          <w:sz w:val="20"/>
          <w:szCs w:val="20"/>
        </w:rPr>
        <w:t>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50 euros par jour de retard.</w:t>
      </w:r>
    </w:p>
    <w:p>
      <w:pPr>
        <w:pStyle w:val="Standard"/>
        <w:rPr>
          <w:b w:val="false"/>
          <w:b w:val="false"/>
          <w:bCs w:val="false"/>
          <w:sz w:val="20"/>
          <w:szCs w:val="20"/>
        </w:rPr>
      </w:pPr>
      <w:r>
        <w:rPr>
          <w:b w:val="false"/>
          <w:bCs w:val="false"/>
          <w:sz w:val="20"/>
          <w:szCs w:val="20"/>
        </w:rPr>
      </w:r>
    </w:p>
    <w:p>
      <w:pPr>
        <w:pStyle w:val="Standard"/>
        <w:rPr/>
      </w:pPr>
      <w:r>
        <w:rPr>
          <w:b w:val="false"/>
          <w:bCs w:val="false"/>
          <w:sz w:val="20"/>
          <w:szCs w:val="20"/>
        </w:rPr>
        <w:t>Le montant de cette p</w:t>
      </w:r>
      <w:bookmarkStart w:id="129" w:name="_GoBack1"/>
      <w:bookmarkEnd w:id="129"/>
      <w:r>
        <w:rPr>
          <w:b w:val="false"/>
          <w:bCs w:val="false"/>
          <w:sz w:val="20"/>
          <w:szCs w:val="20"/>
        </w:rPr>
        <w:t>énalité sera au plus égal à 10% du montant du présent contrat et ne pourra excéder le montant des amendes encourues en application des articles L.8224-1, L.8224-2 et L8224-5 du Code du Travail.</w:t>
      </w:r>
    </w:p>
    <w:p>
      <w:pPr>
        <w:pStyle w:val="Standard"/>
        <w:rPr>
          <w:shd w:fill="FFFF00" w:val="clear"/>
        </w:rPr>
      </w:pPr>
      <w:r>
        <w:rPr>
          <w:shd w:fill="FFFF00" w:val="clear"/>
        </w:rPr>
      </w:r>
    </w:p>
    <w:p>
      <w:pPr>
        <w:pStyle w:val="Titre1"/>
        <w:rPr/>
      </w:pPr>
      <w:bookmarkStart w:id="130" w:name="__RefHeading___Toc1369_423768294"/>
      <w:bookmarkStart w:id="131" w:name="_Toc38531057"/>
      <w:bookmarkStart w:id="132" w:name="_Toc38033700"/>
      <w:bookmarkStart w:id="133" w:name="_Toc37340671"/>
      <w:bookmarkStart w:id="134" w:name="_Toc37090792"/>
      <w:bookmarkEnd w:id="130"/>
      <w:bookmarkEnd w:id="131"/>
      <w:bookmarkEnd w:id="132"/>
      <w:bookmarkEnd w:id="133"/>
      <w:bookmarkEnd w:id="134"/>
      <w:r>
        <w:rPr/>
        <w:t>ARTICLE 13 - RESILIATION – EXECUTION DES PRESTATIONS AUX FRAIS ET RISQUES DU TITULAIRE</w:t>
      </w:r>
    </w:p>
    <w:p>
      <w:pPr>
        <w:pStyle w:val="Standard"/>
        <w:rPr/>
      </w:pPr>
      <w:r>
        <w:rPr/>
      </w:r>
    </w:p>
    <w:p>
      <w:pPr>
        <w:pStyle w:val="Normal"/>
        <w:rPr/>
      </w:pPr>
      <w:r>
        <w:rPr>
          <w:rFonts w:ascii="Arial" w:hAnsi="Arial"/>
          <w:sz w:val="20"/>
          <w:szCs w:val="20"/>
        </w:rPr>
        <w:t>L'ensemble des dispositions du CCAG/FCS (chapitre 6) est applicable.</w:t>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jc w:val="both"/>
        <w:rPr/>
      </w:pPr>
      <w:r>
        <w:rPr>
          <w:rFonts w:ascii="Arial" w:hAnsi="Arial"/>
          <w:sz w:val="20"/>
          <w:szCs w:val="20"/>
        </w:rPr>
        <w:t xml:space="preserve">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36 du CCAG FCS). </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b w:val="false"/>
          <w:bCs w:val="false"/>
          <w:sz w:val="20"/>
          <w:szCs w:val="20"/>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Standard"/>
        <w:rPr/>
      </w:pPr>
      <w:r>
        <w:rPr/>
      </w:r>
    </w:p>
    <w:p>
      <w:pPr>
        <w:pStyle w:val="Titre1"/>
        <w:rPr/>
      </w:pPr>
      <w:bookmarkStart w:id="135" w:name="__RefHeading___Toc1371_423768294"/>
      <w:bookmarkStart w:id="136" w:name="_Toc38531058"/>
      <w:bookmarkStart w:id="137" w:name="_Toc38033701"/>
      <w:bookmarkStart w:id="138" w:name="_Toc37340672"/>
      <w:bookmarkStart w:id="139" w:name="_Toc37090793"/>
      <w:bookmarkEnd w:id="135"/>
      <w:bookmarkEnd w:id="136"/>
      <w:bookmarkEnd w:id="137"/>
      <w:bookmarkEnd w:id="138"/>
      <w:bookmarkEnd w:id="139"/>
      <w:r>
        <w:rPr/>
        <w:t>ARTICLE 14 - CLAUSES DE GESTION DES DONNEES</w:t>
      </w:r>
    </w:p>
    <w:p>
      <w:pPr>
        <w:pStyle w:val="Titre2"/>
        <w:rPr/>
      </w:pPr>
      <w:bookmarkStart w:id="140" w:name="__RefHeading___Toc1373_423768294"/>
      <w:bookmarkStart w:id="141" w:name="_Toc38531059"/>
      <w:bookmarkStart w:id="142" w:name="_Toc38033702"/>
      <w:bookmarkStart w:id="143" w:name="_Toc37340673"/>
      <w:bookmarkStart w:id="144" w:name="_Toc37090794"/>
      <w:bookmarkEnd w:id="140"/>
      <w:bookmarkEnd w:id="141"/>
      <w:bookmarkEnd w:id="142"/>
      <w:bookmarkEnd w:id="143"/>
      <w:bookmarkEnd w:id="144"/>
      <w:r>
        <w:rPr/>
        <w:t>14.1 Les contraintes réglementaires</w:t>
      </w:r>
    </w:p>
    <w:p>
      <w:pPr>
        <w:pStyle w:val="Titre3"/>
        <w:rPr/>
      </w:pPr>
      <w:bookmarkStart w:id="145" w:name="__RefHeading___Toc1375_423768294"/>
      <w:bookmarkStart w:id="146" w:name="_Toc38531060"/>
      <w:bookmarkStart w:id="147" w:name="_Toc38033703"/>
      <w:bookmarkStart w:id="148" w:name="_Toc37340674"/>
      <w:bookmarkStart w:id="149" w:name="_Toc37090795"/>
      <w:bookmarkEnd w:id="145"/>
      <w:bookmarkEnd w:id="146"/>
      <w:bookmarkEnd w:id="147"/>
      <w:bookmarkEnd w:id="148"/>
      <w:bookmarkEnd w:id="149"/>
      <w:r>
        <w:rPr/>
        <w:t>14.1.1 Le RGS</w:t>
      </w:r>
    </w:p>
    <w:p>
      <w:pPr>
        <w:pStyle w:val="Standard"/>
        <w:rPr/>
      </w:pPr>
      <w:r>
        <w:rPr/>
      </w:r>
    </w:p>
    <w:p>
      <w:pPr>
        <w:pStyle w:val="Standard"/>
        <w:rPr/>
      </w:pPr>
      <w:r>
        <w:rPr/>
        <w:t xml:space="preserve">Le décret </w:t>
      </w:r>
      <w:r>
        <w:rPr>
          <w:b/>
        </w:rPr>
        <w:t>RGS</w:t>
      </w:r>
      <w:r>
        <w:rPr/>
        <w:t xml:space="preserve"> </w:t>
      </w:r>
      <w:r>
        <w:rPr>
          <w:i/>
        </w:rPr>
        <w:t>(Référentiel Général de Sécurité)</w:t>
      </w:r>
      <w:r>
        <w:rPr/>
        <w:t>, pris en application de</w:t>
      </w:r>
      <w:r>
        <w:rPr>
          <w:b/>
        </w:rPr>
        <w:t xml:space="preserve"> l'ordonnance n° 2005-1516 du 8 Décembre 2005</w:t>
      </w:r>
      <w: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b/>
        </w:rPr>
        <w:t xml:space="preserve"> télé-services</w:t>
      </w:r>
      <w:r>
        <w:rPr/>
        <w:t>.</w:t>
      </w:r>
    </w:p>
    <w:p>
      <w:pPr>
        <w:pStyle w:val="Titre3"/>
        <w:rPr/>
      </w:pPr>
      <w:bookmarkStart w:id="150" w:name="__RefHeading___Toc1377_423768294"/>
      <w:bookmarkEnd w:id="150"/>
      <w:r>
        <w:rPr/>
        <w:t xml:space="preserve">14.1.2 </w:t>
      </w:r>
      <w:r>
        <w:rPr/>
        <w:t>Le Règlement Général sur la Protection des Données (RGPD)</w:t>
      </w:r>
    </w:p>
    <w:p>
      <w:pPr>
        <w:pStyle w:val="Standard"/>
        <w:rPr/>
      </w:pPr>
      <w:r>
        <w:rPr/>
      </w:r>
    </w:p>
    <w:p>
      <w:pPr>
        <w:pStyle w:val="Standard"/>
        <w:rPr/>
      </w:pPr>
      <w:r>
        <w:rPr/>
        <w:t>Sont appli</w:t>
      </w:r>
      <w:r>
        <w:rPr/>
        <w:t>c</w:t>
      </w:r>
      <w:r>
        <w:rPr/>
        <w:t>ables dans le cadre de ce marché les dispositions du Règlement 2016/679 du Parlement européen et du Conseil du 27 avril 2016 relatif à la protec</w:t>
      </w:r>
      <w:r>
        <w:rPr/>
        <w:t>tion des personnes physiques à l’égard du traitement des données à caractère personnel et à la libre circulation de ces données (Règlement général sur la Protection des Données).</w:t>
      </w:r>
    </w:p>
    <w:p>
      <w:pPr>
        <w:pStyle w:val="Standard"/>
        <w:rPr/>
      </w:pPr>
      <w:r>
        <w:rPr/>
      </w:r>
    </w:p>
    <w:p>
      <w:pPr>
        <w:pStyle w:val="Standard"/>
        <w:rPr/>
      </w:pPr>
      <w:r>
        <w:rPr/>
        <w:t xml:space="preserve">Il est notamment nécessaire de confirmer le respect de l’article </w:t>
      </w:r>
      <w:r>
        <w:rPr/>
        <w:t>44</w:t>
      </w:r>
      <w:r>
        <w:rPr/>
        <w:t xml:space="preserve"> d</w:t>
      </w:r>
      <w:r>
        <w:rPr/>
        <w:t>u Règlement Général sur la Protection des Données</w:t>
      </w:r>
      <w:r>
        <w:rPr/>
        <w:t xml:space="preserve">, qui précise que le transfert </w:t>
      </w:r>
      <w:r>
        <w:rPr/>
        <w:t xml:space="preserve">de données personnelles à l’extérieur </w:t>
      </w:r>
      <w:r>
        <w:rPr/>
        <w:t xml:space="preserve">de l’Union européenne </w:t>
      </w:r>
      <w:r>
        <w:rPr/>
        <w:t>ne peut se faire qu’à certaines conditions contractuelles et en co-responsabilité du responsable de traitement et du titulaire du marché (sous-traitant au sens du RGPD)</w:t>
      </w:r>
      <w:r>
        <w:rPr/>
        <w:t>.</w:t>
      </w:r>
    </w:p>
    <w:p>
      <w:pPr>
        <w:pStyle w:val="Standard"/>
        <w:rPr/>
      </w:pPr>
      <w:r>
        <w:rPr/>
      </w:r>
    </w:p>
    <w:p>
      <w:pPr>
        <w:pStyle w:val="Standard"/>
        <w:rPr/>
      </w:pPr>
      <w:r>
        <w:rPr/>
        <w:t>L’ensemble des conditions sont définies dans l’annexe « Protection des données » de l’acte d’engagement.</w:t>
      </w:r>
    </w:p>
    <w:p>
      <w:pPr>
        <w:pStyle w:val="Titre3"/>
        <w:rPr/>
      </w:pPr>
      <w:bookmarkStart w:id="151" w:name="__RefHeading___Toc2724_3390906728"/>
      <w:bookmarkEnd w:id="151"/>
      <w:r>
        <w:rPr/>
        <w:t>14.1.3 Le Code du Patrimoine</w:t>
      </w:r>
    </w:p>
    <w:p>
      <w:pPr>
        <w:pStyle w:val="Standard"/>
        <w:rPr/>
      </w:pPr>
      <w:r>
        <w:rPr/>
      </w:r>
    </w:p>
    <w:p>
      <w:pPr>
        <w:pStyle w:val="Standard"/>
        <w:rPr/>
      </w:pPr>
      <w:r>
        <w:rPr/>
        <w:t>Les documents et données produits ou reçus par la Ville de Marseille constituent des archives publiques.</w:t>
      </w:r>
    </w:p>
    <w:p>
      <w:pPr>
        <w:pStyle w:val="Standard"/>
        <w:rPr/>
      </w:pPr>
      <w:r>
        <w:rPr/>
        <w:t xml:space="preserve">Or la </w:t>
      </w:r>
      <w:r>
        <w:rPr>
          <w:b/>
          <w:bCs/>
        </w:rPr>
        <w:t>loi n°2015-195</w:t>
      </w:r>
      <w:r>
        <w:rPr/>
        <w:t xml:space="preserve"> promulguée le 20 février 2015 et modifiant l’article </w:t>
      </w:r>
      <w:r>
        <w:rPr>
          <w:b/>
          <w:bCs/>
        </w:rPr>
        <w:t>L.111-1 du Code du patrimoine</w:t>
      </w:r>
      <w:r>
        <w:rPr/>
        <w:t>, qualifie les archives publiques de « Trésors nationaux » et ne peuvent donc sortir du territoire douanier qu’après autorisation du Service interministériel des Archives de France (SIAF) et seulement dans certains cas précis.</w:t>
      </w:r>
    </w:p>
    <w:p>
      <w:pPr>
        <w:pStyle w:val="Titre2"/>
        <w:rPr/>
      </w:pPr>
      <w:bookmarkStart w:id="152" w:name="__RefHeading___Toc1379_423768294"/>
      <w:bookmarkStart w:id="153" w:name="_Toc38531062"/>
      <w:bookmarkStart w:id="154" w:name="_Toc38033705"/>
      <w:bookmarkStart w:id="155" w:name="_Toc37340676"/>
      <w:bookmarkStart w:id="156" w:name="_Toc37090798"/>
      <w:bookmarkEnd w:id="152"/>
      <w:bookmarkEnd w:id="153"/>
      <w:bookmarkEnd w:id="154"/>
      <w:bookmarkEnd w:id="155"/>
      <w:bookmarkEnd w:id="156"/>
      <w:r>
        <w:rPr/>
        <w:t>14.</w:t>
      </w:r>
      <w:r>
        <w:rPr/>
        <w:t>2</w:t>
      </w:r>
      <w:r>
        <w:rPr/>
        <w:t xml:space="preserve"> Les clauses générales de confidentialité</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t xml:space="preserve">Les supports informatiques physiques et documents fournis par la </w:t>
      </w:r>
      <w:r>
        <w:rPr>
          <w:b/>
        </w:rPr>
        <w:t>Ville de Marseille</w:t>
      </w:r>
      <w:r>
        <w:rPr/>
        <w:t xml:space="preserve"> à la société prestataire restent la propriété de la </w:t>
      </w:r>
      <w:r>
        <w:rPr>
          <w:b/>
        </w:rPr>
        <w:t>Ville de Marseille</w:t>
      </w:r>
      <w:r>
        <w:rPr/>
        <w:t>.</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b/>
        </w:rPr>
        <w:t>Les données</w:t>
      </w:r>
      <w:r>
        <w:rPr/>
        <w:t xml:space="preserve"> contenues dans ces supports et documents sont </w:t>
      </w:r>
      <w:r>
        <w:rPr>
          <w:b/>
        </w:rPr>
        <w:t>strictement couvertes par le secret professionnel</w:t>
      </w:r>
      <w:r>
        <w:rPr/>
        <w:t xml:space="preserve"> (article 226-13 du Code pénal), il en va de même pour toutes les données dont la société prestataire prendra connaissance à l'occasion de l'exécution de ce marché.</w:t>
      </w:r>
    </w:p>
    <w:p>
      <w:pPr>
        <w:pStyle w:val="Normal"/>
        <w:widowControl/>
        <w:suppressAutoHyphens w:val="true"/>
        <w:bidi w:val="0"/>
        <w:ind w:left="0" w:right="0" w:hanging="0"/>
        <w:jc w:val="both"/>
        <w:textAlignment w:val="baseline"/>
        <w:rPr/>
      </w:pPr>
      <w:r>
        <w:rPr/>
      </w:r>
    </w:p>
    <w:p>
      <w:pPr>
        <w:pStyle w:val="Standard"/>
        <w:widowControl/>
        <w:suppressAutoHyphens w:val="true"/>
        <w:bidi w:val="0"/>
        <w:ind w:left="0" w:right="0" w:hanging="0"/>
        <w:jc w:val="both"/>
        <w:textAlignment w:val="baseline"/>
        <w:rPr/>
      </w:pPr>
      <w:r>
        <w:rPr>
          <w:b/>
        </w:rPr>
        <w:t>La société</w:t>
      </w:r>
      <w:r>
        <w:rPr/>
        <w:t xml:space="preserve"> prestataire s'engage donc à respecter les obligations suivantes et à les faire respecter par son personnel :</w:t>
      </w:r>
    </w:p>
    <w:p>
      <w:pPr>
        <w:pStyle w:val="Normal"/>
        <w:widowControl/>
        <w:suppressAutoHyphens w:val="true"/>
        <w:bidi w:val="0"/>
        <w:ind w:left="0" w:right="0" w:hanging="0"/>
        <w:jc w:val="both"/>
        <w:textAlignment w:val="baseline"/>
        <w:rPr/>
      </w:pPr>
      <w:r>
        <w:rPr/>
      </w:r>
    </w:p>
    <w:p>
      <w:pPr>
        <w:pStyle w:val="Standard"/>
        <w:widowControl/>
        <w:numPr>
          <w:ilvl w:val="0"/>
          <w:numId w:val="3"/>
        </w:numPr>
        <w:suppressAutoHyphens w:val="true"/>
        <w:bidi w:val="0"/>
        <w:ind w:left="0" w:right="0" w:hanging="0"/>
        <w:jc w:val="both"/>
        <w:textAlignment w:val="baseline"/>
        <w:rPr/>
      </w:pPr>
      <w: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ne pas utiliser les documents et informations traités à des fins autres que celles spécifiées dans ce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ne pas divulguer ces documents ou informations à d'autres personnes, qu'il s'agisse de personnes privées ou publiques, physiques ou morales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prendre toutes mesures permettant d'éviter toute utilisation détournée ou frauduleuse des fichiers informatiques en cours d'exécution du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prendre toutes mesures de sécurité, notamment matérielle, pour assurer la conservation et l'intégrité des documents et informations traités pendant la durée du marché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échanger des informations personnelles, sensibles ou des authentifications/identifications uniquement de manière chiffrée ;</w:t>
      </w:r>
    </w:p>
    <w:p>
      <w:pPr>
        <w:pStyle w:val="Normal"/>
        <w:widowControl/>
        <w:suppressAutoHyphens w:val="true"/>
        <w:bidi w:val="0"/>
        <w:ind w:left="0" w:right="0" w:hanging="0"/>
        <w:jc w:val="both"/>
        <w:textAlignment w:val="baseline"/>
        <w:rPr/>
      </w:pPr>
      <w:r>
        <w:rPr/>
      </w:r>
    </w:p>
    <w:p>
      <w:pPr>
        <w:pStyle w:val="Standard"/>
        <w:widowControl/>
        <w:numPr>
          <w:ilvl w:val="0"/>
          <w:numId w:val="2"/>
        </w:numPr>
        <w:suppressAutoHyphens w:val="true"/>
        <w:bidi w:val="0"/>
        <w:ind w:left="0" w:right="0" w:hanging="0"/>
        <w:jc w:val="both"/>
        <w:textAlignment w:val="baseline"/>
        <w:rPr/>
      </w:pPr>
      <w:r>
        <w:rPr/>
        <w:t>en fin de marché à procéder à la mise à disposition de toutes les données appartenant à la Ville de Marseille ;</w:t>
      </w:r>
    </w:p>
    <w:p>
      <w:pPr>
        <w:pStyle w:val="Normal"/>
        <w:widowControl/>
        <w:suppressAutoHyphens w:val="true"/>
        <w:bidi w:val="0"/>
        <w:ind w:left="0" w:right="0" w:hanging="0"/>
        <w:jc w:val="both"/>
        <w:textAlignment w:val="baseline"/>
        <w:rPr/>
      </w:pPr>
      <w:r>
        <w:rPr/>
      </w:r>
    </w:p>
    <w:p>
      <w:pPr>
        <w:pStyle w:val="Standard"/>
        <w:numPr>
          <w:ilvl w:val="0"/>
          <w:numId w:val="2"/>
        </w:numPr>
        <w:rPr/>
      </w:pPr>
      <w:r>
        <w:rPr/>
        <w:t>et en fin de marché à procéder à la destruction de tous fichiers manuels ou informatisés stockant les informations saisies.</w:t>
      </w:r>
    </w:p>
    <w:p>
      <w:pPr>
        <w:pStyle w:val="Titre2"/>
        <w:widowControl w:val="false"/>
        <w:numPr>
          <w:ilvl w:val="0"/>
          <w:numId w:val="0"/>
        </w:numPr>
        <w:suppressAutoHyphens w:val="true"/>
        <w:bidi w:val="0"/>
        <w:spacing w:before="240" w:after="60"/>
        <w:ind w:left="1080" w:right="0" w:hanging="0"/>
        <w:jc w:val="left"/>
        <w:textAlignment w:val="baseline"/>
        <w:outlineLvl w:val="1"/>
        <w:rPr/>
      </w:pPr>
      <w:bookmarkStart w:id="157" w:name="__RefHeading___Toc1381_423768294"/>
      <w:bookmarkStart w:id="158" w:name="_Toc38531063"/>
      <w:bookmarkStart w:id="159" w:name="_Toc38033706"/>
      <w:bookmarkStart w:id="160" w:name="_Toc37340677"/>
      <w:bookmarkStart w:id="161" w:name="_Toc37090799"/>
      <w:bookmarkEnd w:id="157"/>
      <w:bookmarkEnd w:id="158"/>
      <w:bookmarkEnd w:id="159"/>
      <w:bookmarkEnd w:id="160"/>
      <w:bookmarkEnd w:id="161"/>
      <w:r>
        <w:rPr/>
        <w:t xml:space="preserve">14.3 </w:t>
      </w:r>
      <w:r>
        <w:rPr/>
        <w:t>Les contrôles</w:t>
      </w:r>
    </w:p>
    <w:p>
      <w:pPr>
        <w:pStyle w:val="Standard"/>
        <w:rPr/>
      </w:pPr>
      <w:r>
        <w:rPr/>
      </w:r>
    </w:p>
    <w:p>
      <w:pPr>
        <w:pStyle w:val="Standard"/>
        <w:rPr/>
      </w:pPr>
      <w:r>
        <w:rPr>
          <w:b/>
        </w:rPr>
        <w:t>La Ville de Marseille</w:t>
      </w:r>
      <w: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Standard"/>
        <w:rPr/>
      </w:pPr>
      <w:r>
        <w:rPr/>
      </w:r>
    </w:p>
    <w:p>
      <w:pPr>
        <w:pStyle w:val="Standard"/>
        <w:rPr/>
      </w:pPr>
      <w:r>
        <w:rPr/>
        <w:t>En cas de non-respect des dispositions précitées, la responsabilité du titulaire peut également être engagée sur la base des dispositions des articles 226-5 et 226-17 du nouveau code pénal.</w:t>
      </w:r>
    </w:p>
    <w:p>
      <w:pPr>
        <w:pStyle w:val="Standard"/>
        <w:rPr/>
      </w:pPr>
      <w:r>
        <w:rPr/>
      </w:r>
    </w:p>
    <w:p>
      <w:pPr>
        <w:pStyle w:val="Standard"/>
        <w:rPr/>
      </w:pPr>
      <w:r>
        <w:rPr>
          <w:b/>
        </w:rPr>
        <w:t>La Ville de Marseille</w:t>
      </w:r>
      <w:r>
        <w:rPr/>
        <w:t xml:space="preserve"> pourra prononcer la résiliation du marché, sans indemnisation du titulaire, en cas de violation du secret professionnel ou de non-respect des dispositions précitées.</w:t>
      </w:r>
    </w:p>
    <w:p>
      <w:pPr>
        <w:pStyle w:val="Titre2"/>
        <w:rPr/>
      </w:pPr>
      <w:bookmarkStart w:id="162" w:name="__RefHeading___Toc2726_3390906728"/>
      <w:bookmarkStart w:id="163" w:name="_Toc38531064"/>
      <w:bookmarkStart w:id="164" w:name="_Toc38033707"/>
      <w:bookmarkStart w:id="165" w:name="_Toc37340678"/>
      <w:bookmarkStart w:id="166" w:name="_Toc37090800"/>
      <w:bookmarkEnd w:id="162"/>
      <w:bookmarkEnd w:id="163"/>
      <w:bookmarkEnd w:id="164"/>
      <w:bookmarkEnd w:id="165"/>
      <w:bookmarkEnd w:id="166"/>
      <w:r>
        <w:rPr/>
        <w:t xml:space="preserve">14.4 </w:t>
      </w:r>
      <w:r>
        <w:rPr/>
        <w:t>Phase de réversibilité</w:t>
      </w:r>
    </w:p>
    <w:p>
      <w:pPr>
        <w:pStyle w:val="Standard"/>
        <w:rPr/>
      </w:pPr>
      <w:r>
        <w:rPr/>
      </w:r>
    </w:p>
    <w:p>
      <w:pPr>
        <w:pStyle w:val="Standard"/>
        <w:rPr/>
      </w:pPr>
      <w:r>
        <w:rPr/>
        <w:t xml:space="preserve">Au terme du marché, le prestataire s'engage à faciliter la réversibilité selon les modalités choisies par la </w:t>
      </w:r>
      <w:r>
        <w:rPr>
          <w:b/>
        </w:rPr>
        <w:t>Ville de Marseille</w:t>
      </w:r>
      <w:r>
        <w:rPr/>
        <w:t xml:space="preserve"> et à fournir toutes les informations et prestations utiles à sa mise en œuvre.</w:t>
      </w:r>
    </w:p>
    <w:p>
      <w:pPr>
        <w:pStyle w:val="Standard"/>
        <w:rPr/>
      </w:pPr>
      <w:r>
        <w:rPr/>
      </w:r>
    </w:p>
    <w:p>
      <w:pPr>
        <w:pStyle w:val="Standard"/>
        <w:rPr/>
      </w:pPr>
      <w:r>
        <w:rPr/>
        <w:t>La fourniture de toutes les</w:t>
      </w:r>
      <w:r>
        <w:rPr>
          <w:b/>
        </w:rPr>
        <w:t xml:space="preserve"> informations relatives à l'exécution du marché</w:t>
      </w:r>
      <w:r>
        <w:rPr/>
        <w:t xml:space="preserve">, la </w:t>
      </w:r>
      <w:r>
        <w:rPr>
          <w:b/>
        </w:rPr>
        <w:t>documentation</w:t>
      </w:r>
      <w:r>
        <w:rPr/>
        <w:t xml:space="preserve"> constituée durant la prestation, sous forme électronique mise à jour, ainsi que le</w:t>
      </w:r>
      <w:r>
        <w:rPr>
          <w:b/>
        </w:rPr>
        <w:t xml:space="preserve"> transfert de connaissance</w:t>
      </w:r>
      <w:r>
        <w:rPr/>
        <w:t xml:space="preserve"> sont inclus dans le présent marché.</w:t>
      </w:r>
    </w:p>
    <w:p>
      <w:pPr>
        <w:pStyle w:val="Standard"/>
        <w:rPr/>
      </w:pPr>
      <w:r>
        <w:rPr/>
      </w:r>
    </w:p>
    <w:p>
      <w:pPr>
        <w:pStyle w:val="Standard"/>
        <w:rPr/>
      </w:pPr>
      <w:r>
        <w:rPr/>
        <w:t>Ce transfert se fera directement aux équipes de la Ville de Marseille.</w:t>
      </w:r>
    </w:p>
    <w:p>
      <w:pPr>
        <w:pStyle w:val="Standard"/>
        <w:rPr/>
      </w:pPr>
      <w:r>
        <w:rPr/>
      </w:r>
    </w:p>
    <w:p>
      <w:pPr>
        <w:pStyle w:val="Titre1"/>
        <w:widowControl w:val="false"/>
        <w:numPr>
          <w:ilvl w:val="0"/>
          <w:numId w:val="0"/>
        </w:numPr>
        <w:suppressAutoHyphens w:val="true"/>
        <w:bidi w:val="0"/>
        <w:ind w:left="663" w:right="0" w:hanging="0"/>
        <w:jc w:val="left"/>
        <w:textAlignment w:val="baseline"/>
        <w:outlineLvl w:val="0"/>
        <w:rPr/>
      </w:pPr>
      <w:bookmarkStart w:id="167" w:name="__RefHeading___Toc1385_423768294"/>
      <w:bookmarkStart w:id="168" w:name="_Toc38531065"/>
      <w:bookmarkEnd w:id="167"/>
      <w:bookmarkEnd w:id="168"/>
      <w:r>
        <w:rPr/>
        <w:t xml:space="preserve">ARTICLE 15 - </w:t>
      </w:r>
      <w:r>
        <w:rPr/>
        <w:t>LOGICIEL E-ATTESTATIONS</w:t>
      </w:r>
    </w:p>
    <w:p>
      <w:pPr>
        <w:pStyle w:val="Standard"/>
        <w:rPr/>
      </w:pPr>
      <w:r>
        <w:rPr/>
      </w:r>
    </w:p>
    <w:p>
      <w:pPr>
        <w:pStyle w:val="Normal"/>
        <w:jc w:val="both"/>
        <w:rPr>
          <w:rFonts w:ascii="Arial" w:hAnsi="Arial"/>
          <w:sz w:val="20"/>
          <w:szCs w:val="20"/>
        </w:rPr>
      </w:pPr>
      <w:r>
        <w:rPr>
          <w:rFonts w:ascii="Arial" w:hAnsi="Arial"/>
          <w:sz w:val="20"/>
          <w:szCs w:val="20"/>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les attestations fiscales et sociales,</w:t>
      </w:r>
    </w:p>
    <w:p>
      <w:pPr>
        <w:pStyle w:val="Normal"/>
        <w:jc w:val="both"/>
        <w:rPr>
          <w:rFonts w:ascii="Arial" w:hAnsi="Arial"/>
          <w:sz w:val="20"/>
          <w:szCs w:val="20"/>
        </w:rPr>
      </w:pPr>
      <w:r>
        <w:rPr>
          <w:rFonts w:ascii="Arial" w:hAnsi="Arial"/>
          <w:sz w:val="20"/>
          <w:szCs w:val="20"/>
        </w:rPr>
        <w:t>- l'inscription au RCS (K ou K Bis),</w:t>
      </w:r>
    </w:p>
    <w:p>
      <w:pPr>
        <w:pStyle w:val="Normal"/>
        <w:jc w:val="both"/>
        <w:rPr>
          <w:rFonts w:ascii="Arial" w:hAnsi="Arial"/>
          <w:sz w:val="20"/>
          <w:szCs w:val="20"/>
        </w:rPr>
      </w:pPr>
      <w:r>
        <w:rPr>
          <w:rFonts w:ascii="Arial" w:hAnsi="Arial"/>
          <w:sz w:val="20"/>
          <w:szCs w:val="20"/>
        </w:rPr>
        <w:t>- la garantie décennale pour les marchés de travaux,</w:t>
      </w:r>
    </w:p>
    <w:p>
      <w:pPr>
        <w:pStyle w:val="Normal"/>
        <w:jc w:val="both"/>
        <w:rPr>
          <w:rFonts w:ascii="Arial" w:hAnsi="Arial"/>
          <w:sz w:val="20"/>
          <w:szCs w:val="20"/>
        </w:rPr>
      </w:pPr>
      <w:r>
        <w:rPr>
          <w:rFonts w:ascii="Arial" w:hAnsi="Arial"/>
          <w:sz w:val="20"/>
          <w:szCs w:val="20"/>
        </w:rPr>
        <w:t>- la liste nominative des travailleurs étrangers</w:t>
      </w:r>
    </w:p>
    <w:p>
      <w:pPr>
        <w:pStyle w:val="Normal"/>
        <w:jc w:val="both"/>
        <w:rPr>
          <w:rFonts w:ascii="Arial" w:hAnsi="Arial"/>
          <w:sz w:val="20"/>
          <w:szCs w:val="20"/>
        </w:rPr>
      </w:pPr>
      <w:r>
        <w:rPr>
          <w:rFonts w:ascii="Arial" w:hAnsi="Arial"/>
          <w:sz w:val="20"/>
          <w:szCs w:val="20"/>
        </w:rPr>
        <w:t>- l'attestation sur l'honneur relative à l'égalité réelle entre les femmes et les hommes.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Cette démarche présente l'avantage de limiter les échanges administratifs lors de la notification et de l'exécution des marchés. Par ailleurs, le logiciel garantit la confidentialité des documents déposés.</w:t>
      </w:r>
    </w:p>
    <w:p>
      <w:pPr>
        <w:pStyle w:val="Normal"/>
        <w:ind w:right="374" w:hanging="0"/>
        <w:jc w:val="both"/>
        <w:rPr/>
      </w:pPr>
      <w:r>
        <w:rPr>
          <w:rFonts w:ascii="Arial" w:hAnsi="Arial"/>
          <w:b w:val="false"/>
          <w:i w:val="false"/>
          <w:sz w:val="20"/>
          <w:szCs w:val="20"/>
          <w:u w:val="none"/>
        </w:rPr>
        <w:t xml:space="preserve">L'interface e-attestations est une solution </w:t>
      </w:r>
      <w:r>
        <w:rPr>
          <w:rFonts w:ascii="Arial" w:hAnsi="Arial"/>
          <w:b/>
          <w:i w:val="false"/>
          <w:sz w:val="20"/>
          <w:szCs w:val="20"/>
          <w:u w:val="none"/>
        </w:rPr>
        <w:t>gratuite</w:t>
      </w:r>
      <w:r>
        <w:rPr>
          <w:rFonts w:ascii="Arial" w:hAnsi="Arial"/>
          <w:b w:val="false"/>
          <w:i w:val="false"/>
          <w:sz w:val="20"/>
          <w:szCs w:val="20"/>
          <w:u w:val="none"/>
        </w:rPr>
        <w:t xml:space="preserve"> de dépôt et de mise à jour, l'adresse du site est la suivante : </w:t>
      </w:r>
      <w:hyperlink r:id="rId3">
        <w:r>
          <w:rPr>
            <w:rStyle w:val="LienInternet"/>
            <w:rFonts w:ascii="Arial" w:hAnsi="Arial"/>
            <w:b w:val="false"/>
            <w:i w:val="false"/>
            <w:sz w:val="20"/>
            <w:szCs w:val="20"/>
            <w:u w:val="single"/>
          </w:rPr>
          <w:t>http://www.e-attestations.com/</w:t>
        </w:r>
      </w:hyperlink>
    </w:p>
    <w:p>
      <w:pPr>
        <w:pStyle w:val="Normal"/>
        <w:ind w:right="374" w:hanging="0"/>
        <w:rPr>
          <w:rFonts w:ascii="Arial" w:hAnsi="Arial"/>
          <w:b w:val="false"/>
          <w:b w:val="false"/>
          <w:i w:val="false"/>
          <w:i w:val="false"/>
          <w:sz w:val="20"/>
          <w:szCs w:val="20"/>
        </w:rPr>
      </w:pPr>
      <w:r>
        <w:rPr>
          <w:rFonts w:ascii="Arial" w:hAnsi="Arial"/>
          <w:b w:val="false"/>
          <w:i w:val="false"/>
          <w:sz w:val="20"/>
          <w:szCs w:val="20"/>
        </w:rPr>
      </w:r>
    </w:p>
    <w:p>
      <w:pPr>
        <w:pStyle w:val="Titre1"/>
        <w:widowControl w:val="false"/>
        <w:numPr>
          <w:ilvl w:val="0"/>
          <w:numId w:val="0"/>
        </w:numPr>
        <w:suppressAutoHyphens w:val="true"/>
        <w:bidi w:val="0"/>
        <w:ind w:left="720" w:right="0" w:hanging="0"/>
        <w:jc w:val="left"/>
        <w:textAlignment w:val="baseline"/>
        <w:outlineLvl w:val="0"/>
        <w:rPr/>
      </w:pPr>
      <w:bookmarkStart w:id="169" w:name="__RefHeading___Toc1387_423768294"/>
      <w:bookmarkStart w:id="170" w:name="_Toc38531067"/>
      <w:bookmarkStart w:id="171" w:name="_Toc38033709"/>
      <w:bookmarkStart w:id="172" w:name="_Toc37340680"/>
      <w:bookmarkStart w:id="173" w:name="_Toc37090802"/>
      <w:bookmarkEnd w:id="169"/>
      <w:bookmarkEnd w:id="170"/>
      <w:bookmarkEnd w:id="171"/>
      <w:bookmarkEnd w:id="172"/>
      <w:bookmarkEnd w:id="173"/>
      <w:r>
        <w:rPr/>
        <w:t xml:space="preserve">ARTICLE 16 - </w:t>
      </w:r>
      <w:r>
        <w:rPr/>
        <w:t>LOI APPLICABLE</w:t>
      </w:r>
    </w:p>
    <w:p>
      <w:pPr>
        <w:pStyle w:val="Standard"/>
        <w:rPr/>
      </w:pPr>
      <w:r>
        <w:rPr/>
      </w:r>
    </w:p>
    <w:p>
      <w:pPr>
        <w:pStyle w:val="Standard"/>
        <w:suppressAutoHyphens w:val="true"/>
        <w:textAlignment w:val="baseline"/>
        <w:rPr/>
      </w:pPr>
      <w:r>
        <w:rPr/>
        <w:t xml:space="preserve">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w:t>
      </w:r>
      <w:r>
        <w:rPr>
          <w:lang w:val="fr-FR" w:eastAsia="zh-CN" w:bidi="hi-IN"/>
        </w:rPr>
        <w:t>différends ou litiges relatifs aux marchés publics</w:t>
      </w:r>
    </w:p>
    <w:p>
      <w:pPr>
        <w:pStyle w:val="Standard"/>
        <w:suppressAutoHyphens w:val="true"/>
        <w:textAlignment w:val="baseline"/>
        <w:rPr>
          <w:lang w:val="fr-FR" w:eastAsia="zh-CN" w:bidi="hi-IN"/>
        </w:rPr>
      </w:pPr>
      <w:r>
        <w:rPr>
          <w:lang w:val="fr-FR" w:eastAsia="zh-CN" w:bidi="hi-IN"/>
        </w:rPr>
      </w:r>
    </w:p>
    <w:p>
      <w:pPr>
        <w:pStyle w:val="Titre1"/>
        <w:widowControl w:val="false"/>
        <w:numPr>
          <w:ilvl w:val="0"/>
          <w:numId w:val="0"/>
        </w:numPr>
        <w:suppressAutoHyphens w:val="true"/>
        <w:bidi w:val="0"/>
        <w:ind w:left="720" w:right="0" w:hanging="0"/>
        <w:jc w:val="left"/>
        <w:textAlignment w:val="baseline"/>
        <w:outlineLvl w:val="0"/>
        <w:rPr/>
      </w:pPr>
      <w:bookmarkStart w:id="174" w:name="__RefHeading___Toc1389_423768294"/>
      <w:bookmarkStart w:id="175" w:name="_Toc37090803"/>
      <w:bookmarkStart w:id="176" w:name="_Toc37340681"/>
      <w:bookmarkStart w:id="177" w:name="_Toc38033710"/>
      <w:bookmarkStart w:id="178" w:name="_Toc38531068"/>
      <w:bookmarkEnd w:id="174"/>
      <w:bookmarkEnd w:id="176"/>
      <w:bookmarkEnd w:id="177"/>
      <w:bookmarkEnd w:id="178"/>
      <w:r>
        <w:rPr/>
        <w:t>A</w:t>
      </w:r>
      <w:bookmarkEnd w:id="175"/>
      <w:r>
        <w:rPr/>
        <w:t xml:space="preserve">RTICLE 17 - </w:t>
      </w:r>
      <w:r>
        <w:rPr/>
        <w:t>CONFORMITE AUX NORMES</w:t>
      </w:r>
    </w:p>
    <w:p>
      <w:pPr>
        <w:pStyle w:val="Normal"/>
        <w:suppressAutoHyphens w:val="true"/>
        <w:textAlignment w:val="baseline"/>
        <w:rPr>
          <w:lang w:val="fr-FR" w:eastAsia="zh-CN" w:bidi="hi-IN"/>
        </w:rPr>
      </w:pPr>
      <w:r>
        <w:rPr>
          <w:lang w:val="fr-FR" w:eastAsia="zh-CN" w:bidi="hi-IN"/>
        </w:rPr>
      </w:r>
    </w:p>
    <w:p>
      <w:pPr>
        <w:pStyle w:val="Standard"/>
        <w:keepNext w:val="false"/>
        <w:keepLines/>
        <w:widowControl/>
        <w:suppressAutoHyphens w:val="true"/>
        <w:bidi w:val="0"/>
        <w:ind w:left="0" w:right="0" w:hanging="0"/>
        <w:jc w:val="left"/>
        <w:textAlignment w:val="baseline"/>
        <w:rPr/>
      </w:pPr>
      <w:r>
        <w:rPr>
          <w:lang w:val="fr-FR" w:eastAsia="zh-CN" w:bidi="hi-IN"/>
        </w:rPr>
        <w:t>Les prestations seront conformes aux normes en vigueur, norm</w:t>
      </w:r>
      <w:r>
        <w:rPr>
          <w:rFonts w:eastAsia="Arial" w:cs="Arial"/>
          <w:color w:val="00000A"/>
          <w:sz w:val="20"/>
          <w:szCs w:val="20"/>
          <w:lang w:val="fr-FR" w:eastAsia="zh-CN" w:bidi="hi-IN"/>
        </w:rPr>
        <w:t>es homologuées ou autres normes reconnues équivalentes, en vertu de l'article R2111-11 du Code de la commande publique.</w:t>
      </w:r>
    </w:p>
    <w:p>
      <w:pPr>
        <w:pStyle w:val="Normal"/>
        <w:widowControl/>
        <w:suppressAutoHyphens w:val="true"/>
        <w:bidi w:val="0"/>
        <w:ind w:left="0" w:right="0" w:hanging="0"/>
        <w:jc w:val="left"/>
        <w:textAlignment w:val="baseline"/>
        <w:rPr/>
      </w:pPr>
      <w:r>
        <w:rPr/>
      </w:r>
    </w:p>
    <w:p>
      <w:pPr>
        <w:pStyle w:val="Standard"/>
        <w:rPr/>
      </w:pPr>
      <w:r>
        <w:rPr/>
        <w:t>Toute norme décrite dans le présent marché, dont l'usage n'est pas rendu obligatoire par une réglementation, est entendue comme comprenant la mention "ou équivalent" même si elle n'est pas expressément suivie de cette mention.</w:t>
      </w:r>
    </w:p>
    <w:p>
      <w:pPr>
        <w:pStyle w:val="Standard"/>
        <w:rPr/>
      </w:pPr>
      <w:r>
        <w:rPr/>
      </w:r>
    </w:p>
    <w:p>
      <w:pPr>
        <w:pStyle w:val="Titre1"/>
        <w:widowControl w:val="false"/>
        <w:numPr>
          <w:ilvl w:val="0"/>
          <w:numId w:val="0"/>
        </w:numPr>
        <w:suppressAutoHyphens w:val="true"/>
        <w:bidi w:val="0"/>
        <w:ind w:left="720" w:right="0" w:hanging="0"/>
        <w:jc w:val="left"/>
        <w:textAlignment w:val="baseline"/>
        <w:outlineLvl w:val="0"/>
        <w:rPr/>
      </w:pPr>
      <w:bookmarkStart w:id="179" w:name="__RefHeading___Toc1391_423768294"/>
      <w:bookmarkStart w:id="180" w:name="_Toc37090804"/>
      <w:bookmarkStart w:id="181" w:name="_Toc37340682"/>
      <w:bookmarkStart w:id="182" w:name="_Toc38033711"/>
      <w:bookmarkStart w:id="183" w:name="_Toc38531069"/>
      <w:bookmarkEnd w:id="179"/>
      <w:bookmarkEnd w:id="181"/>
      <w:bookmarkEnd w:id="182"/>
      <w:bookmarkEnd w:id="183"/>
      <w:r>
        <w:rPr/>
        <w:t>A</w:t>
      </w:r>
      <w:bookmarkEnd w:id="180"/>
      <w:r>
        <w:rPr/>
        <w:t xml:space="preserve">RTICLE 18 - </w:t>
      </w:r>
      <w:r>
        <w:rPr/>
        <w:t>ASSURANCES</w:t>
      </w:r>
    </w:p>
    <w:p>
      <w:pPr>
        <w:pStyle w:val="Standard"/>
        <w:rPr/>
      </w:pPr>
      <w:r>
        <w:rPr/>
      </w:r>
    </w:p>
    <w:p>
      <w:pPr>
        <w:pStyle w:val="Standard"/>
        <w:rPr/>
      </w:pPr>
      <w:r>
        <w:rPr/>
        <w:t>Conformément à l’article 9 du CCAG FCS, l</w:t>
      </w:r>
      <w:r>
        <w:rPr/>
        <w:t xml:space="preserve">e </w:t>
      </w:r>
      <w:r>
        <w:rPr/>
        <w:t>t</w:t>
      </w:r>
      <w:r>
        <w:rPr/>
        <w:t>itulaire doit souscrire les contrats d'assurance permettant de garantir sa responsabilité à l'égard du pouvoir adjudicateur et des tiers, victimes d'accidents ou de dommages causés par l'exécution des prestations.</w:t>
      </w:r>
    </w:p>
    <w:p>
      <w:pPr>
        <w:pStyle w:val="Standard"/>
        <w:rPr/>
      </w:pPr>
      <w:r>
        <w:rPr/>
      </w:r>
    </w:p>
    <w:p>
      <w:pPr>
        <w:pStyle w:val="Standard"/>
        <w:rPr/>
      </w:pPr>
      <w:r>
        <w:rPr/>
        <w:t>Le titulaire doit justifier, dans un délai de quinze jours à compter de la notification de l’accord-cadre et avant tout début d’exécution de celui-ci, qu’il est titulaire de ces contrats d’assurances, au moyen d’une attestation établissant l’étendue de la responsabilité garantie.</w:t>
      </w:r>
      <w:r>
        <w:rPr/>
        <w:t>.</w:t>
      </w:r>
    </w:p>
    <w:p>
      <w:pPr>
        <w:pStyle w:val="Standard"/>
        <w:rPr/>
      </w:pPr>
      <w:r>
        <w:rPr/>
      </w:r>
    </w:p>
    <w:p>
      <w:pPr>
        <w:pStyle w:val="Standard"/>
        <w:rPr/>
      </w:pPr>
      <w:r>
        <w:rPr/>
        <w:t xml:space="preserve">A tout moment durant l’exécution de la prestation, le titulaire doit être en mesure de produire cette attestation, sur demande du </w:t>
      </w:r>
      <w:r>
        <w:rPr/>
        <w:t>pouvoir adjudicateur</w:t>
      </w:r>
      <w:r>
        <w:rPr/>
        <w:t xml:space="preserve"> et dans un délai de quinze jours à compter de la réception de la demande.</w:t>
      </w:r>
    </w:p>
    <w:p>
      <w:pPr>
        <w:pStyle w:val="Standard"/>
        <w:rPr/>
      </w:pPr>
      <w:r>
        <w:rPr/>
      </w:r>
    </w:p>
    <w:p>
      <w:pPr>
        <w:pStyle w:val="Titre1"/>
        <w:widowControl w:val="false"/>
        <w:numPr>
          <w:ilvl w:val="0"/>
          <w:numId w:val="0"/>
        </w:numPr>
        <w:suppressAutoHyphens w:val="true"/>
        <w:bidi w:val="0"/>
        <w:ind w:left="720" w:right="0" w:hanging="0"/>
        <w:jc w:val="both"/>
        <w:textAlignment w:val="baseline"/>
        <w:outlineLvl w:val="0"/>
        <w:rPr/>
      </w:pPr>
      <w:bookmarkStart w:id="184" w:name="__RefHeading___Toc1393_423768294"/>
      <w:bookmarkStart w:id="185" w:name="_Toc37090805"/>
      <w:bookmarkStart w:id="186" w:name="_Toc37340683"/>
      <w:bookmarkStart w:id="187" w:name="_Toc38033712"/>
      <w:bookmarkStart w:id="188" w:name="_Toc38531070"/>
      <w:bookmarkEnd w:id="184"/>
      <w:bookmarkEnd w:id="186"/>
      <w:bookmarkEnd w:id="187"/>
      <w:bookmarkEnd w:id="188"/>
      <w:r>
        <w:rPr/>
        <w:t>A</w:t>
      </w:r>
      <w:bookmarkEnd w:id="185"/>
      <w:r>
        <w:rPr/>
        <w:t xml:space="preserve">RTICLE 19 - </w:t>
      </w:r>
      <w:r>
        <w:rPr/>
        <w:t>DEROGATIONS AUX DOCUMENTS GENERAUX</w:t>
      </w:r>
    </w:p>
    <w:p>
      <w:pPr>
        <w:pStyle w:val="Standard"/>
        <w:rPr/>
      </w:pPr>
      <w:r>
        <w:rPr/>
      </w:r>
    </w:p>
    <w:p>
      <w:pPr>
        <w:pStyle w:val="Standard"/>
        <w:rPr/>
      </w:pPr>
      <w:r>
        <w:rPr/>
        <w:t>Les dérogations explicitées dans les articles désignés ci-après du C.C.A.P. sont apportées aux articles suivants des documents et des normes françaises homologuées ci-après :</w:t>
      </w:r>
    </w:p>
    <w:p>
      <w:pPr>
        <w:pStyle w:val="Standard"/>
        <w:rPr/>
      </w:pPr>
      <w:r>
        <w:rPr/>
      </w:r>
    </w:p>
    <w:p>
      <w:pPr>
        <w:pStyle w:val="Standard"/>
        <w:rPr/>
      </w:pPr>
      <w:r>
        <w:rPr/>
        <w:t>Dérogations au CCAG-FCS</w:t>
      </w:r>
    </w:p>
    <w:p>
      <w:pPr>
        <w:pStyle w:val="Standard"/>
        <w:rPr/>
      </w:pPr>
      <w:r>
        <w:rPr/>
      </w:r>
    </w:p>
    <w:p>
      <w:pPr>
        <w:pStyle w:val="Standard"/>
        <w:rPr/>
      </w:pPr>
      <w:r>
        <w:rPr/>
        <w:t>- l'article 12.1 déroge aux articles 14.1.1, 14.1.2, 14.1.3 du CCAG FCS</w:t>
      </w:r>
    </w:p>
    <w:p>
      <w:pPr>
        <w:pStyle w:val="Standard"/>
        <w:rPr/>
      </w:pPr>
      <w:r>
        <w:rPr/>
        <w:t>- l'article 13 déroge à l’article 33 du CCAG FCS</w:t>
      </w:r>
    </w:p>
    <w:sectPr>
      <w:footerReference w:type="default" r:id="rId4"/>
      <w:footerReference w:type="first" r:id="rId5"/>
      <w:type w:val="nextPage"/>
      <w:pgSz w:w="11906" w:h="16838"/>
      <w:pgMar w:left="1701" w:right="1803" w:header="0" w:top="1418" w:footer="714" w:bottom="1418" w:gutter="0"/>
      <w:pgNumType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Arial Unicode MS">
    <w:charset w:val="00"/>
    <w:family w:val="roman"/>
    <w:pitch w:val="variable"/>
  </w:font>
  <w:font w:name="Wingdings 2">
    <w:charset w:val="02"/>
    <w:family w:val="auto"/>
    <w:pitch w:val="default"/>
  </w:font>
  <w:font w:name="Arial">
    <w:charset w:val="01"/>
    <w:family w:val="swiss"/>
    <w:pitch w:val="variable"/>
  </w:font>
  <w:font w:name="Wingdings 3">
    <w:charset w:val="02"/>
    <w:family w:val="auto"/>
    <w:pitch w:val="default"/>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shd w:fill="FFFFFF" w:val="clear"/>
      </w:rPr>
      <w:t>Ville de Marseille - CCAP</w:t>
    </w:r>
  </w:p>
  <w:p>
    <w:pPr>
      <w:pStyle w:val="Pieddepage"/>
      <w:rPr/>
    </w:pPr>
    <w:r>
      <w:rPr/>
      <w:t>Opérations de crémation de corps ou de restes de corps issus de reprises administratives des cimetières</w:t>
      <w:tab/>
      <w:tab/>
    </w:r>
    <w:r>
      <w:rPr>
        <w:color w:val="4C4C4C"/>
      </w:rPr>
      <w:t xml:space="preserve"> </w:t>
    </w:r>
    <w:r>
      <w:rPr>
        <w:color w:val="4C4C4C"/>
      </w:rPr>
      <w:fldChar w:fldCharType="begin"/>
    </w:r>
    <w:r>
      <w:instrText> PAGE </w:instrText>
    </w:r>
    <w:r>
      <w:fldChar w:fldCharType="separate"/>
    </w:r>
    <w:r>
      <w:t>14</w:t>
    </w:r>
    <w:r>
      <w:fldChar w:fldCharType="end"/>
    </w:r>
    <w:r>
      <w:rPr>
        <w:color w:val="4C4C4C"/>
      </w:rPr>
      <w:t>/12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Fonts w:ascii="Arial" w:hAnsi="Arial"/>
        <w:sz w:val="16"/>
        <w:szCs w:val="16"/>
      </w:rPr>
      <w:tab/>
      <w:tab/>
      <w:t>1/13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3">
    <w:lvl w:ilvl="0">
      <w:start w:val="1"/>
      <w:numFmt w:val="bullet"/>
      <w:lvlText w:val=""/>
      <w:lvlJc w:val="left"/>
      <w:pPr>
        <w:ind w:left="283" w:hanging="283"/>
      </w:pPr>
      <w:rPr>
        <w:rFonts w:ascii="Wingdings 2" w:hAnsi="Wingdings 2" w:cs="Wingdings 2" w:hint="default"/>
        <w:rFonts w:cs="OpenSymbol"/>
      </w:rPr>
    </w:lvl>
    <w:lvl w:ilvl="1">
      <w:start w:val="1"/>
      <w:numFmt w:val="bullet"/>
      <w:lvlText w:val="–"/>
      <w:lvlJc w:val="left"/>
      <w:pPr>
        <w:ind w:left="567" w:hanging="284"/>
      </w:pPr>
      <w:rPr>
        <w:rFonts w:ascii="Arial" w:hAnsi="Arial" w:cs="Arial" w:hint="default"/>
        <w:rFonts w:cs="OpenSymbol"/>
      </w:rPr>
    </w:lvl>
    <w:lvl w:ilvl="2">
      <w:start w:val="1"/>
      <w:numFmt w:val="bullet"/>
      <w:lvlText w:val=""/>
      <w:lvlJc w:val="left"/>
      <w:pPr>
        <w:ind w:left="850" w:hanging="283"/>
      </w:pPr>
      <w:rPr>
        <w:rFonts w:ascii="Wingdings 3" w:hAnsi="Wingdings 3" w:cs="Wingdings 3" w:hint="default"/>
        <w:rFonts w:cs="OpenSymbol"/>
      </w:rPr>
    </w:lvl>
    <w:lvl w:ilvl="3">
      <w:start w:val="1"/>
      <w:numFmt w:val="bullet"/>
      <w:lvlText w:val="▫"/>
      <w:lvlJc w:val="left"/>
      <w:pPr>
        <w:ind w:left="1134" w:hanging="284"/>
      </w:pPr>
      <w:rPr>
        <w:rFonts w:ascii="Arial" w:hAnsi="Arial" w:cs="Arial" w:hint="default"/>
        <w:rFonts w:cs="OpenSymbol"/>
      </w:rPr>
    </w:lvl>
    <w:lvl w:ilvl="4">
      <w:start w:val="1"/>
      <w:numFmt w:val="bullet"/>
      <w:lvlText w:val="▪"/>
      <w:lvlJc w:val="left"/>
      <w:pPr>
        <w:ind w:left="1134" w:hanging="227"/>
      </w:pPr>
      <w:rPr>
        <w:rFonts w:ascii="Segoe UI" w:hAnsi="Segoe UI" w:cs="Segoe UI" w:hint="default"/>
        <w:rFonts w:cs="OpenSymbol"/>
      </w:rPr>
    </w:lvl>
    <w:lvl w:ilvl="5">
      <w:start w:val="1"/>
      <w:numFmt w:val="bullet"/>
      <w:lvlText w:val="▪"/>
      <w:lvlJc w:val="left"/>
      <w:pPr>
        <w:ind w:left="1361" w:hanging="227"/>
      </w:pPr>
      <w:rPr>
        <w:rFonts w:ascii="Segoe UI" w:hAnsi="Segoe UI" w:cs="Segoe UI" w:hint="default"/>
        <w:rFonts w:cs="OpenSymbol"/>
      </w:rPr>
    </w:lvl>
    <w:lvl w:ilvl="6">
      <w:start w:val="1"/>
      <w:numFmt w:val="bullet"/>
      <w:lvlText w:val="▪"/>
      <w:lvlJc w:val="left"/>
      <w:pPr>
        <w:ind w:left="1587" w:hanging="227"/>
      </w:pPr>
      <w:rPr>
        <w:rFonts w:ascii="Segoe UI" w:hAnsi="Segoe UI" w:cs="Segoe UI" w:hint="default"/>
        <w:rFonts w:cs="OpenSymbol"/>
      </w:rPr>
    </w:lvl>
    <w:lvl w:ilvl="7">
      <w:start w:val="1"/>
      <w:numFmt w:val="bullet"/>
      <w:lvlText w:val="▪"/>
      <w:lvlJc w:val="left"/>
      <w:pPr>
        <w:ind w:left="1814" w:hanging="227"/>
      </w:pPr>
      <w:rPr>
        <w:rFonts w:ascii="Segoe UI" w:hAnsi="Segoe UI" w:cs="Segoe UI" w:hint="default"/>
        <w:rFonts w:cs="OpenSymbol"/>
      </w:rPr>
    </w:lvl>
    <w:lvl w:ilvl="8">
      <w:start w:val="1"/>
      <w:numFmt w:val="bullet"/>
      <w:lvlText w:val="▪"/>
      <w:lvlJc w:val="left"/>
      <w:pPr>
        <w:ind w:left="2041" w:hanging="227"/>
      </w:pPr>
      <w:rPr>
        <w:rFonts w:ascii="Segoe UI" w:hAnsi="Segoe UI" w:cs="Segoe UI"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sz w:val="24"/>
      <w:szCs w:val="24"/>
      <w:lang w:val="fr-FR" w:eastAsia="zh-CN" w:bidi="hi-IN"/>
    </w:rPr>
  </w:style>
  <w:style w:type="paragraph" w:styleId="Titre1">
    <w:name w:val="Heading 1"/>
    <w:basedOn w:val="Normal"/>
    <w:qFormat/>
    <w:pPr>
      <w:widowControl w:val="false"/>
      <w:bidi w:val="0"/>
      <w:jc w:val="left"/>
      <w:outlineLvl w:val="0"/>
    </w:pPr>
    <w:rPr>
      <w:rFonts w:ascii="Trebuchet MS" w:hAnsi="Trebuchet MS" w:eastAsia="Trebuchet MS" w:cs="Trebuchet MS"/>
      <w:color w:val="808080"/>
      <w:sz w:val="36"/>
      <w:szCs w:val="36"/>
      <w:lang w:val="fr-FR" w:eastAsia="zh-CN" w:bidi="hi-IN"/>
    </w:rPr>
  </w:style>
  <w:style w:type="paragraph" w:styleId="Titre2">
    <w:name w:val="Heading 2"/>
    <w:basedOn w:val="Normal"/>
    <w:qFormat/>
    <w:pPr>
      <w:widowControl w:val="false"/>
      <w:bidi w:val="0"/>
      <w:spacing w:before="240" w:after="60"/>
      <w:jc w:val="left"/>
      <w:outlineLvl w:val="1"/>
    </w:pPr>
    <w:rPr>
      <w:rFonts w:ascii="Trebuchet MS" w:hAnsi="Trebuchet MS" w:eastAsia="Trebuchet MS" w:cs="Trebuchet MS"/>
      <w:b/>
      <w:bCs/>
      <w:i/>
      <w:iCs/>
      <w:color w:val="00000A"/>
      <w:sz w:val="28"/>
      <w:szCs w:val="28"/>
      <w:lang w:val="fr-FR" w:eastAsia="zh-CN" w:bidi="hi-IN"/>
    </w:rPr>
  </w:style>
  <w:style w:type="paragraph" w:styleId="Titre3">
    <w:name w:val="Heading 3"/>
    <w:basedOn w:val="Normal"/>
    <w:qFormat/>
    <w:pPr>
      <w:widowControl w:val="false"/>
      <w:bidi w:val="0"/>
      <w:spacing w:before="240" w:after="60"/>
      <w:jc w:val="left"/>
      <w:outlineLvl w:val="2"/>
    </w:pPr>
    <w:rPr>
      <w:rFonts w:ascii="Trebuchet MS" w:hAnsi="Trebuchet MS" w:eastAsia="Trebuchet MS" w:cs="Trebuchet MS"/>
      <w:b/>
      <w:bCs/>
      <w:color w:val="00000A"/>
      <w:sz w:val="26"/>
      <w:szCs w:val="26"/>
      <w:lang w:val="fr-FR" w:eastAsia="zh-CN" w:bidi="hi-IN"/>
    </w:rPr>
  </w:style>
  <w:style w:type="paragraph" w:styleId="Titre4">
    <w:name w:val="Heading 4"/>
    <w:basedOn w:val="Normal"/>
    <w:autoRedefine/>
    <w:qFormat/>
    <w:pPr>
      <w:widowControl w:val="false"/>
      <w:bidi w:val="0"/>
      <w:spacing w:before="283" w:after="57"/>
      <w:jc w:val="left"/>
      <w:outlineLvl w:val="3"/>
    </w:pPr>
    <w:rPr>
      <w:rFonts w:ascii="Liberation Serif" w:hAnsi="Liberation Serif" w:eastAsia="SimSun" w:cs="Arial"/>
      <w:b/>
      <w:bCs/>
      <w:i/>
      <w:iCs/>
      <w:color w:val="00000A"/>
      <w:sz w:val="24"/>
      <w:szCs w:val="24"/>
      <w:lang w:val="fr-FR" w:eastAsia="zh-CN" w:bidi="hi-IN"/>
    </w:rPr>
  </w:style>
  <w:style w:type="paragraph" w:styleId="Titre5">
    <w:name w:val="Heading 5"/>
    <w:basedOn w:val="Normal"/>
    <w:autoRedefine/>
    <w:qFormat/>
    <w:pPr>
      <w:widowControl w:val="false"/>
      <w:bidi w:val="0"/>
      <w:spacing w:before="283" w:after="57"/>
      <w:jc w:val="left"/>
      <w:outlineLvl w:val="4"/>
    </w:pPr>
    <w:rPr>
      <w:rFonts w:ascii="Liberation Serif" w:hAnsi="Liberation Serif" w:eastAsia="SimSun" w:cs="Arial"/>
      <w:b/>
      <w:bCs/>
      <w:i/>
      <w:color w:val="00000A"/>
      <w:sz w:val="22"/>
      <w:szCs w:val="24"/>
      <w:lang w:val="fr-FR" w:eastAsia="zh-CN" w:bidi="hi-IN"/>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WW8Num10z0" w:customStyle="1">
    <w:name w:val="WW8Num10z0"/>
    <w:qFormat/>
    <w:rPr>
      <w:rFonts w:ascii="Arial" w:hAnsi="Arial" w:eastAsia="Times New Roman" w:cs="Arial"/>
    </w:rPr>
  </w:style>
  <w:style w:type="character" w:styleId="Textenonproportionnel" w:customStyle="1">
    <w:name w:val="Texte non proportionnel"/>
    <w:qFormat/>
    <w:rPr>
      <w:rFonts w:ascii="Courier New" w:hAnsi="Courier New" w:eastAsia="Courier New" w:cs="Courier New"/>
    </w:rPr>
  </w:style>
  <w:style w:type="character" w:styleId="Policepardfaut1" w:customStyle="1">
    <w:name w:val="Police par défaut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WWAbsatzStandardschriftart1111" w:customStyle="1">
    <w:name w:val="WW-Absatz-Standardschriftart1111"/>
    <w:qFormat/>
    <w:rPr/>
  </w:style>
  <w:style w:type="character" w:styleId="WWAbsatzStandardschriftart111" w:customStyle="1">
    <w:name w:val="WW-Absatz-Standardschriftart111"/>
    <w:qFormat/>
    <w:rPr/>
  </w:style>
  <w:style w:type="character" w:styleId="WWAbsatzStandardschriftart11" w:customStyle="1">
    <w:name w:val="WW-Absatz-Standardschriftart11"/>
    <w:qFormat/>
    <w:rPr/>
  </w:style>
  <w:style w:type="character" w:styleId="WWAbsatzStandardschriftart1" w:customStyle="1">
    <w:name w:val="WW-Absatz-Standardschriftart1"/>
    <w:qFormat/>
    <w:rPr/>
  </w:style>
  <w:style w:type="character" w:styleId="Policepardfaut2" w:customStyle="1">
    <w:name w:val="Police par défaut2"/>
    <w:qFormat/>
    <w:rPr/>
  </w:style>
  <w:style w:type="character" w:styleId="WW8Num6z0" w:customStyle="1">
    <w:name w:val="WW8Num6z0"/>
    <w:qFormat/>
    <w:rPr>
      <w:rFonts w:ascii="Symbol" w:hAnsi="Symbol" w:eastAsia="Symbol" w:cs="OpenSymbol"/>
    </w:rPr>
  </w:style>
  <w:style w:type="character" w:styleId="WWAbsatzStandardschriftart" w:customStyle="1">
    <w:name w:val="WW-Absatz-Standardschriftart"/>
    <w:qFormat/>
    <w:rPr/>
  </w:style>
  <w:style w:type="character" w:styleId="AbsatzStandardschriftart" w:customStyle="1">
    <w:name w:val="Absatz-Standardschriftart"/>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0" w:customStyle="1">
    <w:name w:val="WW8Num4z0"/>
    <w:qFormat/>
    <w:rPr>
      <w:rFonts w:ascii="Symbol" w:hAnsi="Symbol" w:eastAsia="Symbol" w:cs="OpenSymbol"/>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3" w:customStyle="1">
    <w:name w:val="WW8Num2z3"/>
    <w:qFormat/>
    <w:rPr>
      <w:rFonts w:ascii="Symbol" w:hAnsi="Symbol" w:eastAsia="Symbol" w:cs="Symbol"/>
    </w:rPr>
  </w:style>
  <w:style w:type="character" w:styleId="WW8Num2z2" w:customStyle="1">
    <w:name w:val="WW8Num2z2"/>
    <w:qFormat/>
    <w:rPr>
      <w:rFonts w:ascii="Wingdings" w:hAnsi="Wingdings" w:eastAsia="Wingdings" w:cs="Wingdings"/>
    </w:rPr>
  </w:style>
  <w:style w:type="character" w:styleId="WW8Num2z1" w:customStyle="1">
    <w:name w:val="WW8Num2z1"/>
    <w:qFormat/>
    <w:rPr>
      <w:rFonts w:ascii="Courier New" w:hAnsi="Courier New" w:eastAsia="Courier New" w:cs="Courier New"/>
    </w:rPr>
  </w:style>
  <w:style w:type="character" w:styleId="WW8Num2z0" w:customStyle="1">
    <w:name w:val="WW8Num2z0"/>
    <w:qFormat/>
    <w:rPr>
      <w:rFonts w:ascii="Times New Roman" w:hAnsi="Times New Roman" w:eastAsia="Times New Roman" w:cs="Times New Roman"/>
      <w:color w:val="000000"/>
      <w:shd w:fill="FFFF00" w:val="clear"/>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actresdenotedebasdepage" w:customStyle="1">
    <w:name w:val="Caractères de note de bas de page"/>
    <w:qFormat/>
    <w:rPr/>
  </w:style>
  <w:style w:type="character" w:styleId="Footnoteanchor" w:customStyle="1">
    <w:name w:val="Footnote anchor"/>
    <w:qFormat/>
    <w:rPr>
      <w:vertAlign w:val="superscript"/>
    </w:rPr>
  </w:style>
  <w:style w:type="character" w:styleId="EndnoteSymbol" w:customStyle="1">
    <w:name w:val="Endnote Symbol"/>
    <w:qFormat/>
    <w:rPr/>
  </w:style>
  <w:style w:type="character" w:styleId="Endnoteanchor" w:customStyle="1">
    <w:name w:val="Endnote anchor"/>
    <w:qFormat/>
    <w:rPr>
      <w:vertAlign w:val="superscript"/>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qFormat/>
    <w:rPr>
      <w:rFonts w:cs="Mangal"/>
      <w:b/>
      <w:bCs/>
      <w:sz w:val="20"/>
      <w:szCs w:val="18"/>
    </w:rPr>
  </w:style>
  <w:style w:type="character" w:styleId="TextedebullesCar" w:customStyle="1">
    <w:name w:val="Texte de bulles Car"/>
    <w:basedOn w:val="DefaultParagraphFont"/>
    <w:qFormat/>
    <w:rPr>
      <w:rFonts w:ascii="Segoe UI" w:hAnsi="Segoe UI" w:eastAsia="Segoe UI" w:cs="Mangal"/>
      <w:sz w:val="18"/>
      <w:szCs w:val="16"/>
    </w:rPr>
  </w:style>
  <w:style w:type="character" w:styleId="CorpsdetexteCar1" w:customStyle="1">
    <w:name w:val="Corps de texte Car1"/>
    <w:basedOn w:val="DefaultParagraphFont"/>
    <w:qFormat/>
    <w:rPr>
      <w:rFonts w:cs="Mangal"/>
      <w:szCs w:val="21"/>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ListLabel46">
    <w:name w:val="ListLabel 46"/>
    <w:qFormat/>
    <w:rPr>
      <w:rFonts w:cs="Times New Roman"/>
      <w:color w:val="000000"/>
      <w:highlight w:val="yellow"/>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eastAsia="Times New Roman" w:cs="Arial"/>
    </w:rPr>
  </w:style>
  <w:style w:type="character" w:styleId="ListLabel65">
    <w:name w:val="ListLabel 65"/>
    <w:qFormat/>
    <w:rPr>
      <w:rFonts w:eastAsia="Times New Roman" w:cs="Arial"/>
    </w:rPr>
  </w:style>
  <w:style w:type="character" w:styleId="ListLabel66">
    <w:name w:val="ListLabel 66"/>
    <w:qFormat/>
    <w:rPr>
      <w:rFonts w:eastAsia="Times New Roman" w:cs="Arial"/>
    </w:rPr>
  </w:style>
  <w:style w:type="character" w:styleId="ListLabel67">
    <w:name w:val="ListLabel 67"/>
    <w:qFormat/>
    <w:rPr>
      <w:rFonts w:eastAsia="Times New Roman" w:cs="Arial"/>
    </w:rPr>
  </w:style>
  <w:style w:type="character" w:styleId="ListLabel68">
    <w:name w:val="ListLabel 68"/>
    <w:qFormat/>
    <w:rPr>
      <w:rFonts w:eastAsia="Times New Roman" w:cs="Arial"/>
    </w:rPr>
  </w:style>
  <w:style w:type="character" w:styleId="ListLabel69">
    <w:name w:val="ListLabel 69"/>
    <w:qFormat/>
    <w:rPr>
      <w:rFonts w:eastAsia="Times New Roman" w:cs="Arial"/>
    </w:rPr>
  </w:style>
  <w:style w:type="character" w:styleId="ListLabel70">
    <w:name w:val="ListLabel 70"/>
    <w:qFormat/>
    <w:rPr>
      <w:rFonts w:eastAsia="Times New Roman" w:cs="Arial"/>
    </w:rPr>
  </w:style>
  <w:style w:type="character" w:styleId="ListLabel71">
    <w:name w:val="ListLabel 71"/>
    <w:qFormat/>
    <w:rPr>
      <w:rFonts w:eastAsia="Times New Roman" w:cs="Arial"/>
    </w:rPr>
  </w:style>
  <w:style w:type="character" w:styleId="ListLabel72">
    <w:name w:val="ListLabel 72"/>
    <w:qFormat/>
    <w:rPr>
      <w:rFonts w:eastAsia="Times New Roman" w:cs="Arial"/>
    </w:rPr>
  </w:style>
  <w:style w:type="character" w:styleId="ListLabel73">
    <w:name w:val="ListLabel 73"/>
    <w:qFormat/>
    <w:rPr>
      <w:rFonts w:eastAsia="SimSun" w:cs="Arial"/>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eastAsia="OpenSymbol" w:cs="OpenSymbol"/>
    </w:rPr>
  </w:style>
  <w:style w:type="character" w:styleId="ListLabel78">
    <w:name w:val="ListLabel 78"/>
    <w:qFormat/>
    <w:rPr>
      <w:rFonts w:eastAsia="OpenSymbol" w:cs="OpenSymbol"/>
    </w:rPr>
  </w:style>
  <w:style w:type="character" w:styleId="ListLabel79">
    <w:name w:val="ListLabel 79"/>
    <w:qFormat/>
    <w:rPr>
      <w:rFonts w:eastAsia="OpenSymbol" w:cs="OpenSymbol"/>
    </w:rPr>
  </w:style>
  <w:style w:type="character" w:styleId="ListLabel80">
    <w:name w:val="ListLabel 80"/>
    <w:qFormat/>
    <w:rPr>
      <w:rFonts w:eastAsia="OpenSymbol" w:cs="OpenSymbol"/>
    </w:rPr>
  </w:style>
  <w:style w:type="character" w:styleId="ListLabel81">
    <w:name w:val="ListLabel 81"/>
    <w:qFormat/>
    <w:rPr>
      <w:rFonts w:eastAsia="OpenSymbol" w:cs="OpenSymbol"/>
    </w:rPr>
  </w:style>
  <w:style w:type="character" w:styleId="ListLabel82">
    <w:name w:val="ListLabel 82"/>
    <w:qFormat/>
    <w:rPr>
      <w:rFonts w:eastAsia="OpenSymbol" w:cs="OpenSymbol"/>
    </w:rPr>
  </w:style>
  <w:style w:type="character" w:styleId="ListLabel83">
    <w:name w:val="ListLabel 83"/>
    <w:qFormat/>
    <w:rPr>
      <w:rFonts w:eastAsia="OpenSymbol" w:cs="OpenSymbol"/>
    </w:rPr>
  </w:style>
  <w:style w:type="character" w:styleId="ListLabel84">
    <w:name w:val="ListLabel 84"/>
    <w:qFormat/>
    <w:rPr>
      <w:rFonts w:eastAsia="OpenSymbol" w:cs="OpenSymbol"/>
    </w:rPr>
  </w:style>
  <w:style w:type="character" w:styleId="ListLabel85">
    <w:name w:val="ListLabel 85"/>
    <w:qFormat/>
    <w:rPr>
      <w:rFonts w:eastAsia="OpenSymbol"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Aria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Sautdindex">
    <w:name w:val="Saut d'index"/>
    <w:qFormat/>
    <w:rPr/>
  </w:style>
  <w:style w:type="character" w:styleId="LienInternet">
    <w:name w:val="Lien Internet"/>
    <w:rPr>
      <w:color w:val="000080"/>
      <w:u w:val="single"/>
      <w:lang w:val="zxx" w:eastAsia="zxx" w:bidi="zxx"/>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paragraph" w:styleId="Titre" w:customStyle="1">
    <w:name w:val="Titre"/>
    <w:basedOn w:val="Normal"/>
    <w:next w:val="Corpsdetexte"/>
    <w:qFormat/>
    <w:pPr>
      <w:widowControl w:val="false"/>
      <w:bidi w:val="0"/>
      <w:jc w:val="left"/>
    </w:pPr>
    <w:rPr>
      <w:rFonts w:ascii="Liberation Serif" w:hAnsi="Liberation Serif" w:eastAsia="SimSun" w:cs="Arial"/>
      <w:color w:val="00000A"/>
      <w:sz w:val="24"/>
      <w:szCs w:val="24"/>
      <w:lang w:val="fr-FR" w:eastAsia="zh-CN" w:bidi="hi-IN"/>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Liberation Serif" w:hAnsi="Liberation Serif" w:eastAsia="SimSun" w:cs="Tahoma"/>
      <w:color w:val="00000A"/>
      <w:sz w:val="24"/>
      <w:szCs w:val="24"/>
      <w:lang w:val="fr-FR" w:eastAsia="zh-CN" w:bidi="hi-I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1"/>
      <w:szCs w:val="24"/>
      <w:lang w:val="fr-FR" w:eastAsia="zh-CN" w:bidi="hi-IN"/>
    </w:rPr>
  </w:style>
  <w:style w:type="paragraph" w:styleId="Standard" w:customStyle="1">
    <w:name w:val="Standard"/>
    <w:autoRedefine/>
    <w:qFormat/>
    <w:pPr>
      <w:keepNext w:val="false"/>
      <w:keepLines/>
      <w:widowControl/>
      <w:suppressAutoHyphens w:val="true"/>
      <w:bidi w:val="0"/>
      <w:ind w:left="0" w:right="0" w:hanging="0"/>
      <w:jc w:val="both"/>
      <w:textAlignment w:val="baseline"/>
    </w:pPr>
    <w:rPr>
      <w:rFonts w:ascii="Arial" w:hAnsi="Arial" w:eastAsia="Arial" w:cs="Arial"/>
      <w:color w:val="00000A"/>
      <w:sz w:val="20"/>
      <w:szCs w:val="20"/>
      <w:lang w:val="fr-FR" w:eastAsia="zh-CN" w:bidi="hi-IN"/>
    </w:rPr>
  </w:style>
  <w:style w:type="paragraph" w:styleId="Textbody" w:customStyle="1">
    <w:name w:val="Text body"/>
    <w:basedOn w:val="Normal"/>
    <w:qFormat/>
    <w:pPr>
      <w:spacing w:before="0" w:after="120"/>
    </w:pPr>
    <w:rPr>
      <w:rFonts w:cs="Mangal"/>
      <w:szCs w:val="21"/>
    </w:rPr>
  </w:style>
  <w:style w:type="paragraph" w:styleId="Caption">
    <w:name w:val="caption"/>
    <w:basedOn w:val="Standard"/>
    <w:qFormat/>
    <w:pPr>
      <w:suppressLineNumbers/>
      <w:spacing w:before="120" w:after="120"/>
    </w:pPr>
    <w:rPr>
      <w:rFonts w:ascii="Trebuchet MS" w:hAnsi="Trebuchet MS" w:eastAsia="Trebuchet MS" w:cs="Tahoma"/>
      <w:i/>
      <w:iCs/>
      <w:sz w:val="24"/>
      <w:szCs w:val="24"/>
    </w:rPr>
  </w:style>
  <w:style w:type="paragraph" w:styleId="Contenudetableau" w:customStyle="1">
    <w:name w:val="Contenu de tableau"/>
    <w:basedOn w:val="Standard"/>
    <w:qFormat/>
    <w:pPr>
      <w:suppressLineNumbers/>
    </w:pPr>
    <w:rPr>
      <w:rFonts w:ascii="Trebuchet MS" w:hAnsi="Trebuchet MS" w:eastAsia="Trebuchet MS" w:cs="Trebuchet MS"/>
      <w:sz w:val="21"/>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sz w:val="21"/>
    </w:rPr>
  </w:style>
  <w:style w:type="paragraph" w:styleId="Numration1lamarge" w:customStyle="1">
    <w:name w:val="énumération 1  à la marge"/>
    <w:basedOn w:val="Standard"/>
    <w:qFormat/>
    <w:pPr>
      <w:tabs>
        <w:tab w:val="left" w:pos="360" w:leader="none"/>
      </w:tabs>
      <w:spacing w:before="0" w:after="120"/>
      <w:ind w:left="360" w:right="0" w:hanging="360"/>
    </w:pPr>
    <w:rPr>
      <w:rFonts w:ascii="Trebuchet MS" w:hAnsi="Trebuchet MS" w:eastAsia="Trebuchet MS" w:cs="Trebuchet MS"/>
      <w:sz w:val="21"/>
    </w:rPr>
  </w:style>
  <w:style w:type="paragraph" w:styleId="Indexheading">
    <w:name w:val="index heading"/>
    <w:basedOn w:val="Titre"/>
    <w:qFormat/>
    <w:pPr>
      <w:suppressLineNumbers/>
    </w:pPr>
    <w:rPr>
      <w:b/>
      <w:bCs/>
      <w:sz w:val="32"/>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zCs w:val="24"/>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right="0" w:hanging="3600"/>
      <w:jc w:val="center"/>
    </w:pPr>
    <w:rPr>
      <w:b/>
      <w:color w:val="000000"/>
      <w:sz w:val="24"/>
    </w:rPr>
  </w:style>
  <w:style w:type="paragraph" w:styleId="Procedure" w:customStyle="1">
    <w:name w:val="Procedure"/>
    <w:basedOn w:val="Standard"/>
    <w:qFormat/>
    <w:pPr>
      <w:tabs>
        <w:tab w:val="left" w:pos="3600" w:leader="none"/>
      </w:tabs>
      <w:ind w:left="3600" w:right="0" w:hanging="3600"/>
      <w:jc w:val="center"/>
    </w:pPr>
    <w:rPr>
      <w:b/>
      <w:color w:val="000000"/>
      <w:sz w:val="24"/>
    </w:rPr>
  </w:style>
  <w:style w:type="paragraph" w:styleId="DateLimite" w:customStyle="1">
    <w:name w:val="DateLimite"/>
    <w:basedOn w:val="Standard"/>
    <w:qFormat/>
    <w:pPr>
      <w:tabs>
        <w:tab w:val="left" w:pos="3600" w:leader="none"/>
      </w:tabs>
      <w:ind w:left="3600" w:right="0" w:hanging="3600"/>
      <w:jc w:val="center"/>
    </w:pPr>
    <w:rPr>
      <w:b/>
      <w:color w:val="000000"/>
      <w:sz w:val="24"/>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Normal"/>
    <w:qFormat/>
    <w:pPr>
      <w:widowControl w:val="false"/>
      <w:bidi w:val="0"/>
      <w:jc w:val="left"/>
    </w:pPr>
    <w:rPr>
      <w:rFonts w:ascii="Liberation Serif" w:hAnsi="Liberation Serif" w:eastAsia="SimSun" w:cs="Tahoma"/>
      <w:i w:val="false"/>
      <w:color w:val="00000A"/>
      <w:sz w:val="21"/>
      <w:szCs w:val="24"/>
      <w:lang w:val="fr-FR" w:eastAsia="fr-FR" w:bidi="ar-SA"/>
    </w:rPr>
  </w:style>
  <w:style w:type="paragraph" w:styleId="LONormal" w:customStyle="1">
    <w:name w:val="LO-Normal"/>
    <w:qFormat/>
    <w:pPr>
      <w:widowControl/>
      <w:suppressAutoHyphens w:val="true"/>
      <w:bidi w:val="0"/>
      <w:spacing w:lineRule="atLeast" w:line="100"/>
      <w:jc w:val="left"/>
    </w:pPr>
    <w:rPr>
      <w:rFonts w:ascii="Times New Roman" w:hAnsi="Times New Roman" w:eastAsia="Arial Unicode MS" w:cs="Times New Roman"/>
      <w:color w:val="00000A"/>
      <w:sz w:val="24"/>
      <w:szCs w:val="24"/>
      <w:lang w:val="fr-FR" w:eastAsia="zh-CN" w:bidi="hi-IN"/>
    </w:rPr>
  </w:style>
  <w:style w:type="paragraph" w:styleId="Soustitre">
    <w:name w:val="Subtitle"/>
    <w:basedOn w:val="Titre"/>
    <w:qFormat/>
    <w:pPr/>
    <w:rPr/>
  </w:style>
  <w:style w:type="paragraph" w:styleId="Quotations" w:customStyle="1">
    <w:name w:val="Quotations"/>
    <w:basedOn w:val="Standard"/>
    <w:qFormat/>
    <w:pPr/>
    <w:rPr/>
  </w:style>
  <w:style w:type="paragraph" w:styleId="Default" w:customStyle="1">
    <w:name w:val="Default"/>
    <w:qFormat/>
    <w:pPr>
      <w:widowControl/>
      <w:suppressAutoHyphens w:val="true"/>
      <w:bidi w:val="0"/>
      <w:jc w:val="left"/>
    </w:pPr>
    <w:rPr>
      <w:rFonts w:ascii="Times New Roman" w:hAnsi="Times New Roman" w:eastAsia="Times New Roman" w:cs="Times New Roman"/>
      <w:color w:val="000000"/>
      <w:sz w:val="24"/>
      <w:szCs w:val="24"/>
      <w:lang w:val="fr-FR" w:eastAsia="zh-CN" w:bidi="hi-IN"/>
    </w:rPr>
  </w:style>
  <w:style w:type="paragraph" w:styleId="Style11" w:customStyle="1">
    <w:name w:val="Style1"/>
    <w:basedOn w:val="Standard"/>
    <w:qFormat/>
    <w:pPr/>
    <w:rPr/>
  </w:style>
  <w:style w:type="paragraph" w:styleId="BodyText3">
    <w:name w:val="Body Text 3"/>
    <w:basedOn w:val="Standard"/>
    <w:qFormat/>
    <w:pPr/>
    <w:rPr>
      <w:i/>
      <w:iCs/>
      <w:u w:val="single"/>
    </w:rPr>
  </w:style>
  <w:style w:type="paragraph" w:styleId="NormalWeb">
    <w:name w:val="Normal (Web)"/>
    <w:basedOn w:val="Standard"/>
    <w:qFormat/>
    <w:pPr>
      <w:spacing w:before="280" w:after="119"/>
    </w:pPr>
    <w:rPr>
      <w:rFonts w:ascii="Arial Unicode MS" w:hAnsi="Arial Unicode MS" w:eastAsia="Arial Unicode MS" w:cs="Arial Unicode MS"/>
    </w:rPr>
  </w:style>
  <w:style w:type="paragraph" w:styleId="BodyTextIndent2">
    <w:name w:val="Body Text Indent 2"/>
    <w:basedOn w:val="Standard"/>
    <w:qFormat/>
    <w:pPr>
      <w:ind w:left="0" w:right="0" w:firstLine="12"/>
    </w:pPr>
    <w:rPr/>
  </w:style>
  <w:style w:type="paragraph" w:styleId="BodyText2">
    <w:name w:val="Body Text 2"/>
    <w:basedOn w:val="Standard"/>
    <w:qFormat/>
    <w:pPr/>
    <w:rPr/>
  </w:style>
  <w:style w:type="paragraph" w:styleId="Western" w:customStyle="1">
    <w:name w:val="western"/>
    <w:basedOn w:val="Standard"/>
    <w:qFormat/>
    <w:pPr>
      <w:spacing w:before="0" w:after="119"/>
    </w:pPr>
    <w:rPr>
      <w:rFonts w:eastAsia="Times New Roman"/>
    </w:rPr>
  </w:style>
  <w:style w:type="paragraph" w:styleId="Corpsdutexte" w:customStyle="1">
    <w:name w:val="Corps du texte"/>
    <w:basedOn w:val="Standard"/>
    <w:qFormat/>
    <w:pPr>
      <w:shd w:val="clear" w:color="auto" w:fill="FFFFFF"/>
      <w:spacing w:lineRule="exact" w:line="274"/>
      <w:ind w:left="0" w:right="0" w:hanging="380"/>
      <w:jc w:val="right"/>
    </w:pPr>
    <w:rPr>
      <w:rFonts w:ascii="Times New Roman" w:hAnsi="Times New Roman" w:eastAsia="Times New Roman" w:cs="Times New Roman"/>
      <w:sz w:val="22"/>
      <w:szCs w:val="22"/>
    </w:rPr>
  </w:style>
  <w:style w:type="paragraph" w:styleId="Retraitcorpsdetexte21" w:customStyle="1">
    <w:name w:val="Retrait corps de texte 21"/>
    <w:basedOn w:val="Standard"/>
    <w:qFormat/>
    <w:pPr>
      <w:ind w:left="705" w:right="0" w:hanging="0"/>
    </w:pPr>
    <w:rPr/>
  </w:style>
  <w:style w:type="paragraph" w:styleId="Textbodyindent" w:customStyle="1">
    <w:name w:val="Text body indent"/>
    <w:basedOn w:val="Standard"/>
    <w:qFormat/>
    <w:pPr>
      <w:ind w:left="705" w:right="0" w:hanging="0"/>
    </w:pPr>
    <w:rPr>
      <w:u w:val="single"/>
    </w:rPr>
  </w:style>
  <w:style w:type="paragraph" w:styleId="Corpsdetexte21" w:customStyle="1">
    <w:name w:val="Corps de texte 21"/>
    <w:basedOn w:val="Standard"/>
    <w:qFormat/>
    <w:pPr>
      <w:jc w:val="center"/>
    </w:pPr>
    <w:rPr>
      <w:b/>
      <w:bCs/>
      <w:sz w:val="28"/>
    </w:rPr>
  </w:style>
  <w:style w:type="paragraph" w:styleId="Lgende1" w:customStyle="1">
    <w:name w:val="Légende1"/>
    <w:basedOn w:val="Standard"/>
    <w:qFormat/>
    <w:pPr>
      <w:suppressLineNumbers/>
      <w:spacing w:before="120" w:after="120"/>
    </w:pPr>
    <w:rPr>
      <w:rFonts w:cs="Arial Unicode MS"/>
      <w:i/>
      <w:iCs/>
      <w:sz w:val="24"/>
      <w:szCs w:val="24"/>
    </w:rPr>
  </w:style>
  <w:style w:type="paragraph" w:styleId="Lgende2" w:customStyle="1">
    <w:name w:val="Légende2"/>
    <w:basedOn w:val="Standard"/>
    <w:qFormat/>
    <w:pPr>
      <w:suppressLineNumbers/>
      <w:spacing w:before="120" w:after="120"/>
    </w:pPr>
    <w:rPr>
      <w:rFonts w:cs="Arial Unicode MS"/>
      <w:i/>
      <w:iCs/>
      <w:sz w:val="24"/>
      <w:szCs w:val="24"/>
    </w:rPr>
  </w:style>
  <w:style w:type="paragraph" w:styleId="Titre21" w:customStyle="1">
    <w:name w:val="Titre2"/>
    <w:basedOn w:val="Standard"/>
    <w:qFormat/>
    <w:pPr>
      <w:spacing w:before="240" w:after="120"/>
    </w:pPr>
    <w:rPr>
      <w:rFonts w:eastAsia="SimSun, 宋体" w:cs="Arial Unicode MS"/>
      <w:sz w:val="28"/>
      <w:szCs w:val="28"/>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eastAsia="Segoe UI" w:cs="Mangal"/>
      <w:sz w:val="18"/>
      <w:szCs w:val="16"/>
    </w:rPr>
  </w:style>
  <w:style w:type="paragraph" w:styleId="Tabledesmatiresniveau1">
    <w:name w:val="TOC 1"/>
    <w:basedOn w:val="Normal"/>
    <w:next w:val="Normal"/>
    <w:autoRedefine/>
    <w:pPr>
      <w:tabs>
        <w:tab w:val="right" w:pos="8290" w:leader="dot"/>
      </w:tabs>
      <w:spacing w:before="0" w:after="100"/>
    </w:pPr>
    <w:rPr>
      <w:rFonts w:ascii="Arial" w:hAnsi="Arial" w:eastAsia="Arial"/>
      <w:sz w:val="20"/>
      <w:szCs w:val="20"/>
    </w:rPr>
  </w:style>
  <w:style w:type="paragraph" w:styleId="Tabledesmatiresniveau2">
    <w:name w:val="TOC 2"/>
    <w:basedOn w:val="Normal"/>
    <w:next w:val="Normal"/>
    <w:autoRedefine/>
    <w:pPr>
      <w:tabs>
        <w:tab w:val="right" w:pos="8290" w:leader="dot"/>
      </w:tabs>
      <w:spacing w:before="0" w:after="100"/>
      <w:ind w:left="240" w:hanging="0"/>
    </w:pPr>
    <w:rPr>
      <w:rFonts w:ascii="Arial" w:hAnsi="Arial" w:eastAsia="Arial"/>
      <w:sz w:val="20"/>
      <w:szCs w:val="20"/>
    </w:rPr>
  </w:style>
  <w:style w:type="paragraph" w:styleId="Tabledesmatiresniveau3">
    <w:name w:val="TOC 3"/>
    <w:basedOn w:val="Normal"/>
    <w:next w:val="Normal"/>
    <w:autoRedefine/>
    <w:pPr>
      <w:tabs>
        <w:tab w:val="right" w:pos="8290" w:leader="dot"/>
      </w:tabs>
      <w:spacing w:before="0" w:after="100"/>
      <w:ind w:left="480" w:hanging="0"/>
    </w:pPr>
    <w:rPr>
      <w:rFonts w:ascii="Arial" w:hAnsi="Arial" w:eastAsia="Arial"/>
      <w:sz w:val="20"/>
      <w:szCs w:val="20"/>
    </w:rPr>
  </w:style>
  <w:style w:type="paragraph" w:styleId="ListParagraph">
    <w:name w:val="List Paragraph"/>
    <w:basedOn w:val="Normal"/>
    <w:qFormat/>
    <w:pPr>
      <w:ind w:left="720" w:hanging="0"/>
    </w:pPr>
    <w:rPr>
      <w:rFonts w:cs="Mangal"/>
      <w:szCs w:val="21"/>
    </w:rPr>
  </w:style>
  <w:style w:type="numbering" w:styleId="NoList" w:default="1">
    <w:name w:val="No List"/>
    <w:uiPriority w:val="99"/>
    <w:semiHidden/>
    <w:unhideWhenUsed/>
    <w:qFormat/>
  </w:style>
  <w:style w:type="numbering" w:styleId="WWOutlineListStyle17" w:customStyle="1">
    <w:name w:val="WW_OutlineListStyle_17"/>
    <w:qFormat/>
  </w:style>
  <w:style w:type="numbering" w:styleId="WWOutlineListStyle16" w:customStyle="1">
    <w:name w:val="WW_OutlineListStyle_16"/>
    <w:qFormat/>
  </w:style>
  <w:style w:type="numbering" w:styleId="WWOutlineListStyle15" w:customStyle="1">
    <w:name w:val="WW_OutlineListStyle_1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14" w:customStyle="1">
    <w:name w:val="WW_OutlineListStyle_14"/>
    <w:qFormat/>
  </w:style>
  <w:style w:type="numbering" w:styleId="WWOutlineListStyle13" w:customStyle="1">
    <w:name w:val="WW_OutlineListStyle_13"/>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0" w:customStyle="1">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e-attestations.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05BF-BA9E-4F5C-ACF6-BAF17FAB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Application>LibreOffice/5.3.6.1$Windows_x86 LibreOffice_project/686f202eff87ef707079aeb7f485847613344eb7</Application>
  <Pages>14</Pages>
  <Words>4266</Words>
  <Characters>23289</Characters>
  <CharactersWithSpaces>27300</CharactersWithSpaces>
  <Paragraphs>272</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2020-05-14T09:08:00Z</dcterms:created>
  <dc:creator>LAURIER Marie-Anne</dc:creator>
  <dc:description/>
  <dc:language>fr-FR</dc:language>
  <cp:lastModifiedBy/>
  <cp:lastPrinted>2020-01-27T15:56:00Z</cp:lastPrinted>
  <dcterms:modified xsi:type="dcterms:W3CDTF">2020-11-09T14:56:35Z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