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>
          <w:b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PRESTATIONS D’ENTRETIEN ET DE NETTOYAGE DES VETEMENTS DU PERSONNEL FUNERAIRE DE LA VILLE DE MARSEILLE</w:t>
      </w:r>
    </w:p>
    <w:p>
      <w:pPr>
        <w:pStyle w:val="Textbody"/>
        <w:spacing w:before="0" w:after="0"/>
        <w:rPr/>
      </w:pPr>
      <w:r>
        <w:rPr>
          <w:b/>
          <w:bCs/>
        </w:rPr>
        <w:t>Numéro de la consultation 2020_40302_</w:t>
      </w:r>
      <w:r>
        <w:rPr>
          <w:b/>
          <w:bCs/>
        </w:rPr>
        <w:t>0011</w:t>
      </w:r>
    </w:p>
    <w:p>
      <w:pPr>
        <w:pStyle w:val="Textbody"/>
        <w:spacing w:before="0" w:after="0"/>
        <w:rPr>
          <w:bCs/>
        </w:rPr>
      </w:pPr>
      <w:r>
        <w:rPr>
          <w:bCs/>
        </w:rPr>
      </w:r>
    </w:p>
    <w:p>
      <w:pPr>
        <w:pStyle w:val="Textbody"/>
        <w:jc w:val="center"/>
        <w:rPr>
          <w:b/>
          <w:b/>
          <w:bCs/>
        </w:rPr>
      </w:pPr>
      <w:r>
        <w:rPr>
          <w:b/>
          <w:bCs/>
        </w:rPr>
        <w:t>DETAIL QUANTITATIF ESTIMATIF (DQE)</w:t>
      </w:r>
    </w:p>
    <w:p>
      <w:pPr>
        <w:pStyle w:val="Textbody"/>
        <w:jc w:val="center"/>
        <w:rPr/>
      </w:pPr>
      <w:r>
        <w:rPr>
          <w:bCs/>
          <w:color w:val="FF0000"/>
        </w:rPr>
        <w:t>(Document non contractuel, utilisé uniquement pour l’analyse des offres)</w:t>
      </w:r>
    </w:p>
    <w:p>
      <w:pPr>
        <w:pStyle w:val="Textbody"/>
        <w:spacing w:before="0" w:after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Textbody"/>
        <w:spacing w:before="0" w:after="0"/>
        <w:ind w:right="819" w:hanging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Comme indiqué dans le règlement de la consultation, les éventuelles erreurs de calcul seront corrigées par l'acheteur.</w:t>
      </w:r>
    </w:p>
    <w:p>
      <w:pPr>
        <w:pStyle w:val="Textbody"/>
        <w:ind w:right="819" w:hanging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Le prix unitaire hebdomadaire HT (1 lavage) inclut tous les frais de quelque nature que ce soit y compris mise à disposition des contenants du linge à collecter, marquage en début de marché, enlèvement et livraison</w:t>
      </w:r>
    </w:p>
    <w:tbl>
      <w:tblPr>
        <w:tblW w:w="14149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28"/>
        <w:gridCol w:w="1824"/>
        <w:gridCol w:w="1703"/>
        <w:gridCol w:w="1987"/>
        <w:gridCol w:w="2407"/>
      </w:tblGrid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spacing w:before="480" w:after="0"/>
              <w:jc w:val="center"/>
              <w:rPr>
                <w:bCs/>
              </w:rPr>
            </w:pPr>
            <w:r>
              <w:rPr>
                <w:bCs/>
              </w:rPr>
              <w:t>Désignation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spacing w:before="360" w:after="0"/>
              <w:jc w:val="center"/>
              <w:rPr>
                <w:bCs/>
              </w:rPr>
            </w:pPr>
            <w:r>
              <w:rPr>
                <w:bCs/>
              </w:rPr>
              <w:t>1 lavage hebdomadaire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>
                <w:bCs/>
              </w:rPr>
            </w:pPr>
            <w:r>
              <w:rPr>
                <w:bCs/>
              </w:rPr>
              <w:t>Quantités estimées annuelles n’ayant pas de valeur contractuelle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spacing w:before="360" w:after="0"/>
              <w:jc w:val="center"/>
              <w:rPr/>
            </w:pPr>
            <w:r>
              <w:rPr>
                <w:bCs/>
              </w:rPr>
              <w:t xml:space="preserve">Prix unitaires </w:t>
            </w:r>
            <w:r>
              <w:rPr>
                <w:bCs/>
                <w:sz w:val="20"/>
                <w:szCs w:val="20"/>
              </w:rPr>
              <w:t>€</w:t>
            </w:r>
            <w:r>
              <w:rPr>
                <w:bCs/>
              </w:rPr>
              <w:t xml:space="preserve"> HT</w:t>
            </w:r>
          </w:p>
          <w:p>
            <w:pPr>
              <w:pStyle w:val="Contenudetableau"/>
              <w:jc w:val="center"/>
              <w:rPr>
                <w:bCs/>
              </w:rPr>
            </w:pPr>
            <w:r>
              <w:rPr>
                <w:bCs/>
              </w:rPr>
              <w:t>hebdomadaires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spacing w:before="360" w:after="0"/>
              <w:jc w:val="center"/>
              <w:rPr/>
            </w:pPr>
            <w:r>
              <w:rPr>
                <w:bCs/>
              </w:rPr>
              <w:t xml:space="preserve">Montant total </w:t>
            </w:r>
            <w:r>
              <w:rPr>
                <w:bCs/>
                <w:sz w:val="20"/>
                <w:szCs w:val="20"/>
              </w:rPr>
              <w:t>€</w:t>
            </w:r>
            <w:r>
              <w:rPr>
                <w:bCs/>
              </w:rPr>
              <w:t xml:space="preserve"> HT hebdomadaire</w:t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NETTOYAGE, DESINFECTION, ENLEVEMENT ET LIVRAISON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ind w:left="709" w:hanging="0"/>
              <w:rPr>
                <w:bCs/>
              </w:rPr>
            </w:pPr>
            <w:r>
              <w:rPr>
                <w:bCs/>
              </w:rPr>
              <w:t>1.1) agents fossoyeurs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numPr>
                <w:ilvl w:val="2"/>
                <w:numId w:val="2"/>
              </w:numPr>
              <w:rPr/>
            </w:pPr>
            <w:r>
              <w:rPr>
                <w:bCs/>
              </w:rPr>
              <w:t>Veste de travail type softschell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1 220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numPr>
                <w:ilvl w:val="2"/>
                <w:numId w:val="3"/>
              </w:numPr>
              <w:rPr>
                <w:bCs/>
              </w:rPr>
            </w:pPr>
            <w:r>
              <w:rPr>
                <w:bCs/>
              </w:rPr>
              <w:t>Pantalon type treillis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1 220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ind w:left="709" w:hanging="0"/>
              <w:rPr>
                <w:bCs/>
              </w:rPr>
            </w:pPr>
            <w:r>
              <w:rPr>
                <w:bCs/>
              </w:rPr>
              <w:t>1.2) agents du Funérarium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numPr>
                <w:ilvl w:val="2"/>
                <w:numId w:val="4"/>
              </w:numPr>
              <w:rPr>
                <w:bCs/>
              </w:rPr>
            </w:pPr>
            <w:r>
              <w:rPr>
                <w:bCs/>
              </w:rPr>
              <w:t>Veste passe couloir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1092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numPr>
                <w:ilvl w:val="2"/>
                <w:numId w:val="4"/>
              </w:numPr>
              <w:rPr>
                <w:bCs/>
              </w:rPr>
            </w:pPr>
            <w:r>
              <w:rPr>
                <w:bCs/>
              </w:rPr>
              <w:t>Pantalon blanc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2500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numPr>
                <w:ilvl w:val="2"/>
                <w:numId w:val="4"/>
              </w:numPr>
              <w:rPr>
                <w:bCs/>
              </w:rPr>
            </w:pPr>
            <w:r>
              <w:rPr>
                <w:bCs/>
              </w:rPr>
              <w:t>Blouse manche courte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5000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numPr>
                <w:ilvl w:val="2"/>
                <w:numId w:val="3"/>
              </w:numPr>
              <w:rPr>
                <w:bCs/>
              </w:rPr>
            </w:pPr>
            <w:r>
              <w:rPr>
                <w:bCs/>
              </w:rPr>
              <w:t>Pantalon type treillis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2500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Sous-total 1)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14206" w:type="dxa"/>
        <w:jc w:val="left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87"/>
        <w:gridCol w:w="1681"/>
        <w:gridCol w:w="1842"/>
        <w:gridCol w:w="1985"/>
        <w:gridCol w:w="2411"/>
      </w:tblGrid>
      <w:tr>
        <w:trPr/>
        <w:tc>
          <w:tcPr>
            <w:tcW w:w="6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Désignation</w:t>
            </w:r>
          </w:p>
        </w:tc>
        <w:tc>
          <w:tcPr>
            <w:tcW w:w="1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bCs/>
              </w:rPr>
              <w:t>Quantités estimées annuelles n’ayant pas de valeur contractuelle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bCs/>
              </w:rPr>
              <w:t xml:space="preserve">Prix unitaires </w:t>
            </w:r>
            <w:r>
              <w:rPr>
                <w:bCs/>
                <w:sz w:val="20"/>
                <w:szCs w:val="20"/>
              </w:rPr>
              <w:t>€</w:t>
            </w:r>
            <w:r>
              <w:rPr>
                <w:bCs/>
              </w:rPr>
              <w:t xml:space="preserve"> HT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bCs/>
              </w:rPr>
              <w:t xml:space="preserve">Montant total </w:t>
            </w:r>
            <w:r>
              <w:rPr>
                <w:bCs/>
                <w:sz w:val="20"/>
                <w:szCs w:val="20"/>
              </w:rPr>
              <w:t>€</w:t>
            </w:r>
            <w:r>
              <w:rPr>
                <w:bCs/>
              </w:rPr>
              <w:t xml:space="preserve"> HT</w:t>
            </w:r>
          </w:p>
        </w:tc>
      </w:tr>
      <w:tr>
        <w:trPr/>
        <w:tc>
          <w:tcPr>
            <w:tcW w:w="62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Contenudetableau"/>
              <w:rPr>
                <w:bCs/>
              </w:rPr>
            </w:pPr>
            <w:r>
              <w:rPr>
                <w:bCs/>
              </w:rPr>
              <w:t>2) MARQUAGE D’UN NOUVEL ARTICLE</w:t>
            </w:r>
          </w:p>
          <w:p>
            <w:pPr>
              <w:pStyle w:val="Contenudetableau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spacing w:before="240" w:after="0"/>
              <w:jc w:val="center"/>
              <w:rPr/>
            </w:pPr>
            <w:r>
              <w:rPr/>
              <w:t>Le vêtement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spacing w:before="240" w:after="0"/>
              <w:jc w:val="center"/>
              <w:rPr/>
            </w:pPr>
            <w:r>
              <w:rPr/>
              <w:t>15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382" w:hRule="atLeast"/>
        </w:trPr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Contenudetableau"/>
              <w:rPr>
                <w:bCs/>
              </w:rPr>
            </w:pPr>
            <w:r>
              <w:rPr>
                <w:bCs/>
              </w:rPr>
              <w:t>3 ) REPARATION LINGE</w:t>
            </w:r>
          </w:p>
        </w:tc>
        <w:tc>
          <w:tcPr>
            <w:tcW w:w="1681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/>
            </w:pPr>
            <w:r>
              <w:rPr>
                <w:bCs/>
              </w:rPr>
              <w:t>Petit accroc entre 0,5 et 1 cm de diamètre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/>
            </w:pPr>
            <w:r>
              <w:rPr>
                <w:bCs/>
              </w:rPr>
              <w:t>Accroc plus important &gt; 1 cm de diamètre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>
                <w:bCs/>
              </w:rPr>
            </w:pPr>
            <w:r>
              <w:rPr>
                <w:bCs/>
              </w:rPr>
              <w:t>Pose d’un bouton sur pantalon, veste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>
                <w:bCs/>
              </w:rPr>
            </w:pPr>
            <w:r>
              <w:rPr>
                <w:bCs/>
              </w:rPr>
              <w:t>Ourlet de pantalon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>
                <w:bCs/>
              </w:rPr>
            </w:pPr>
            <w:r>
              <w:rPr>
                <w:bCs/>
              </w:rPr>
              <w:t>Fourniture et pose d’une fermeture à glissière sur pantalon, veste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681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Sous-total 2) et 3)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>
          <w:b/>
          <w:b/>
        </w:rPr>
      </w:pPr>
      <w:r>
        <w:rPr>
          <w:b/>
        </w:rPr>
        <w:t>Nom de l’entreprise</w:t>
      </w:r>
    </w:p>
    <w:tbl>
      <w:tblPr>
        <w:tblW w:w="5670" w:type="dxa"/>
        <w:jc w:val="left"/>
        <w:tblInd w:w="8494" w:type="dxa"/>
        <w:tblBorders>
          <w:top w:val="single" w:sz="4" w:space="0" w:color="000001"/>
          <w:left w:val="single" w:sz="2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2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976"/>
        <w:gridCol w:w="2693"/>
      </w:tblGrid>
      <w:tr>
        <w:trPr/>
        <w:tc>
          <w:tcPr>
            <w:tcW w:w="29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nudetableau"/>
              <w:rPr/>
            </w:pPr>
            <w:r>
              <w:rPr/>
              <w:t>TOTAL 1), 2) et 3) HT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top w:w="55" w:type="dxa"/>
              <w:left w:w="40" w:type="dxa"/>
              <w:bottom w:w="55" w:type="dxa"/>
              <w:right w:w="55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9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nudetableau"/>
              <w:rPr/>
            </w:pPr>
            <w:r>
              <w:rPr/>
              <w:t>TVA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top w:w="55" w:type="dxa"/>
              <w:left w:w="40" w:type="dxa"/>
              <w:bottom w:w="55" w:type="dxa"/>
              <w:right w:w="55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9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nudetableau"/>
              <w:rPr/>
            </w:pPr>
            <w:r>
              <w:rPr/>
              <w:t>TOTAL 1), 2) et 3) TTC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top w:w="55" w:type="dxa"/>
              <w:left w:w="40" w:type="dxa"/>
              <w:bottom w:w="55" w:type="dxa"/>
              <w:right w:w="55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spacing w:lineRule="auto" w:line="288" w:before="0" w:after="140"/>
        <w:rPr/>
      </w:pPr>
      <w:r>
        <w:rPr/>
      </w:r>
    </w:p>
    <w:sectPr>
      <w:type w:val="nextPage"/>
      <w:pgSz w:orient="landscape" w:w="16838" w:h="11906"/>
      <w:pgMar w:left="851" w:right="851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b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b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eastAsia="OpenSymbol" w:cs="OpenSymbol"/>
    </w:rPr>
  </w:style>
  <w:style w:type="character" w:styleId="ListLabel2">
    <w:name w:val="ListLabel 2"/>
    <w:qFormat/>
    <w:rPr>
      <w:rFonts w:eastAsia="OpenSymbol" w:cs="OpenSymbol"/>
    </w:rPr>
  </w:style>
  <w:style w:type="character" w:styleId="ListLabel3">
    <w:name w:val="ListLabel 3"/>
    <w:qFormat/>
    <w:rPr>
      <w:rFonts w:eastAsia="OpenSymbol" w:cs="OpenSymbol"/>
    </w:rPr>
  </w:style>
  <w:style w:type="character" w:styleId="ListLabel4">
    <w:name w:val="ListLabel 4"/>
    <w:qFormat/>
    <w:rPr>
      <w:rFonts w:eastAsia="OpenSymbol" w:cs="OpenSymbol"/>
    </w:rPr>
  </w:style>
  <w:style w:type="character" w:styleId="ListLabel5">
    <w:name w:val="ListLabel 5"/>
    <w:qFormat/>
    <w:rPr>
      <w:rFonts w:eastAsia="OpenSymbol" w:cs="OpenSymbol"/>
    </w:rPr>
  </w:style>
  <w:style w:type="character" w:styleId="ListLabel6">
    <w:name w:val="ListLabel 6"/>
    <w:qFormat/>
    <w:rPr>
      <w:rFonts w:eastAsia="OpenSymbol" w:cs="OpenSymbol"/>
    </w:rPr>
  </w:style>
  <w:style w:type="character" w:styleId="ListLabel7">
    <w:name w:val="ListLabel 7"/>
    <w:qFormat/>
    <w:rPr>
      <w:rFonts w:eastAsia="OpenSymbol" w:cs="OpenSymbol"/>
    </w:rPr>
  </w:style>
  <w:style w:type="character" w:styleId="ListLabel8">
    <w:name w:val="ListLabel 8"/>
    <w:qFormat/>
    <w:rPr>
      <w:rFonts w:eastAsia="OpenSymbol" w:cs="OpenSymbol"/>
    </w:rPr>
  </w:style>
  <w:style w:type="character" w:styleId="ListLabel9">
    <w:name w:val="ListLabel 9"/>
    <w:qFormat/>
    <w:rPr>
      <w:rFonts w:eastAsia="OpenSymbol" w:cs="OpenSymbol"/>
    </w:rPr>
  </w:style>
  <w:style w:type="character" w:styleId="ListLabel10">
    <w:name w:val="ListLabel 10"/>
    <w:qFormat/>
    <w:rPr>
      <w:rFonts w:eastAsia="OpenSymbol" w:cs="OpenSymbol"/>
    </w:rPr>
  </w:style>
  <w:style w:type="character" w:styleId="ListLabel11">
    <w:name w:val="ListLabel 11"/>
    <w:qFormat/>
    <w:rPr>
      <w:rFonts w:eastAsia="OpenSymbol" w:cs="OpenSymbol"/>
    </w:rPr>
  </w:style>
  <w:style w:type="character" w:styleId="ListLabel12">
    <w:name w:val="ListLabel 12"/>
    <w:qFormat/>
    <w:rPr>
      <w:rFonts w:eastAsia="OpenSymbol" w:cs="OpenSymbol"/>
      <w:b/>
    </w:rPr>
  </w:style>
  <w:style w:type="character" w:styleId="ListLabel13">
    <w:name w:val="ListLabel 13"/>
    <w:qFormat/>
    <w:rPr>
      <w:rFonts w:eastAsia="OpenSymbol" w:cs="OpenSymbol"/>
    </w:rPr>
  </w:style>
  <w:style w:type="character" w:styleId="ListLabel14">
    <w:name w:val="ListLabel 14"/>
    <w:qFormat/>
    <w:rPr>
      <w:rFonts w:eastAsia="OpenSymbol" w:cs="OpenSymbol"/>
    </w:rPr>
  </w:style>
  <w:style w:type="character" w:styleId="ListLabel15">
    <w:name w:val="ListLabel 15"/>
    <w:qFormat/>
    <w:rPr>
      <w:rFonts w:eastAsia="OpenSymbol" w:cs="OpenSymbol"/>
    </w:rPr>
  </w:style>
  <w:style w:type="character" w:styleId="ListLabel16">
    <w:name w:val="ListLabel 16"/>
    <w:qFormat/>
    <w:rPr>
      <w:rFonts w:eastAsia="OpenSymbol" w:cs="OpenSymbol"/>
    </w:rPr>
  </w:style>
  <w:style w:type="character" w:styleId="ListLabel17">
    <w:name w:val="ListLabel 17"/>
    <w:qFormat/>
    <w:rPr>
      <w:rFonts w:eastAsia="OpenSymbol" w:cs="OpenSymbol"/>
    </w:rPr>
  </w:style>
  <w:style w:type="character" w:styleId="ListLabel18">
    <w:name w:val="ListLabel 18"/>
    <w:qFormat/>
    <w:rPr>
      <w:rFonts w:eastAsia="OpenSymbol" w:cs="OpenSymbol"/>
    </w:rPr>
  </w:style>
  <w:style w:type="character" w:styleId="ListLabel19">
    <w:name w:val="ListLabel 19"/>
    <w:qFormat/>
    <w:rPr>
      <w:rFonts w:eastAsia="OpenSymbol" w:cs="OpenSymbol"/>
    </w:rPr>
  </w:style>
  <w:style w:type="character" w:styleId="ListLabel20">
    <w:name w:val="ListLabel 20"/>
    <w:qFormat/>
    <w:rPr>
      <w:rFonts w:eastAsia="OpenSymbol" w:cs="OpenSymbol"/>
    </w:rPr>
  </w:style>
  <w:style w:type="character" w:styleId="ListLabel21">
    <w:name w:val="ListLabel 21"/>
    <w:qFormat/>
    <w:rPr>
      <w:rFonts w:eastAsia="OpenSymbol" w:cs="OpenSymbol"/>
      <w:b/>
    </w:rPr>
  </w:style>
  <w:style w:type="character" w:styleId="ListLabel22">
    <w:name w:val="ListLabel 22"/>
    <w:qFormat/>
    <w:rPr>
      <w:rFonts w:eastAsia="OpenSymbol" w:cs="OpenSymbol"/>
    </w:rPr>
  </w:style>
  <w:style w:type="character" w:styleId="ListLabel23">
    <w:name w:val="ListLabel 23"/>
    <w:qFormat/>
    <w:rPr>
      <w:rFonts w:eastAsia="OpenSymbol" w:cs="OpenSymbol"/>
    </w:rPr>
  </w:style>
  <w:style w:type="character" w:styleId="ListLabel24">
    <w:name w:val="ListLabel 24"/>
    <w:qFormat/>
    <w:rPr>
      <w:rFonts w:eastAsia="OpenSymbol" w:cs="OpenSymbol"/>
    </w:rPr>
  </w:style>
  <w:style w:type="character" w:styleId="ListLabel25">
    <w:name w:val="ListLabel 25"/>
    <w:qFormat/>
    <w:rPr>
      <w:rFonts w:eastAsia="OpenSymbol" w:cs="OpenSymbol"/>
    </w:rPr>
  </w:style>
  <w:style w:type="character" w:styleId="ListLabel26">
    <w:name w:val="ListLabel 26"/>
    <w:qFormat/>
    <w:rPr>
      <w:rFonts w:eastAsia="OpenSymbol" w:cs="OpenSymbol"/>
    </w:rPr>
  </w:style>
  <w:style w:type="character" w:styleId="ListLabel27">
    <w:name w:val="ListLabel 27"/>
    <w:qFormat/>
    <w:rPr>
      <w:rFonts w:eastAsia="OpenSymbol"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  <w:b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  <w:b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  <w:b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  <w:b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  <w:b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  <w:b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  <w:b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  <w:b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paragraph" w:styleId="Titre" w:customStyle="1">
    <w:name w:val="Titre"/>
    <w:basedOn w:val="Normal"/>
    <w:next w:val="Corpsdetexte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Liberation Sans"/>
      <w:color w:val="00000A"/>
      <w:sz w:val="28"/>
      <w:szCs w:val="28"/>
      <w:lang w:val="fr-FR" w:eastAsia="zh-CN" w:bidi="hi-IN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Standard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LibreOffice/5.3.6.1$Windows_x86 LibreOffice_project/686f202eff87ef707079aeb7f485847613344eb7</Application>
  <Pages>2</Pages>
  <Words>258</Words>
  <Characters>1302</Characters>
  <CharactersWithSpaces>1490</CharactersWithSpaces>
  <Paragraphs>63</Paragraphs>
  <Company>DPSI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2020-05-27T12:22:00Z</dcterms:created>
  <dc:creator>LAURIER Marie-Anne</dc:creator>
  <dc:description/>
  <dc:language>fr-FR</dc:language>
  <cp:lastModifiedBy/>
  <cp:lastPrinted>2019-12-17T16:35:00Z</cp:lastPrinted>
  <dcterms:modified xsi:type="dcterms:W3CDTF">2020-10-28T15:40:38Z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DPSI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