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
        <w:tabs>
          <w:tab w:val="left" w:pos="567" w:leader="none"/>
        </w:tabs>
        <w:rPr/>
      </w:pPr>
      <w:r>
        <w:rPr/>
      </w:r>
    </w:p>
    <w:p>
      <w:pPr>
        <w:pStyle w:val="PA"/>
        <w:rPr/>
      </w:pPr>
      <w:r>
        <w:rPr/>
      </w:r>
    </w:p>
    <w:p>
      <w:pPr>
        <w:pStyle w:val="PA"/>
        <w:rPr/>
      </w:pPr>
      <w:r>
        <w:rPr/>
        <w:t>Ville de Marseille - Mairie de Marseille</w:t>
      </w:r>
    </w:p>
    <w:p>
      <w:pPr>
        <w:pStyle w:val="Textbody"/>
        <w:rPr>
          <w:sz w:val="28"/>
          <w:szCs w:val="28"/>
        </w:rPr>
      </w:pPr>
      <w:r>
        <w:rPr>
          <w:sz w:val="28"/>
          <w:szCs w:val="28"/>
        </w:rPr>
      </w:r>
    </w:p>
    <w:p>
      <w:pPr>
        <w:pStyle w:val="Direction"/>
        <w:rPr/>
      </w:pPr>
      <w:r>
        <w:rPr/>
        <w:t>DGASP-DOF-RMPF (30313)</w:t>
      </w:r>
    </w:p>
    <w:p>
      <w:pPr>
        <w:pStyle w:val="Textbody"/>
        <w:rPr/>
      </w:pPr>
      <w:r>
        <w:rPr/>
      </w:r>
    </w:p>
    <w:p>
      <w:pPr>
        <w:pStyle w:val="Textbody"/>
        <w:rPr/>
      </w:pPr>
      <w:r>
        <w:rPr/>
      </w:r>
    </w:p>
    <w:p>
      <w:pPr>
        <w:pStyle w:val="Textbody"/>
        <w:rPr/>
      </w:pPr>
      <w:r>
        <w:rPr/>
      </w:r>
    </w:p>
    <w:p>
      <w:pPr>
        <w:pStyle w:val="Textbody"/>
        <w:rPr/>
      </w:pPr>
      <w:r>
        <w:rPr/>
      </w:r>
    </w:p>
    <w:p>
      <w:pPr>
        <w:pStyle w:val="PA"/>
        <w:rPr/>
      </w:pPr>
      <w:r>
        <w:rPr/>
        <w:t>Règlement de la Consultation</w:t>
      </w:r>
    </w:p>
    <w:p>
      <w:pPr>
        <w:pStyle w:val="Textbody"/>
        <w:rPr/>
      </w:pPr>
      <w:r>
        <w:rPr/>
      </w:r>
    </w:p>
    <w:p>
      <w:pPr>
        <w:pStyle w:val="Textbody"/>
        <w:rPr/>
      </w:pPr>
      <w:r>
        <w:rPr/>
      </w:r>
    </w:p>
    <w:p>
      <w:pPr>
        <w:pStyle w:val="Textbody"/>
        <w:rPr/>
      </w:pPr>
      <w:r>
        <w:rPr/>
      </w:r>
    </w:p>
    <w:p>
      <w:pPr>
        <w:pStyle w:val="Textbody"/>
        <w:rPr/>
      </w:pPr>
      <w:r>
        <w:rPr/>
      </w:r>
    </w:p>
    <w:p>
      <w:pPr>
        <w:pStyle w:val="Intitule2"/>
        <w:rPr/>
      </w:pPr>
      <w:r>
        <w:rPr/>
      </w:r>
    </w:p>
    <w:p>
      <w:pPr>
        <w:pStyle w:val="Intitule2"/>
        <w:jc w:val="center"/>
        <w:rPr/>
      </w:pPr>
      <w:r>
        <w:rPr/>
        <w:t>FOURNITURE D’EMBALLAGES A USAGE UNIQUE ET PRESTATIONS DE COLLECTE, TRANSPORT ET ELIMINATION DES DECHETS DE SOINS A RISQUES INFECTIEUX (DASRI) DU FUNERARIUM MUNICIPAL DE LA VILLE DE MARSEILLE</w:t>
      </w:r>
    </w:p>
    <w:p>
      <w:pPr>
        <w:pStyle w:val="Intitule2"/>
        <w:rPr/>
      </w:pPr>
      <w:r>
        <w:rPr/>
      </w:r>
    </w:p>
    <w:p>
      <w:pPr>
        <w:pStyle w:val="Textbody"/>
        <w:rPr/>
      </w:pPr>
      <w:r>
        <w:rPr/>
      </w:r>
    </w:p>
    <w:p>
      <w:pPr>
        <w:pStyle w:val="Textbody"/>
        <w:rPr/>
      </w:pPr>
      <w:r>
        <w:rPr/>
      </w:r>
    </w:p>
    <w:p>
      <w:pPr>
        <w:pStyle w:val="Textbody"/>
        <w:rPr/>
      </w:pPr>
      <w:r>
        <w:rPr/>
      </w:r>
    </w:p>
    <w:p>
      <w:pPr>
        <w:pStyle w:val="NumeroConsultation"/>
        <w:tabs>
          <w:tab w:val="left" w:pos="3600" w:leader="none"/>
          <w:tab w:val="left" w:pos="4253" w:leader="none"/>
        </w:tabs>
        <w:ind w:left="3600" w:hanging="3092"/>
        <w:jc w:val="left"/>
        <w:rPr/>
      </w:pPr>
      <w:r>
        <w:rPr>
          <w:bCs/>
          <w:u w:val="single"/>
        </w:rPr>
        <w:t>Numéro de la consultation</w:t>
      </w:r>
      <w:r>
        <w:rPr>
          <w:bCs/>
        </w:rPr>
        <w:tab/>
        <w:tab/>
        <w:t>2020_40302_0004</w:t>
      </w:r>
    </w:p>
    <w:p>
      <w:pPr>
        <w:pStyle w:val="Standard"/>
        <w:tabs>
          <w:tab w:val="left" w:pos="4253" w:leader="none"/>
        </w:tabs>
        <w:rPr>
          <w:color w:val="000000"/>
          <w:sz w:val="20"/>
          <w:szCs w:val="20"/>
          <w:shd w:fill="FFFFFF" w:val="clear"/>
        </w:rPr>
      </w:pPr>
      <w:r>
        <w:rPr>
          <w:color w:val="000000"/>
          <w:sz w:val="20"/>
          <w:szCs w:val="20"/>
          <w:shd w:fill="FFFFFF" w:val="clear"/>
        </w:rPr>
      </w:r>
    </w:p>
    <w:p>
      <w:pPr>
        <w:pStyle w:val="Standard"/>
        <w:tabs>
          <w:tab w:val="left" w:pos="4253" w:leader="none"/>
        </w:tabs>
        <w:rPr>
          <w:color w:val="000000"/>
          <w:sz w:val="20"/>
          <w:szCs w:val="20"/>
        </w:rPr>
      </w:pPr>
      <w:r>
        <w:rPr>
          <w:color w:val="000000"/>
          <w:sz w:val="20"/>
          <w:szCs w:val="20"/>
        </w:rPr>
      </w:r>
    </w:p>
    <w:p>
      <w:pPr>
        <w:pStyle w:val="Procedure"/>
        <w:tabs>
          <w:tab w:val="left" w:pos="3600" w:leader="none"/>
          <w:tab w:val="left" w:pos="4253" w:leader="none"/>
        </w:tabs>
        <w:ind w:left="4292" w:hanging="3762"/>
        <w:jc w:val="left"/>
        <w:rPr/>
      </w:pPr>
      <w:r>
        <w:rPr>
          <w:bCs/>
          <w:u w:val="single"/>
        </w:rPr>
        <w:t>Procédure de passation</w:t>
      </w:r>
      <w:r>
        <w:rPr>
          <w:bCs/>
        </w:rPr>
        <w:tab/>
        <w:tab/>
      </w:r>
      <w:r>
        <w:rPr>
          <w:bCs/>
          <w:shd w:fill="FFFFFF" w:val="clear"/>
        </w:rPr>
        <w:t>Procédure adaptée</w:t>
      </w:r>
    </w:p>
    <w:p>
      <w:pPr>
        <w:pStyle w:val="Standard"/>
        <w:tabs>
          <w:tab w:val="left" w:pos="4253" w:leader="none"/>
          <w:tab w:val="left" w:pos="7200" w:leader="none"/>
        </w:tabs>
        <w:ind w:left="3600" w:hanging="3600"/>
        <w:rPr>
          <w:b/>
          <w:b/>
          <w:bCs/>
          <w:color w:val="000000"/>
          <w:sz w:val="20"/>
          <w:szCs w:val="20"/>
          <w:shd w:fill="FFFFFF" w:val="clear"/>
        </w:rPr>
      </w:pPr>
      <w:r>
        <w:rPr>
          <w:b/>
          <w:bCs/>
          <w:color w:val="000000"/>
          <w:sz w:val="20"/>
          <w:szCs w:val="20"/>
          <w:shd w:fill="FFFFFF" w:val="clear"/>
        </w:rPr>
      </w:r>
    </w:p>
    <w:p>
      <w:pPr>
        <w:pStyle w:val="Standard"/>
        <w:tabs>
          <w:tab w:val="left" w:pos="4253" w:leader="none"/>
          <w:tab w:val="left" w:pos="7200" w:leader="none"/>
        </w:tabs>
        <w:ind w:left="3600" w:hanging="3600"/>
        <w:rPr>
          <w:b/>
          <w:b/>
          <w:bCs/>
          <w:color w:val="000000"/>
          <w:sz w:val="20"/>
          <w:szCs w:val="20"/>
          <w:shd w:fill="FFFFFF" w:val="clear"/>
        </w:rPr>
      </w:pPr>
      <w:r>
        <w:rPr>
          <w:b/>
          <w:bCs/>
          <w:color w:val="000000"/>
          <w:sz w:val="20"/>
          <w:szCs w:val="20"/>
          <w:shd w:fill="FFFFFF" w:val="clear"/>
        </w:rPr>
      </w:r>
    </w:p>
    <w:p>
      <w:pPr>
        <w:pStyle w:val="DateLimite"/>
        <w:tabs>
          <w:tab w:val="left" w:pos="3600" w:leader="none"/>
          <w:tab w:val="left" w:pos="4253" w:leader="none"/>
        </w:tabs>
        <w:ind w:left="4269" w:hanging="3762"/>
        <w:jc w:val="left"/>
        <w:rPr/>
      </w:pPr>
      <w:r>
        <w:rPr/>
      </w:r>
    </w:p>
    <w:p>
      <w:pPr>
        <w:pStyle w:val="DateLimite"/>
        <w:tabs>
          <w:tab w:val="left" w:pos="3600" w:leader="none"/>
          <w:tab w:val="left" w:pos="4253" w:leader="none"/>
        </w:tabs>
        <w:ind w:left="4269" w:hanging="3762"/>
        <w:jc w:val="left"/>
        <w:rPr>
          <w:sz w:val="20"/>
        </w:rPr>
      </w:pPr>
      <w:r>
        <w:rPr>
          <w:sz w:val="20"/>
        </w:rPr>
      </w:r>
    </w:p>
    <w:p>
      <w:pPr>
        <w:pStyle w:val="DateLimite"/>
        <w:ind w:left="4269" w:hanging="3762"/>
        <w:jc w:val="left"/>
        <w:rPr>
          <w:sz w:val="20"/>
        </w:rPr>
      </w:pPr>
      <w:r>
        <w:rPr>
          <w:sz w:val="20"/>
        </w:rPr>
      </w:r>
    </w:p>
    <w:p>
      <w:pPr>
        <w:pStyle w:val="Standard"/>
        <w:rPr>
          <w:sz w:val="20"/>
          <w:szCs w:val="20"/>
        </w:rPr>
      </w:pPr>
      <w:r>
        <w:rPr>
          <w:sz w:val="20"/>
          <w:szCs w:val="20"/>
        </w:rPr>
      </w:r>
    </w:p>
    <w:p>
      <w:pPr>
        <w:pStyle w:val="Standard"/>
        <w:tabs>
          <w:tab w:val="left" w:pos="7200" w:leader="none"/>
        </w:tabs>
        <w:ind w:left="3600" w:hanging="3600"/>
        <w:rPr>
          <w:b/>
          <w:b/>
          <w:bCs/>
          <w:color w:val="000000"/>
          <w:sz w:val="20"/>
          <w:szCs w:val="20"/>
          <w:shd w:fill="FFFFFF" w:val="clear"/>
        </w:rPr>
      </w:pPr>
      <w:r>
        <w:rPr>
          <w:b/>
          <w:bCs/>
          <w:color w:val="000000"/>
          <w:sz w:val="20"/>
          <w:szCs w:val="20"/>
          <w:shd w:fill="FFFFFF" w:val="clear"/>
        </w:rPr>
      </w:r>
    </w:p>
    <w:p>
      <w:pPr>
        <w:sectPr>
          <w:footerReference w:type="default" r:id="rId2"/>
          <w:type w:val="nextPage"/>
          <w:pgSz w:w="11906" w:h="16838"/>
          <w:pgMar w:left="1803" w:right="1803" w:header="0" w:top="1418" w:footer="714" w:bottom="1236" w:gutter="0"/>
          <w:pgNumType w:fmt="decimal"/>
          <w:formProt w:val="false"/>
          <w:titlePg/>
          <w:textDirection w:val="lrTb"/>
          <w:docGrid w:type="default" w:linePitch="286" w:charSpace="0"/>
        </w:sectPr>
      </w:pPr>
    </w:p>
    <w:p>
      <w:pPr>
        <w:pStyle w:val="Standard"/>
        <w:rPr/>
      </w:pPr>
      <w:r>
        <w:rPr/>
      </w:r>
      <w:r>
        <w:br w:type="page"/>
      </w:r>
    </w:p>
    <w:p>
      <w:pPr>
        <w:pStyle w:val="Standard"/>
        <w:rPr/>
      </w:pPr>
      <w:r>
        <w:rPr/>
      </w:r>
    </w:p>
    <w:p>
      <w:pPr>
        <w:pStyle w:val="TitreTR1"/>
        <w:rPr/>
      </w:pPr>
      <w:r>
        <w:rPr/>
        <w:t>SOMMAIRE</w:t>
      </w:r>
    </w:p>
    <w:p>
      <w:pPr>
        <w:pStyle w:val="TitreTR1"/>
        <w:rPr/>
      </w:pPr>
      <w:r>
        <w:rPr/>
      </w:r>
    </w:p>
    <w:p>
      <w:pPr>
        <w:pStyle w:val="Contents1"/>
        <w:rPr/>
      </w:pPr>
      <w:r>
        <w:rPr/>
        <w:t>Article 1 - GENERALITES</w:t>
        <w:tab/>
        <w:t>4</w:t>
      </w:r>
    </w:p>
    <w:p>
      <w:pPr>
        <w:pStyle w:val="Contents2"/>
        <w:tabs>
          <w:tab w:val="left" w:pos="1415" w:leader="none"/>
          <w:tab w:val="right" w:pos="8290" w:leader="dot"/>
        </w:tabs>
        <w:rPr/>
      </w:pPr>
      <w:r>
        <w:rPr/>
        <w:t>1.1</w:t>
      </w:r>
      <w:r>
        <w:rPr>
          <w:rFonts w:eastAsia="F" w:cs="F" w:ascii="Calibri" w:hAnsi="Calibri"/>
          <w:sz w:val="22"/>
          <w:szCs w:val="22"/>
        </w:rPr>
        <w:tab/>
      </w:r>
      <w:r>
        <w:rPr/>
        <w:t>Objet et description de la consultation</w:t>
        <w:tab/>
        <w:t>4</w:t>
      </w:r>
    </w:p>
    <w:p>
      <w:pPr>
        <w:pStyle w:val="Contents2"/>
        <w:tabs>
          <w:tab w:val="left" w:pos="1415" w:leader="none"/>
          <w:tab w:val="right" w:pos="8290" w:leader="dot"/>
        </w:tabs>
        <w:rPr/>
      </w:pPr>
      <w:r>
        <w:rPr/>
        <w:t>1.2</w:t>
      </w:r>
      <w:r>
        <w:rPr>
          <w:rFonts w:eastAsia="F" w:cs="F" w:ascii="Calibri" w:hAnsi="Calibri"/>
          <w:sz w:val="22"/>
          <w:szCs w:val="22"/>
        </w:rPr>
        <w:tab/>
      </w:r>
      <w:r>
        <w:rPr/>
        <w:t>Nature</w:t>
        <w:tab/>
        <w:t>4</w:t>
      </w:r>
    </w:p>
    <w:p>
      <w:pPr>
        <w:pStyle w:val="Contents2"/>
        <w:tabs>
          <w:tab w:val="left" w:pos="1415" w:leader="none"/>
          <w:tab w:val="right" w:pos="8290" w:leader="dot"/>
        </w:tabs>
        <w:rPr/>
      </w:pPr>
      <w:r>
        <w:rPr/>
        <w:t>1.3</w:t>
      </w:r>
      <w:r>
        <w:rPr>
          <w:rFonts w:eastAsia="F" w:cs="F" w:ascii="Calibri" w:hAnsi="Calibri"/>
          <w:sz w:val="22"/>
          <w:szCs w:val="22"/>
        </w:rPr>
        <w:tab/>
      </w:r>
      <w:r>
        <w:rPr/>
        <w:t>Pouvoir adjudicateur</w:t>
        <w:tab/>
        <w:t>4</w:t>
      </w:r>
    </w:p>
    <w:p>
      <w:pPr>
        <w:pStyle w:val="Contents2"/>
        <w:tabs>
          <w:tab w:val="left" w:pos="1415" w:leader="none"/>
          <w:tab w:val="right" w:pos="8290" w:leader="dot"/>
        </w:tabs>
        <w:rPr/>
      </w:pPr>
      <w:r>
        <w:rPr/>
        <w:t>1.4</w:t>
      </w:r>
      <w:r>
        <w:rPr>
          <w:rFonts w:eastAsia="F" w:cs="F" w:ascii="Calibri" w:hAnsi="Calibri"/>
          <w:sz w:val="22"/>
          <w:szCs w:val="22"/>
        </w:rPr>
        <w:tab/>
      </w:r>
      <w:r>
        <w:rPr/>
        <w:t>Procédure</w:t>
        <w:tab/>
        <w:t>4</w:t>
      </w:r>
    </w:p>
    <w:p>
      <w:pPr>
        <w:pStyle w:val="Contents2"/>
        <w:tabs>
          <w:tab w:val="left" w:pos="1415" w:leader="none"/>
          <w:tab w:val="right" w:pos="8290" w:leader="dot"/>
        </w:tabs>
        <w:rPr/>
      </w:pPr>
      <w:r>
        <w:rPr/>
        <w:t>1.5</w:t>
      </w:r>
      <w:r>
        <w:rPr>
          <w:rFonts w:eastAsia="F" w:cs="F" w:ascii="Calibri" w:hAnsi="Calibri"/>
          <w:sz w:val="22"/>
          <w:szCs w:val="22"/>
        </w:rPr>
        <w:tab/>
      </w:r>
      <w:r>
        <w:rPr/>
        <w:t>Forme du marché</w:t>
        <w:tab/>
        <w:t>4</w:t>
      </w:r>
    </w:p>
    <w:p>
      <w:pPr>
        <w:pStyle w:val="Contents2"/>
        <w:tabs>
          <w:tab w:val="left" w:pos="1415" w:leader="none"/>
          <w:tab w:val="right" w:pos="8290" w:leader="dot"/>
        </w:tabs>
        <w:rPr/>
      </w:pPr>
      <w:r>
        <w:rPr/>
        <w:t>1.6</w:t>
      </w:r>
      <w:r>
        <w:rPr>
          <w:rFonts w:eastAsia="F" w:cs="F" w:ascii="Calibri" w:hAnsi="Calibri"/>
          <w:sz w:val="22"/>
          <w:szCs w:val="22"/>
        </w:rPr>
        <w:tab/>
      </w:r>
      <w:r>
        <w:rPr/>
        <w:t>Nomenclature communautaire pertinente</w:t>
        <w:tab/>
        <w:t>4</w:t>
      </w:r>
    </w:p>
    <w:p>
      <w:pPr>
        <w:pStyle w:val="Contents1"/>
        <w:rPr/>
      </w:pPr>
      <w:r>
        <w:rPr/>
        <w:t>Article 2 - CARACTERISTIQUES DE LA CONSULTATION</w:t>
        <w:tab/>
        <w:t>5</w:t>
      </w:r>
    </w:p>
    <w:p>
      <w:pPr>
        <w:pStyle w:val="Contents2"/>
        <w:tabs>
          <w:tab w:val="left" w:pos="1415" w:leader="none"/>
          <w:tab w:val="right" w:pos="8290" w:leader="dot"/>
        </w:tabs>
        <w:rPr/>
      </w:pPr>
      <w:r>
        <w:rPr/>
        <w:t>2.1</w:t>
      </w:r>
      <w:r>
        <w:rPr>
          <w:rFonts w:eastAsia="F" w:cs="F" w:ascii="Calibri" w:hAnsi="Calibri"/>
          <w:sz w:val="22"/>
          <w:szCs w:val="22"/>
        </w:rPr>
        <w:tab/>
      </w:r>
      <w:r>
        <w:rPr/>
        <w:t>Décomposition en lots et tranches</w:t>
        <w:tab/>
        <w:t>5</w:t>
      </w:r>
    </w:p>
    <w:p>
      <w:pPr>
        <w:pStyle w:val="Contents3"/>
        <w:tabs>
          <w:tab w:val="left" w:pos="1585" w:leader="none"/>
          <w:tab w:val="right" w:pos="9241" w:leader="dot"/>
        </w:tabs>
        <w:rPr/>
      </w:pPr>
      <w:r>
        <w:rPr/>
        <w:t>2.1.1</w:t>
      </w:r>
      <w:r>
        <w:rPr>
          <w:rFonts w:eastAsia="F" w:cs="F" w:ascii="Calibri" w:hAnsi="Calibri"/>
          <w:sz w:val="22"/>
          <w:szCs w:val="22"/>
        </w:rPr>
        <w:tab/>
      </w:r>
      <w:r>
        <w:rPr/>
        <w:t>Décomposition en lots</w:t>
        <w:tab/>
        <w:t>5</w:t>
      </w:r>
    </w:p>
    <w:p>
      <w:pPr>
        <w:pStyle w:val="Contents3"/>
        <w:tabs>
          <w:tab w:val="left" w:pos="1585" w:leader="none"/>
          <w:tab w:val="right" w:pos="9241" w:leader="dot"/>
        </w:tabs>
        <w:rPr/>
      </w:pPr>
      <w:r>
        <w:rPr/>
        <w:t>2.1.2</w:t>
      </w:r>
      <w:r>
        <w:rPr>
          <w:rFonts w:eastAsia="F" w:cs="F" w:ascii="Calibri" w:hAnsi="Calibri"/>
          <w:sz w:val="22"/>
          <w:szCs w:val="22"/>
        </w:rPr>
        <w:tab/>
      </w:r>
      <w:r>
        <w:rPr/>
        <w:t>Décomposition en tranches</w:t>
        <w:tab/>
        <w:t>5</w:t>
      </w:r>
    </w:p>
    <w:p>
      <w:pPr>
        <w:pStyle w:val="Contents3"/>
        <w:tabs>
          <w:tab w:val="left" w:pos="1585" w:leader="none"/>
          <w:tab w:val="right" w:pos="9241" w:leader="dot"/>
        </w:tabs>
        <w:rPr/>
      </w:pPr>
      <w:r>
        <w:rPr/>
        <w:t>2.1.3</w:t>
      </w:r>
      <w:r>
        <w:rPr>
          <w:rFonts w:eastAsia="F" w:cs="F" w:ascii="Calibri" w:hAnsi="Calibri"/>
          <w:sz w:val="22"/>
          <w:szCs w:val="22"/>
        </w:rPr>
        <w:tab/>
      </w:r>
      <w:r>
        <w:rPr/>
        <w:t>Décomposition en postes techniques</w:t>
        <w:tab/>
        <w:t>5</w:t>
      </w:r>
    </w:p>
    <w:p>
      <w:pPr>
        <w:pStyle w:val="Contents2"/>
        <w:tabs>
          <w:tab w:val="left" w:pos="1415" w:leader="none"/>
          <w:tab w:val="right" w:pos="8290" w:leader="dot"/>
        </w:tabs>
        <w:rPr/>
      </w:pPr>
      <w:r>
        <w:rPr/>
        <w:t xml:space="preserve">2.2 </w:t>
      </w:r>
      <w:r>
        <w:rPr>
          <w:rFonts w:eastAsia="F" w:cs="F" w:ascii="Calibri" w:hAnsi="Calibri"/>
          <w:sz w:val="22"/>
          <w:szCs w:val="22"/>
        </w:rPr>
        <w:tab/>
      </w:r>
      <w:r>
        <w:rPr/>
        <w:t>Montant de l’accord-cadre</w:t>
        <w:tab/>
        <w:t>5</w:t>
      </w:r>
    </w:p>
    <w:p>
      <w:pPr>
        <w:pStyle w:val="Contents2"/>
        <w:tabs>
          <w:tab w:val="left" w:pos="1415" w:leader="none"/>
          <w:tab w:val="right" w:pos="8290" w:leader="dot"/>
        </w:tabs>
        <w:rPr/>
      </w:pPr>
      <w:r>
        <w:rPr/>
        <w:t>2.3</w:t>
      </w:r>
      <w:r>
        <w:rPr>
          <w:rFonts w:eastAsia="F" w:cs="F" w:ascii="Calibri" w:hAnsi="Calibri"/>
          <w:sz w:val="22"/>
          <w:szCs w:val="22"/>
        </w:rPr>
        <w:tab/>
      </w:r>
      <w:r>
        <w:rPr/>
        <w:t>Durée de l’accord-cadre et autres délais</w:t>
        <w:tab/>
        <w:t>5</w:t>
      </w:r>
    </w:p>
    <w:p>
      <w:pPr>
        <w:pStyle w:val="Contents2"/>
        <w:tabs>
          <w:tab w:val="left" w:pos="1415" w:leader="none"/>
          <w:tab w:val="right" w:pos="8290" w:leader="dot"/>
        </w:tabs>
        <w:rPr/>
      </w:pPr>
      <w:r>
        <w:rPr/>
        <w:t>2.4</w:t>
      </w:r>
      <w:r>
        <w:rPr>
          <w:rFonts w:eastAsia="F" w:cs="F" w:ascii="Calibri" w:hAnsi="Calibri"/>
          <w:sz w:val="22"/>
          <w:szCs w:val="22"/>
        </w:rPr>
        <w:tab/>
      </w:r>
      <w:r>
        <w:rPr/>
        <w:t>Options (Prestations supplémentaires PSE)</w:t>
        <w:tab/>
        <w:t>6</w:t>
      </w:r>
    </w:p>
    <w:p>
      <w:pPr>
        <w:pStyle w:val="Contents2"/>
        <w:tabs>
          <w:tab w:val="left" w:pos="1415" w:leader="none"/>
          <w:tab w:val="right" w:pos="8290" w:leader="dot"/>
        </w:tabs>
        <w:rPr/>
      </w:pPr>
      <w:r>
        <w:rPr/>
        <w:t>2.5</w:t>
      </w:r>
      <w:r>
        <w:rPr>
          <w:rFonts w:eastAsia="F" w:cs="F" w:ascii="Calibri" w:hAnsi="Calibri"/>
          <w:sz w:val="22"/>
          <w:szCs w:val="22"/>
        </w:rPr>
        <w:tab/>
      </w:r>
      <w:r>
        <w:rPr/>
        <w:t>Variantes</w:t>
        <w:tab/>
        <w:t>6</w:t>
      </w:r>
    </w:p>
    <w:p>
      <w:pPr>
        <w:pStyle w:val="Contents2"/>
        <w:tabs>
          <w:tab w:val="left" w:pos="1415" w:leader="none"/>
          <w:tab w:val="right" w:pos="8290" w:leader="dot"/>
        </w:tabs>
        <w:rPr/>
      </w:pPr>
      <w:r>
        <w:rPr/>
        <w:t>2.6</w:t>
      </w:r>
      <w:r>
        <w:rPr>
          <w:rFonts w:eastAsia="F" w:cs="F" w:ascii="Calibri" w:hAnsi="Calibri"/>
          <w:sz w:val="22"/>
          <w:szCs w:val="22"/>
        </w:rPr>
        <w:tab/>
      </w:r>
      <w:r>
        <w:rPr/>
        <w:t>Clause obligatoire d’insertion par l’activité économique</w:t>
        <w:tab/>
        <w:t>6</w:t>
      </w:r>
    </w:p>
    <w:p>
      <w:pPr>
        <w:pStyle w:val="Contents2"/>
        <w:tabs>
          <w:tab w:val="left" w:pos="1415" w:leader="none"/>
          <w:tab w:val="right" w:pos="8290" w:leader="dot"/>
        </w:tabs>
        <w:rPr/>
      </w:pPr>
      <w:r>
        <w:rPr/>
        <w:t>2.7</w:t>
      </w:r>
      <w:r>
        <w:rPr>
          <w:rFonts w:eastAsia="F" w:cs="F" w:ascii="Calibri" w:hAnsi="Calibri"/>
          <w:sz w:val="22"/>
          <w:szCs w:val="22"/>
        </w:rPr>
        <w:tab/>
      </w:r>
      <w:r>
        <w:rPr/>
        <w:t>Groupements d’opérateurs économiques</w:t>
        <w:tab/>
        <w:t>6</w:t>
      </w:r>
    </w:p>
    <w:p>
      <w:pPr>
        <w:pStyle w:val="Contents2"/>
        <w:tabs>
          <w:tab w:val="left" w:pos="1415" w:leader="none"/>
          <w:tab w:val="right" w:pos="8290" w:leader="dot"/>
        </w:tabs>
        <w:rPr/>
      </w:pPr>
      <w:r>
        <w:rPr/>
        <w:t>2.8</w:t>
      </w:r>
      <w:r>
        <w:rPr>
          <w:rFonts w:eastAsia="F" w:cs="F" w:ascii="Calibri" w:hAnsi="Calibri"/>
          <w:sz w:val="22"/>
          <w:szCs w:val="22"/>
        </w:rPr>
        <w:tab/>
      </w:r>
      <w:r>
        <w:rPr/>
        <w:t>Conditions relatives à l’accord-cadre</w:t>
        <w:tab/>
        <w:t>6</w:t>
      </w:r>
    </w:p>
    <w:p>
      <w:pPr>
        <w:pStyle w:val="Contents3"/>
        <w:tabs>
          <w:tab w:val="left" w:pos="1585" w:leader="none"/>
          <w:tab w:val="right" w:pos="9241" w:leader="dot"/>
        </w:tabs>
        <w:rPr/>
      </w:pPr>
      <w:r>
        <w:rPr/>
        <w:t>2.8.1</w:t>
      </w:r>
      <w:r>
        <w:rPr>
          <w:rFonts w:eastAsia="F" w:cs="F" w:ascii="Calibri" w:hAnsi="Calibri"/>
          <w:sz w:val="22"/>
          <w:szCs w:val="22"/>
        </w:rPr>
        <w:tab/>
      </w:r>
      <w:r>
        <w:rPr/>
        <w:t>Cautionnement et garanties exigées</w:t>
        <w:tab/>
        <w:t>6</w:t>
      </w:r>
    </w:p>
    <w:p>
      <w:pPr>
        <w:pStyle w:val="Contents3"/>
        <w:tabs>
          <w:tab w:val="left" w:pos="1585" w:leader="none"/>
          <w:tab w:val="right" w:pos="9241" w:leader="dot"/>
        </w:tabs>
        <w:rPr/>
      </w:pPr>
      <w:r>
        <w:rPr/>
        <w:t>2.8.2</w:t>
      </w:r>
      <w:r>
        <w:rPr>
          <w:rFonts w:eastAsia="F" w:cs="F" w:ascii="Calibri" w:hAnsi="Calibri"/>
          <w:sz w:val="22"/>
          <w:szCs w:val="22"/>
        </w:rPr>
        <w:tab/>
      </w:r>
      <w:r>
        <w:rPr/>
        <w:t>Avance</w:t>
        <w:tab/>
        <w:t>6</w:t>
      </w:r>
    </w:p>
    <w:p>
      <w:pPr>
        <w:pStyle w:val="Contents3"/>
        <w:tabs>
          <w:tab w:val="left" w:pos="1585" w:leader="none"/>
          <w:tab w:val="right" w:pos="9241" w:leader="dot"/>
        </w:tabs>
        <w:rPr/>
      </w:pPr>
      <w:r>
        <w:rPr/>
        <w:t>2.8.3</w:t>
      </w:r>
      <w:r>
        <w:rPr>
          <w:rFonts w:eastAsia="F" w:cs="F" w:ascii="Calibri" w:hAnsi="Calibri"/>
          <w:sz w:val="22"/>
          <w:szCs w:val="22"/>
        </w:rPr>
        <w:tab/>
      </w:r>
      <w:r>
        <w:rPr/>
        <w:t>Modalités essentielles de financement et de paiement</w:t>
        <w:tab/>
        <w:t>7</w:t>
      </w:r>
    </w:p>
    <w:p>
      <w:pPr>
        <w:pStyle w:val="Contents1"/>
        <w:rPr/>
      </w:pPr>
      <w:r>
        <w:rPr/>
        <w:t>Article 3 - DOSSIER DE CONSULTATION DES ENTREPRISES (DCE)</w:t>
        <w:tab/>
        <w:t>7</w:t>
      </w:r>
    </w:p>
    <w:p>
      <w:pPr>
        <w:pStyle w:val="Contents1"/>
        <w:rPr/>
      </w:pPr>
      <w:r>
        <w:rPr/>
        <w:t>Article 4 - PRESENTATION DES CANDIDATURES ET DES OFFRE</w:t>
        <w:tab/>
        <w:t>8</w:t>
      </w:r>
    </w:p>
    <w:p>
      <w:pPr>
        <w:pStyle w:val="Contents2"/>
        <w:tabs>
          <w:tab w:val="left" w:pos="1415" w:leader="none"/>
          <w:tab w:val="right" w:pos="8290" w:leader="dot"/>
        </w:tabs>
        <w:rPr/>
      </w:pPr>
      <w:r>
        <w:rPr/>
        <w:t>4.1</w:t>
      </w:r>
      <w:r>
        <w:rPr>
          <w:rFonts w:eastAsia="F" w:cs="F" w:ascii="Calibri" w:hAnsi="Calibri"/>
          <w:sz w:val="22"/>
          <w:szCs w:val="22"/>
        </w:rPr>
        <w:tab/>
      </w:r>
      <w:r>
        <w:rPr/>
        <w:t>Pièces de la candidature</w:t>
        <w:tab/>
        <w:t>8</w:t>
      </w:r>
    </w:p>
    <w:p>
      <w:pPr>
        <w:pStyle w:val="Contents2"/>
        <w:tabs>
          <w:tab w:val="left" w:pos="1415" w:leader="none"/>
          <w:tab w:val="right" w:pos="8290" w:leader="dot"/>
        </w:tabs>
        <w:rPr/>
      </w:pPr>
      <w:r>
        <w:rPr/>
        <w:t>4.2</w:t>
      </w:r>
      <w:r>
        <w:rPr>
          <w:rFonts w:eastAsia="F" w:cs="F" w:ascii="Calibri" w:hAnsi="Calibri"/>
          <w:sz w:val="22"/>
          <w:szCs w:val="22"/>
        </w:rPr>
        <w:tab/>
      </w:r>
      <w:r>
        <w:rPr/>
        <w:t>Pièces de l'offre</w:t>
        <w:tab/>
        <w:t>9</w:t>
      </w:r>
    </w:p>
    <w:p>
      <w:pPr>
        <w:pStyle w:val="Contents3"/>
        <w:tabs>
          <w:tab w:val="left" w:pos="1585" w:leader="none"/>
          <w:tab w:val="right" w:pos="9241" w:leader="dot"/>
        </w:tabs>
        <w:rPr/>
      </w:pPr>
      <w:r>
        <w:rPr/>
        <w:t>4.2.1</w:t>
      </w:r>
      <w:r>
        <w:rPr>
          <w:rFonts w:eastAsia="F" w:cs="F" w:ascii="Calibri" w:hAnsi="Calibri"/>
          <w:sz w:val="22"/>
          <w:szCs w:val="22"/>
        </w:rPr>
        <w:tab/>
      </w:r>
      <w:r>
        <w:rPr/>
        <w:t>Présentation de l’offre</w:t>
        <w:tab/>
        <w:t>9</w:t>
      </w:r>
    </w:p>
    <w:p>
      <w:pPr>
        <w:pStyle w:val="Contents2"/>
        <w:tabs>
          <w:tab w:val="left" w:pos="1415" w:leader="none"/>
          <w:tab w:val="right" w:pos="8290" w:leader="dot"/>
        </w:tabs>
        <w:rPr/>
      </w:pPr>
      <w:r>
        <w:rPr/>
        <w:t>4.3</w:t>
      </w:r>
      <w:r>
        <w:rPr>
          <w:rFonts w:eastAsia="F" w:cs="F" w:ascii="Calibri" w:hAnsi="Calibri"/>
          <w:sz w:val="22"/>
          <w:szCs w:val="22"/>
        </w:rPr>
        <w:tab/>
      </w:r>
      <w:r>
        <w:rPr/>
        <w:t>Visite sur site</w:t>
        <w:tab/>
        <w:t>10</w:t>
      </w:r>
    </w:p>
    <w:p>
      <w:pPr>
        <w:pStyle w:val="Contents2"/>
        <w:tabs>
          <w:tab w:val="left" w:pos="1415" w:leader="none"/>
          <w:tab w:val="right" w:pos="8290" w:leader="dot"/>
        </w:tabs>
        <w:rPr/>
      </w:pPr>
      <w:r>
        <w:rPr/>
        <w:t>4.4</w:t>
      </w:r>
      <w:r>
        <w:rPr>
          <w:rFonts w:eastAsia="F" w:cs="F" w:ascii="Calibri" w:hAnsi="Calibri"/>
          <w:sz w:val="22"/>
          <w:szCs w:val="22"/>
        </w:rPr>
        <w:tab/>
      </w:r>
      <w:r>
        <w:rPr/>
        <w:t>Sous-traitance</w:t>
        <w:tab/>
        <w:t>10</w:t>
      </w:r>
    </w:p>
    <w:p>
      <w:pPr>
        <w:pStyle w:val="Contents1"/>
        <w:rPr/>
      </w:pPr>
      <w:r>
        <w:rPr/>
        <w:t>ARTICLE 5 - REMISE DES PLIS PAR LES CANDIDATS</w:t>
        <w:tab/>
        <w:t>10</w:t>
      </w:r>
    </w:p>
    <w:p>
      <w:pPr>
        <w:pStyle w:val="Contents2"/>
        <w:tabs>
          <w:tab w:val="right" w:pos="8290" w:leader="dot"/>
        </w:tabs>
        <w:rPr/>
      </w:pPr>
      <w:r>
        <w:rPr/>
        <w:t>5.1 Remise électronique</w:t>
        <w:tab/>
        <w:t>10</w:t>
      </w:r>
    </w:p>
    <w:p>
      <w:pPr>
        <w:pStyle w:val="Contents2"/>
        <w:tabs>
          <w:tab w:val="right" w:pos="8290" w:leader="dot"/>
        </w:tabs>
        <w:rPr/>
      </w:pPr>
      <w:r>
        <w:rPr/>
        <w:t>5.2 - Copie de sauvegarde</w:t>
        <w:tab/>
        <w:t>10</w:t>
      </w:r>
    </w:p>
    <w:p>
      <w:pPr>
        <w:pStyle w:val="Contents2"/>
        <w:tabs>
          <w:tab w:val="right" w:pos="8290" w:leader="dot"/>
        </w:tabs>
        <w:rPr/>
      </w:pPr>
      <w:r>
        <w:rPr/>
        <w:t>5.3 – Echantillons, maquettes, prototypes ou modèles réduits</w:t>
        <w:tab/>
        <w:t>11</w:t>
      </w:r>
    </w:p>
    <w:p>
      <w:pPr>
        <w:pStyle w:val="Contents2"/>
        <w:tabs>
          <w:tab w:val="right" w:pos="8290" w:leader="dot"/>
        </w:tabs>
        <w:rPr/>
      </w:pPr>
      <w:r>
        <w:rPr/>
        <w:t>5.4 – Date et heure limites de remise des plis</w:t>
        <w:tab/>
        <w:t>11</w:t>
      </w:r>
    </w:p>
    <w:p>
      <w:pPr>
        <w:pStyle w:val="Contents2"/>
        <w:tabs>
          <w:tab w:val="right" w:pos="8290" w:leader="dot"/>
        </w:tabs>
        <w:rPr/>
      </w:pPr>
      <w:r>
        <w:rPr/>
        <w:t>5.5 – Délai de validité des offres</w:t>
        <w:tab/>
        <w:t>11</w:t>
      </w:r>
    </w:p>
    <w:p>
      <w:pPr>
        <w:pStyle w:val="Contents1"/>
        <w:rPr/>
      </w:pPr>
      <w:r>
        <w:rPr/>
        <w:t>ARTICLE 6 – EXAMEN DES PLIS</w:t>
        <w:tab/>
        <w:t>11</w:t>
      </w:r>
    </w:p>
    <w:p>
      <w:pPr>
        <w:pStyle w:val="Contents2"/>
        <w:tabs>
          <w:tab w:val="right" w:pos="8290" w:leader="dot"/>
        </w:tabs>
        <w:rPr/>
      </w:pPr>
      <w:r>
        <w:rPr/>
        <w:t>6.1 Examen des candidatures</w:t>
        <w:tab/>
        <w:t>11</w:t>
      </w:r>
    </w:p>
    <w:p>
      <w:pPr>
        <w:pStyle w:val="Contents2"/>
        <w:tabs>
          <w:tab w:val="right" w:pos="8290" w:leader="dot"/>
        </w:tabs>
        <w:rPr/>
      </w:pPr>
      <w:r>
        <w:rPr/>
        <w:t>6.2 Jugement des offres</w:t>
        <w:tab/>
        <w:t>12</w:t>
      </w:r>
    </w:p>
    <w:p>
      <w:pPr>
        <w:pStyle w:val="Contents1"/>
        <w:rPr/>
      </w:pPr>
      <w:r>
        <w:rPr/>
        <w:t>Article 7 - PIECES A REMETTRE PAR LE(S) CANDIDAT(S) RETENU(S)</w:t>
        <w:tab/>
        <w:t>13</w:t>
      </w:r>
    </w:p>
    <w:p>
      <w:pPr>
        <w:pStyle w:val="Contents1"/>
        <w:rPr/>
      </w:pPr>
      <w:r>
        <w:rPr/>
        <w:t>Article 8 - MODALITES RELATIVES AUX COMMUNICATIONS ET AUX ECHANGES D’INFORMATION</w:t>
        <w:tab/>
        <w:t>14</w:t>
      </w:r>
    </w:p>
    <w:p>
      <w:pPr>
        <w:pStyle w:val="Contents2"/>
        <w:tabs>
          <w:tab w:val="left" w:pos="1415" w:leader="none"/>
          <w:tab w:val="right" w:pos="8290" w:leader="dot"/>
        </w:tabs>
        <w:rPr/>
      </w:pPr>
      <w:r>
        <w:rPr/>
        <w:t>8.1</w:t>
      </w:r>
      <w:r>
        <w:rPr>
          <w:rFonts w:eastAsia="F" w:cs="F" w:ascii="Calibri" w:hAnsi="Calibri"/>
          <w:sz w:val="22"/>
          <w:szCs w:val="22"/>
        </w:rPr>
        <w:tab/>
      </w:r>
      <w:r>
        <w:rPr/>
        <w:t>Règles liées aux échanges électroniques</w:t>
        <w:tab/>
        <w:t>14</w:t>
      </w:r>
    </w:p>
    <w:p>
      <w:pPr>
        <w:pStyle w:val="Contents2"/>
        <w:tabs>
          <w:tab w:val="left" w:pos="1415" w:leader="none"/>
          <w:tab w:val="right" w:pos="8290" w:leader="dot"/>
        </w:tabs>
        <w:rPr/>
      </w:pPr>
      <w:r>
        <w:rPr/>
        <w:t>8.2</w:t>
      </w:r>
      <w:r>
        <w:rPr>
          <w:rFonts w:eastAsia="F" w:cs="F" w:ascii="Calibri" w:hAnsi="Calibri"/>
          <w:sz w:val="22"/>
          <w:szCs w:val="22"/>
        </w:rPr>
        <w:tab/>
      </w:r>
      <w:r>
        <w:rPr/>
        <w:t>Demandes de renseignements en cours de consultation</w:t>
        <w:tab/>
        <w:t>14</w:t>
      </w:r>
    </w:p>
    <w:p>
      <w:pPr>
        <w:pStyle w:val="Contents2"/>
        <w:tabs>
          <w:tab w:val="left" w:pos="1415" w:leader="none"/>
          <w:tab w:val="right" w:pos="8290" w:leader="dot"/>
        </w:tabs>
        <w:rPr/>
      </w:pPr>
      <w:r>
        <w:rPr/>
        <w:t>8.3</w:t>
      </w:r>
      <w:r>
        <w:rPr>
          <w:rFonts w:eastAsia="F" w:cs="F" w:ascii="Calibri" w:hAnsi="Calibri"/>
          <w:sz w:val="22"/>
          <w:szCs w:val="22"/>
        </w:rPr>
        <w:tab/>
      </w:r>
      <w:r>
        <w:rPr/>
        <w:t>Modification de détail du dossier de consultation</w:t>
        <w:tab/>
        <w:t>15</w:t>
      </w:r>
    </w:p>
    <w:p>
      <w:pPr>
        <w:pStyle w:val="Contents1"/>
        <w:tabs>
          <w:tab w:val="left" w:pos="1415" w:leader="none"/>
          <w:tab w:val="right" w:pos="9637" w:leader="dot"/>
        </w:tabs>
        <w:rPr/>
      </w:pPr>
      <w:r>
        <w:rPr/>
        <w:t>Article 9</w:t>
      </w:r>
      <w:r>
        <w:rPr>
          <w:rFonts w:eastAsia="F" w:cs="F" w:ascii="Calibri" w:hAnsi="Calibri"/>
          <w:sz w:val="22"/>
          <w:szCs w:val="22"/>
        </w:rPr>
        <w:tab/>
      </w:r>
      <w:r>
        <w:rPr/>
        <w:t>VOIES ET DELAIS DE RECOURS</w:t>
        <w:tab/>
        <w:t>15</w:t>
      </w:r>
    </w:p>
    <w:p>
      <w:pPr>
        <w:pStyle w:val="Contents1"/>
        <w:tabs>
          <w:tab w:val="right" w:pos="8300" w:leader="dot"/>
          <w:tab w:val="right" w:pos="9637" w:leader="dot"/>
        </w:tabs>
        <w:rPr/>
      </w:pPr>
      <w:r>
        <w:rPr/>
      </w:r>
    </w:p>
    <w:p>
      <w:pPr>
        <w:pStyle w:val="Normal"/>
        <w:suppressAutoHyphens w:val="false"/>
        <w:rPr>
          <w:rFonts w:ascii="Arial" w:hAnsi="Arial" w:eastAsia="MS PMincho" w:cs="Tahoma"/>
          <w:b/>
          <w:b/>
          <w:bCs/>
          <w:sz w:val="24"/>
          <w:szCs w:val="48"/>
        </w:rPr>
      </w:pPr>
      <w:bookmarkStart w:id="0" w:name="_Toc38526830"/>
      <w:bookmarkStart w:id="1" w:name="_Toc37072326"/>
      <w:bookmarkStart w:id="2" w:name="_Toc38526830"/>
      <w:bookmarkStart w:id="3" w:name="_Toc37072326"/>
      <w:bookmarkEnd w:id="2"/>
      <w:bookmarkEnd w:id="3"/>
      <w:r>
        <w:rPr>
          <w:rFonts w:eastAsia="MS PMincho" w:cs="Tahoma" w:ascii="Arial" w:hAnsi="Arial"/>
          <w:b/>
          <w:bCs/>
          <w:sz w:val="24"/>
          <w:szCs w:val="48"/>
        </w:rPr>
      </w:r>
      <w:r>
        <w:br w:type="page"/>
      </w:r>
    </w:p>
    <w:p>
      <w:pPr>
        <w:pStyle w:val="Titre1"/>
        <w:numPr>
          <w:ilvl w:val="0"/>
          <w:numId w:val="0"/>
        </w:numPr>
        <w:shd w:val="clear" w:fill="CCCCCC"/>
        <w:tabs>
          <w:tab w:val="left" w:pos="567" w:leader="none"/>
          <w:tab w:val="left" w:pos="1140" w:leader="none"/>
          <w:tab w:val="left" w:pos="1695" w:leader="none"/>
          <w:tab w:val="left" w:pos="3349" w:leader="none"/>
        </w:tabs>
        <w:rPr/>
      </w:pPr>
      <w:r>
        <w:rPr/>
        <w:t>ARTICLE 1</w:t>
        <w:tab/>
        <w:t>GENERALITES</w:t>
      </w:r>
    </w:p>
    <w:p>
      <w:pPr>
        <w:pStyle w:val="Titre2"/>
        <w:numPr>
          <w:ilvl w:val="1"/>
          <w:numId w:val="1"/>
        </w:numPr>
        <w:rPr/>
      </w:pPr>
      <w:bookmarkStart w:id="4" w:name="_Toc38526831"/>
      <w:bookmarkEnd w:id="4"/>
      <w:r>
        <w:rPr/>
        <w:t>Objet et description de la consultation</w:t>
      </w:r>
    </w:p>
    <w:p>
      <w:pPr>
        <w:pStyle w:val="Normal"/>
        <w:jc w:val="both"/>
        <w:rPr/>
      </w:pPr>
      <w:r>
        <w:rPr/>
        <w:t>La présente consultation a pour objet la fourniture d’emballages à usage unique et la collecte, transport et élimination des déchets de soins à risques infectieux (DASRI) du Funérarium Municipal de la ville de Marseille.</w:t>
      </w:r>
    </w:p>
    <w:p>
      <w:pPr>
        <w:pStyle w:val="Normal"/>
        <w:jc w:val="both"/>
        <w:rPr/>
      </w:pPr>
      <w:r>
        <w:rPr/>
      </w:r>
    </w:p>
    <w:p>
      <w:pPr>
        <w:pStyle w:val="Normal"/>
        <w:jc w:val="both"/>
        <w:rPr/>
      </w:pPr>
      <w:r>
        <w:rPr/>
        <w:t>Le détail des prestations est décrit dans le Cahier des Clauses Techniques Particulières (CCTP).</w:t>
      </w:r>
    </w:p>
    <w:p>
      <w:pPr>
        <w:pStyle w:val="Normal"/>
        <w:jc w:val="both"/>
        <w:rPr/>
      </w:pPr>
      <w:r>
        <w:rPr/>
      </w:r>
    </w:p>
    <w:p>
      <w:pPr>
        <w:pStyle w:val="Normal"/>
        <w:jc w:val="both"/>
        <w:rPr/>
      </w:pPr>
      <w:r>
        <w:rPr/>
        <w:t>Lieu d’exécution des prestations : Ville de Marseille</w:t>
      </w:r>
    </w:p>
    <w:p>
      <w:pPr>
        <w:pStyle w:val="Normal"/>
        <w:jc w:val="both"/>
        <w:rPr/>
      </w:pPr>
      <w:r>
        <w:rPr/>
        <w:t>(Code NUTS FRL04)</w:t>
      </w:r>
    </w:p>
    <w:p>
      <w:pPr>
        <w:pStyle w:val="Normal"/>
        <w:jc w:val="both"/>
        <w:rPr/>
      </w:pPr>
      <w:r>
        <w:rPr/>
      </w:r>
    </w:p>
    <w:p>
      <w:pPr>
        <w:pStyle w:val="Normal"/>
        <w:jc w:val="both"/>
        <w:rPr/>
      </w:pPr>
      <w:r>
        <w:rPr/>
        <w:t>Durant l’exécution des accords-cadres, les prestations s’effectuent sur le site suivant :</w:t>
      </w:r>
    </w:p>
    <w:p>
      <w:pPr>
        <w:pStyle w:val="Normal"/>
        <w:jc w:val="both"/>
        <w:rPr/>
      </w:pPr>
      <w:r>
        <w:rPr/>
      </w:r>
    </w:p>
    <w:p>
      <w:pPr>
        <w:pStyle w:val="Normal"/>
        <w:jc w:val="both"/>
        <w:rPr>
          <w:rFonts w:ascii="Arial" w:hAnsi="Arial"/>
          <w:sz w:val="20"/>
        </w:rPr>
      </w:pPr>
      <w:r>
        <w:rPr/>
        <w:t>FUNERARIUM MUNICIPAL</w:t>
      </w:r>
    </w:p>
    <w:p>
      <w:pPr>
        <w:pStyle w:val="Normal"/>
        <w:jc w:val="both"/>
        <w:rPr>
          <w:rFonts w:ascii="Arial" w:hAnsi="Arial"/>
          <w:sz w:val="20"/>
        </w:rPr>
      </w:pPr>
      <w:r>
        <w:rPr/>
        <w:t>Service Post Mortem</w:t>
      </w:r>
    </w:p>
    <w:p>
      <w:pPr>
        <w:pStyle w:val="Normal"/>
        <w:jc w:val="both"/>
        <w:rPr>
          <w:rFonts w:ascii="Arial" w:hAnsi="Arial"/>
          <w:sz w:val="20"/>
        </w:rPr>
      </w:pPr>
      <w:r>
        <w:rPr/>
        <w:t>380A rue Saint Pierre</w:t>
      </w:r>
    </w:p>
    <w:p>
      <w:pPr>
        <w:pStyle w:val="Normal"/>
        <w:jc w:val="both"/>
        <w:rPr>
          <w:rFonts w:ascii="Arial" w:hAnsi="Arial"/>
          <w:sz w:val="20"/>
        </w:rPr>
      </w:pPr>
      <w:r>
        <w:rPr/>
        <w:t>13005 MARSEILLE</w:t>
      </w:r>
    </w:p>
    <w:p>
      <w:pPr>
        <w:pStyle w:val="Normal"/>
        <w:jc w:val="both"/>
        <w:rPr/>
      </w:pPr>
      <w:r>
        <w:rPr/>
      </w:r>
    </w:p>
    <w:p>
      <w:pPr>
        <w:pStyle w:val="Normal"/>
        <w:jc w:val="both"/>
        <w:rPr>
          <w:rFonts w:ascii="Arial" w:hAnsi="Arial"/>
          <w:sz w:val="20"/>
        </w:rPr>
      </w:pPr>
      <w:r>
        <w:rPr/>
        <w:t>A titre indicatif, environ 250 soins de conservation et 250 toilettes mortuaires annuels sont effectués.</w:t>
      </w:r>
    </w:p>
    <w:p>
      <w:pPr>
        <w:pStyle w:val="Normal"/>
        <w:jc w:val="both"/>
        <w:rPr/>
      </w:pPr>
      <w:r>
        <w:rPr/>
      </w:r>
    </w:p>
    <w:p>
      <w:pPr>
        <w:pStyle w:val="Normal"/>
        <w:jc w:val="both"/>
        <w:rPr>
          <w:rFonts w:ascii="Arial" w:hAnsi="Arial"/>
          <w:sz w:val="20"/>
        </w:rPr>
      </w:pPr>
      <w:r>
        <w:rPr/>
        <w:t>A titre indicatif, les prestations s’évaluent comme suit :</w:t>
      </w:r>
    </w:p>
    <w:p>
      <w:pPr>
        <w:pStyle w:val="Normal"/>
        <w:jc w:val="both"/>
        <w:rPr/>
      </w:pPr>
      <w:r>
        <w:rPr/>
      </w:r>
    </w:p>
    <w:p>
      <w:pPr>
        <w:pStyle w:val="Normal"/>
        <w:jc w:val="both"/>
        <w:rPr>
          <w:rFonts w:ascii="Arial" w:hAnsi="Arial"/>
          <w:sz w:val="20"/>
        </w:rPr>
      </w:pPr>
      <w:r>
        <w:rPr/>
        <w:t>-600 à 1500 conteneurs en carton avec sac étanche de 50 L – n’excédant pas chacun 15 kg</w:t>
      </w:r>
    </w:p>
    <w:p>
      <w:pPr>
        <w:pStyle w:val="Normal"/>
        <w:jc w:val="both"/>
        <w:rPr>
          <w:rFonts w:ascii="Arial" w:hAnsi="Arial"/>
          <w:sz w:val="20"/>
        </w:rPr>
      </w:pPr>
      <w:r>
        <w:rPr/>
        <w:t>-400 à 600 poches souples étanches (liquides)</w:t>
      </w:r>
    </w:p>
    <w:p>
      <w:pPr>
        <w:pStyle w:val="Normal"/>
        <w:jc w:val="both"/>
        <w:rPr/>
      </w:pPr>
      <w:r>
        <w:rPr/>
        <w:t>-80 à 100 conteneurs polypropylène haute densité pour transport de X poches souples 30 L</w:t>
      </w:r>
    </w:p>
    <w:p>
      <w:pPr>
        <w:pStyle w:val="Normal"/>
        <w:jc w:val="both"/>
        <w:rPr>
          <w:rFonts w:ascii="Arial" w:hAnsi="Arial"/>
          <w:sz w:val="20"/>
        </w:rPr>
      </w:pPr>
      <w:r>
        <w:rPr/>
        <w:t>-3 à 5 mini collecteurs de déchets coupants et piquants 2 L</w:t>
      </w:r>
    </w:p>
    <w:p>
      <w:pPr>
        <w:pStyle w:val="Normal"/>
        <w:jc w:val="both"/>
        <w:rPr>
          <w:rFonts w:ascii="Arial" w:hAnsi="Arial"/>
          <w:sz w:val="20"/>
        </w:rPr>
      </w:pPr>
      <w:r>
        <w:rPr/>
        <w:t>-1 à 3 mini collecteurs d’éléments radio actifs 4 L</w:t>
      </w:r>
    </w:p>
    <w:p>
      <w:pPr>
        <w:pStyle w:val="Titre2"/>
        <w:numPr>
          <w:ilvl w:val="1"/>
          <w:numId w:val="1"/>
        </w:numPr>
        <w:rPr/>
      </w:pPr>
      <w:bookmarkStart w:id="5" w:name="_Toc38526832"/>
      <w:bookmarkEnd w:id="5"/>
      <w:r>
        <w:rPr/>
        <w:t>Nature</w:t>
      </w:r>
    </w:p>
    <w:p>
      <w:pPr>
        <w:pStyle w:val="Normal"/>
        <w:rPr/>
      </w:pPr>
      <w:r>
        <w:rPr/>
        <w:t>Il s'agit d’un accord cadre de fournitures et services.</w:t>
      </w:r>
    </w:p>
    <w:p>
      <w:pPr>
        <w:pStyle w:val="Titre2"/>
        <w:numPr>
          <w:ilvl w:val="1"/>
          <w:numId w:val="1"/>
        </w:numPr>
        <w:rPr/>
      </w:pPr>
      <w:bookmarkStart w:id="6" w:name="_Toc38526833"/>
      <w:bookmarkEnd w:id="6"/>
      <w:r>
        <w:rPr/>
        <w:t>Pouvoir adjudicateur</w:t>
      </w:r>
    </w:p>
    <w:p>
      <w:pPr>
        <w:pStyle w:val="Normal"/>
        <w:rPr/>
      </w:pPr>
      <w:r>
        <w:rPr/>
        <w:t>Acheteur public :</w:t>
      </w:r>
    </w:p>
    <w:p>
      <w:pPr>
        <w:pStyle w:val="Normal"/>
        <w:rPr/>
      </w:pPr>
      <w:r>
        <w:rPr/>
        <w:t>Ville de Marseille</w:t>
      </w:r>
    </w:p>
    <w:p>
      <w:pPr>
        <w:pStyle w:val="Normal"/>
        <w:rPr/>
      </w:pPr>
      <w:r>
        <w:rPr/>
        <w:t>Hôtel de Ville</w:t>
      </w:r>
    </w:p>
    <w:p>
      <w:pPr>
        <w:pStyle w:val="Normal"/>
        <w:rPr/>
      </w:pPr>
      <w:r>
        <w:rPr/>
        <w:t>Quai du Port</w:t>
      </w:r>
    </w:p>
    <w:p>
      <w:pPr>
        <w:pStyle w:val="Normal"/>
        <w:rPr/>
      </w:pPr>
      <w:r>
        <w:rPr/>
        <w:t>13233 Marseille Cedex 20</w:t>
      </w:r>
    </w:p>
    <w:p>
      <w:pPr>
        <w:pStyle w:val="Normal"/>
        <w:rPr/>
      </w:pPr>
      <w:r>
        <w:rPr/>
        <w:t>Profil acheteur : marchespublics.mairie-marseille.fr</w:t>
      </w:r>
    </w:p>
    <w:p>
      <w:pPr>
        <w:pStyle w:val="Normal"/>
        <w:rPr/>
      </w:pPr>
      <w:r>
        <w:rPr/>
        <w:t>Adresse Internet : www.marseille.fr</w:t>
      </w:r>
    </w:p>
    <w:p>
      <w:pPr>
        <w:pStyle w:val="Titre2"/>
        <w:numPr>
          <w:ilvl w:val="1"/>
          <w:numId w:val="1"/>
        </w:numPr>
        <w:rPr/>
      </w:pPr>
      <w:bookmarkStart w:id="7" w:name="_Toc38526834"/>
      <w:bookmarkEnd w:id="7"/>
      <w:r>
        <w:rPr/>
        <w:t>Procédure</w:t>
      </w:r>
    </w:p>
    <w:p>
      <w:pPr>
        <w:pStyle w:val="Normal"/>
        <w:jc w:val="both"/>
        <w:rPr/>
      </w:pPr>
      <w:r>
        <w:rPr/>
        <w:t>Il s’agit d’une consultation passée en procédure adaptée en application des dispositions de l’article 1° de l’article R.2123-1 du code de la commande publique.</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Titre2"/>
        <w:numPr>
          <w:ilvl w:val="1"/>
          <w:numId w:val="1"/>
        </w:numPr>
        <w:rPr/>
      </w:pPr>
      <w:bookmarkStart w:id="8" w:name="_Toc38526835"/>
      <w:bookmarkEnd w:id="8"/>
      <w:r>
        <w:rPr/>
        <w:t>Forme des accords-cadres</w:t>
      </w:r>
    </w:p>
    <w:p>
      <w:pPr>
        <w:pStyle w:val="Normal"/>
        <w:jc w:val="both"/>
        <w:rPr/>
      </w:pPr>
      <w:r>
        <w:rPr/>
        <w:t>Il s'agit d'accords-cadres mono attributaires au sens des articles R. 2162-2 et suivants du Code de la commande publique, conclu avec un opérateur économique.</w:t>
      </w:r>
    </w:p>
    <w:p>
      <w:pPr>
        <w:pStyle w:val="Normal"/>
        <w:jc w:val="both"/>
        <w:rPr/>
      </w:pPr>
      <w:r>
        <w:rPr/>
      </w:r>
    </w:p>
    <w:p>
      <w:pPr>
        <w:pStyle w:val="Normal"/>
        <w:jc w:val="both"/>
        <w:rPr/>
      </w:pPr>
      <w:r>
        <w:rPr/>
        <w:t>Chaque accord-cadre fixe toutes les stipulations contractuelles, et sera exécuté au fur et à mesure du besoin par l’émission de bons de commande dans les conditions fixées aux articles R. 2162-13 et R. 2162-14 du code de la commande publique.</w:t>
      </w:r>
    </w:p>
    <w:p>
      <w:pPr>
        <w:pStyle w:val="Normal"/>
        <w:jc w:val="both"/>
        <w:rPr/>
      </w:pPr>
      <w:r>
        <w:rPr/>
      </w:r>
    </w:p>
    <w:p>
      <w:pPr>
        <w:pStyle w:val="Normal"/>
        <w:jc w:val="both"/>
        <w:rPr/>
      </w:pPr>
      <w:r>
        <w:rPr/>
        <w:t>Les modalités d'émission des bons de commande figurent au CCAP.</w:t>
      </w:r>
    </w:p>
    <w:p>
      <w:pPr>
        <w:pStyle w:val="Titre2"/>
        <w:numPr>
          <w:ilvl w:val="1"/>
          <w:numId w:val="1"/>
        </w:numPr>
        <w:rPr/>
      </w:pPr>
      <w:bookmarkStart w:id="9" w:name="_Toc38526836"/>
      <w:bookmarkEnd w:id="9"/>
      <w:r>
        <w:rPr/>
        <w:t>Nomenclature communautaire pertinente</w:t>
      </w:r>
    </w:p>
    <w:p>
      <w:pPr>
        <w:pStyle w:val="Normal"/>
        <w:jc w:val="both"/>
        <w:rPr/>
      </w:pPr>
      <w:r>
        <w:rPr/>
        <w:t>Référence à la nomenclature européenne (CPV)</w:t>
      </w:r>
    </w:p>
    <w:p>
      <w:pPr>
        <w:pStyle w:val="Normal"/>
        <w:jc w:val="both"/>
        <w:rPr/>
      </w:pPr>
      <w:r>
        <w:rPr/>
        <w:t>44613800-8 Conteneurs à déchets</w:t>
      </w:r>
    </w:p>
    <w:p>
      <w:pPr>
        <w:pStyle w:val="Normal"/>
        <w:jc w:val="both"/>
        <w:rPr/>
      </w:pPr>
      <w:r>
        <w:rPr/>
        <w:t>90121000-1 Services relatifs aux déchets</w:t>
      </w:r>
    </w:p>
    <w:p>
      <w:pPr>
        <w:pStyle w:val="Normal"/>
        <w:jc w:val="both"/>
        <w:rPr/>
      </w:pPr>
      <w:r>
        <w:rPr/>
        <w:t>90122200-0 Services relatifs aux déchets médicaux</w:t>
      </w:r>
    </w:p>
    <w:p>
      <w:pPr>
        <w:pStyle w:val="Normal"/>
        <w:jc w:val="both"/>
        <w:rPr/>
      </w:pPr>
      <w:r>
        <w:rPr/>
      </w:r>
    </w:p>
    <w:p>
      <w:pPr>
        <w:pStyle w:val="Titre1"/>
        <w:numPr>
          <w:ilvl w:val="0"/>
          <w:numId w:val="0"/>
        </w:numPr>
        <w:shd w:val="clear" w:fill="CCCCCC"/>
        <w:tabs>
          <w:tab w:val="left" w:pos="567" w:leader="none"/>
          <w:tab w:val="left" w:pos="1140" w:leader="none"/>
          <w:tab w:val="left" w:pos="1695" w:leader="none"/>
          <w:tab w:val="left" w:pos="3349" w:leader="none"/>
        </w:tabs>
        <w:rPr/>
      </w:pPr>
      <w:bookmarkStart w:id="10" w:name="_Toc38526837"/>
      <w:bookmarkEnd w:id="10"/>
      <w:r>
        <w:rPr/>
        <w:t>ARTICLE 2</w:t>
        <w:tab/>
        <w:t>CARACTERISTIQUES DE LA CONSULTATION</w:t>
      </w:r>
    </w:p>
    <w:p>
      <w:pPr>
        <w:pStyle w:val="Titre2"/>
        <w:numPr>
          <w:ilvl w:val="0"/>
          <w:numId w:val="0"/>
        </w:numPr>
        <w:tabs>
          <w:tab w:val="left" w:pos="567" w:leader="none"/>
        </w:tabs>
        <w:rPr/>
      </w:pPr>
      <w:bookmarkStart w:id="11" w:name="_Toc38526838"/>
      <w:bookmarkEnd w:id="11"/>
      <w:r>
        <w:rPr/>
        <w:t>2.1</w:t>
        <w:tab/>
        <w:t>Décomposition en lots et tranches</w:t>
      </w:r>
    </w:p>
    <w:p>
      <w:pPr>
        <w:pStyle w:val="Titre3"/>
        <w:numPr>
          <w:ilvl w:val="0"/>
          <w:numId w:val="0"/>
        </w:numPr>
        <w:tabs>
          <w:tab w:val="left" w:pos="567" w:leader="none"/>
        </w:tabs>
        <w:rPr/>
      </w:pPr>
      <w:bookmarkStart w:id="12" w:name="_Toc38526839"/>
      <w:bookmarkEnd w:id="12"/>
      <w:r>
        <w:rPr/>
        <w:t>2.1.1</w:t>
        <w:tab/>
        <w:t>Décomposition en lots</w:t>
      </w:r>
    </w:p>
    <w:p>
      <w:pPr>
        <w:pStyle w:val="Standard"/>
        <w:jc w:val="both"/>
        <w:rPr>
          <w:b/>
          <w:b/>
          <w:u w:val="single"/>
        </w:rPr>
      </w:pPr>
      <w:r>
        <w:rPr>
          <w:b/>
          <w:u w:val="single"/>
        </w:rPr>
        <w:t>Allotissement</w:t>
      </w:r>
    </w:p>
    <w:p>
      <w:pPr>
        <w:pStyle w:val="Standard"/>
        <w:jc w:val="both"/>
        <w:rPr/>
      </w:pPr>
      <w:r>
        <w:rPr/>
      </w:r>
    </w:p>
    <w:p>
      <w:pPr>
        <w:pStyle w:val="Normal"/>
        <w:rPr/>
      </w:pPr>
      <w:r>
        <w:rPr/>
        <w:t>La présente consultation est allotie comme suit :</w:t>
      </w:r>
    </w:p>
    <w:p>
      <w:pPr>
        <w:pStyle w:val="Normal"/>
        <w:rPr/>
      </w:pPr>
      <w:r>
        <w:rPr/>
      </w:r>
    </w:p>
    <w:tbl>
      <w:tblPr>
        <w:tblW w:w="8300" w:type="dxa"/>
        <w:jc w:val="left"/>
        <w:tblInd w:w="29" w:type="dxa"/>
        <w:tblBorders>
          <w:top w:val="single" w:sz="2" w:space="0" w:color="000001"/>
          <w:left w:val="single" w:sz="2" w:space="0" w:color="000001"/>
          <w:bottom w:val="single" w:sz="2" w:space="0" w:color="000001"/>
          <w:insideH w:val="single" w:sz="2" w:space="0" w:color="000001"/>
        </w:tblBorders>
        <w:tblCellMar>
          <w:top w:w="55" w:type="dxa"/>
          <w:left w:w="31" w:type="dxa"/>
          <w:bottom w:w="55" w:type="dxa"/>
          <w:right w:w="55" w:type="dxa"/>
        </w:tblCellMar>
        <w:tblLook w:firstRow="0" w:noVBand="0" w:lastRow="0" w:firstColumn="0" w:lastColumn="0" w:noHBand="0" w:val="0000"/>
      </w:tblPr>
      <w:tblGrid>
        <w:gridCol w:w="658"/>
        <w:gridCol w:w="7641"/>
      </w:tblGrid>
      <w:tr>
        <w:trPr/>
        <w:tc>
          <w:tcPr>
            <w:tcW w:w="658" w:type="dxa"/>
            <w:tcBorders>
              <w:top w:val="single" w:sz="2" w:space="0" w:color="000001"/>
              <w:left w:val="single" w:sz="2" w:space="0" w:color="000001"/>
              <w:bottom w:val="single" w:sz="2" w:space="0" w:color="000001"/>
              <w:insideH w:val="single" w:sz="2" w:space="0" w:color="000001"/>
            </w:tcBorders>
            <w:shd w:color="auto" w:fill="FFFFFF" w:val="clear"/>
            <w:tcMar>
              <w:left w:w="31" w:type="dxa"/>
            </w:tcMar>
            <w:vAlign w:val="center"/>
          </w:tcPr>
          <w:p>
            <w:pPr>
              <w:pStyle w:val="Normal"/>
              <w:rPr/>
            </w:pPr>
            <w:r>
              <w:rPr/>
              <w:t>N°</w:t>
            </w:r>
          </w:p>
        </w:tc>
        <w:tc>
          <w:tcPr>
            <w:tcW w:w="76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31" w:type="dxa"/>
            </w:tcMar>
            <w:vAlign w:val="center"/>
          </w:tcPr>
          <w:p>
            <w:pPr>
              <w:pStyle w:val="Normal"/>
              <w:rPr/>
            </w:pPr>
            <w:r>
              <w:rPr/>
              <w:t>Intitulés lots séparés</w:t>
            </w:r>
          </w:p>
        </w:tc>
      </w:tr>
      <w:tr>
        <w:trPr/>
        <w:tc>
          <w:tcPr>
            <w:tcW w:w="658" w:type="dxa"/>
            <w:tcBorders>
              <w:top w:val="single" w:sz="2" w:space="0" w:color="000001"/>
              <w:left w:val="single" w:sz="2" w:space="0" w:color="000001"/>
              <w:bottom w:val="single" w:sz="2" w:space="0" w:color="000001"/>
              <w:insideH w:val="single" w:sz="2" w:space="0" w:color="000001"/>
            </w:tcBorders>
            <w:shd w:color="auto" w:fill="FFFFFF" w:val="clear"/>
            <w:tcMar>
              <w:left w:w="31" w:type="dxa"/>
            </w:tcMar>
          </w:tcPr>
          <w:p>
            <w:pPr>
              <w:pStyle w:val="Normal"/>
              <w:rPr/>
            </w:pPr>
            <w:r>
              <w:rPr/>
              <w:t>1</w:t>
            </w:r>
          </w:p>
        </w:tc>
        <w:tc>
          <w:tcPr>
            <w:tcW w:w="76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31" w:type="dxa"/>
            </w:tcMar>
          </w:tcPr>
          <w:p>
            <w:pPr>
              <w:pStyle w:val="Normal"/>
              <w:rPr/>
            </w:pPr>
            <w:r>
              <w:rPr/>
              <w:t>Fourniture d’emballages à usage unique DASRI</w:t>
            </w:r>
          </w:p>
        </w:tc>
      </w:tr>
      <w:tr>
        <w:trPr/>
        <w:tc>
          <w:tcPr>
            <w:tcW w:w="658" w:type="dxa"/>
            <w:tcBorders>
              <w:top w:val="single" w:sz="4" w:space="0" w:color="000001"/>
              <w:left w:val="single" w:sz="2" w:space="0" w:color="000001"/>
              <w:bottom w:val="single" w:sz="4" w:space="0" w:color="000001"/>
              <w:insideH w:val="single" w:sz="4" w:space="0" w:color="000001"/>
            </w:tcBorders>
            <w:shd w:color="auto" w:fill="FFFFFF" w:val="clear"/>
            <w:tcMar>
              <w:left w:w="31" w:type="dxa"/>
            </w:tcMar>
          </w:tcPr>
          <w:p>
            <w:pPr>
              <w:pStyle w:val="Normal"/>
              <w:rPr/>
            </w:pPr>
            <w:r>
              <w:rPr/>
              <w:t>2</w:t>
            </w:r>
          </w:p>
        </w:tc>
        <w:tc>
          <w:tcPr>
            <w:tcW w:w="764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color="auto" w:fill="FFFFFF" w:val="clear"/>
            <w:tcMar>
              <w:left w:w="31" w:type="dxa"/>
            </w:tcMar>
          </w:tcPr>
          <w:p>
            <w:pPr>
              <w:pStyle w:val="Normal"/>
              <w:rPr/>
            </w:pPr>
            <w:r>
              <w:rPr/>
              <w:t>Collecte, transport et élimination des déchets de soins à risques infectieux</w:t>
            </w:r>
          </w:p>
        </w:tc>
      </w:tr>
    </w:tbl>
    <w:p>
      <w:pPr>
        <w:pStyle w:val="Normal"/>
        <w:rPr/>
      </w:pPr>
      <w:r>
        <w:rPr/>
      </w:r>
    </w:p>
    <w:p>
      <w:pPr>
        <w:pStyle w:val="Normal"/>
        <w:jc w:val="both"/>
        <w:rPr/>
      </w:pPr>
      <w:r>
        <w:rPr/>
        <w:t>Chacun des lots fera l’objet d’un accord-cadre distinct. Les candidats pourront présenter une offre pour un ou plusieurs lots.</w:t>
      </w:r>
    </w:p>
    <w:p>
      <w:pPr>
        <w:pStyle w:val="Titre3"/>
        <w:numPr>
          <w:ilvl w:val="0"/>
          <w:numId w:val="0"/>
        </w:numPr>
        <w:tabs>
          <w:tab w:val="left" w:pos="567" w:leader="none"/>
        </w:tabs>
        <w:spacing w:before="283" w:after="0"/>
        <w:rPr/>
      </w:pPr>
      <w:bookmarkStart w:id="13" w:name="_Toc38526840"/>
      <w:bookmarkEnd w:id="13"/>
      <w:r>
        <w:rPr/>
        <w:t>2.1.2</w:t>
        <w:tab/>
        <w:t>Décomposition en tranches</w:t>
      </w:r>
    </w:p>
    <w:p>
      <w:pPr>
        <w:pStyle w:val="Standard"/>
        <w:rPr/>
      </w:pPr>
      <w:r>
        <w:rPr/>
      </w:r>
    </w:p>
    <w:p>
      <w:pPr>
        <w:pStyle w:val="Normal"/>
        <w:jc w:val="both"/>
        <w:rPr/>
      </w:pPr>
      <w:r>
        <w:rPr/>
        <w:t>Le marché n'est pas un marché à tranches.</w:t>
      </w:r>
    </w:p>
    <w:p>
      <w:pPr>
        <w:pStyle w:val="Titre2"/>
        <w:numPr>
          <w:ilvl w:val="0"/>
          <w:numId w:val="0"/>
        </w:numPr>
        <w:tabs>
          <w:tab w:val="left" w:pos="567" w:leader="none"/>
        </w:tabs>
        <w:spacing w:before="283" w:after="0"/>
        <w:rPr/>
      </w:pPr>
      <w:bookmarkStart w:id="14" w:name="_Toc38526841"/>
      <w:bookmarkStart w:id="15" w:name="_Toc38526842"/>
      <w:bookmarkEnd w:id="14"/>
      <w:bookmarkEnd w:id="15"/>
      <w:r>
        <w:rPr/>
        <w:t>2.2</w:t>
        <w:tab/>
        <w:t>Montant de l’accord-cadre</w:t>
      </w:r>
    </w:p>
    <w:p>
      <w:pPr>
        <w:pStyle w:val="Standard"/>
        <w:rPr>
          <w:rFonts w:eastAsia="Times New Roman"/>
          <w:szCs w:val="21"/>
        </w:rPr>
      </w:pPr>
      <w:r>
        <w:rPr>
          <w:rFonts w:eastAsia="Times New Roman"/>
          <w:szCs w:val="21"/>
        </w:rPr>
      </w:r>
    </w:p>
    <w:p>
      <w:pPr>
        <w:pStyle w:val="Normal"/>
        <w:jc w:val="both"/>
        <w:rPr/>
      </w:pPr>
      <w:r>
        <w:rPr/>
        <w:t>Montants minimum et maximum :</w:t>
      </w:r>
    </w:p>
    <w:p>
      <w:pPr>
        <w:pStyle w:val="Normal"/>
        <w:jc w:val="both"/>
        <w:rPr/>
      </w:pPr>
      <w:r>
        <w:rPr/>
      </w:r>
    </w:p>
    <w:p>
      <w:pPr>
        <w:pStyle w:val="Normal"/>
        <w:jc w:val="both"/>
        <w:rPr/>
      </w:pPr>
      <w:r>
        <w:rPr/>
        <w:t>Chaque accord-cadre est passé sans montant minimum annuel et pour un montant maximum annuel € HT de :</w:t>
      </w:r>
    </w:p>
    <w:p>
      <w:pPr>
        <w:pStyle w:val="Normal"/>
        <w:jc w:val="both"/>
        <w:rPr/>
      </w:pPr>
      <w:r>
        <w:rPr/>
      </w:r>
    </w:p>
    <w:p>
      <w:pPr>
        <w:pStyle w:val="Normal"/>
        <w:jc w:val="both"/>
        <w:rPr/>
      </w:pPr>
      <w:r>
        <w:rPr/>
        <w:t>LOT 1</w:t>
        <w:tab/>
        <w:t>Montant maximum annuel</w:t>
        <w:tab/>
        <w:tab/>
        <w:t>12 000,00 € HT</w:t>
      </w:r>
    </w:p>
    <w:p>
      <w:pPr>
        <w:pStyle w:val="Normal"/>
        <w:jc w:val="both"/>
        <w:rPr/>
      </w:pPr>
      <w:r>
        <w:rPr/>
      </w:r>
    </w:p>
    <w:p>
      <w:pPr>
        <w:pStyle w:val="Normal"/>
        <w:jc w:val="both"/>
        <w:rPr/>
      </w:pPr>
      <w:r>
        <w:rPr/>
        <w:t>LOT 2</w:t>
        <w:tab/>
        <w:t>Montant maximum annuel</w:t>
        <w:tab/>
        <w:tab/>
        <w:t>14 000,00 € HT</w:t>
      </w:r>
    </w:p>
    <w:p>
      <w:pPr>
        <w:pStyle w:val="Normal"/>
        <w:jc w:val="both"/>
        <w:rPr/>
      </w:pPr>
      <w:r>
        <w:rPr/>
      </w:r>
    </w:p>
    <w:p>
      <w:pPr>
        <w:pStyle w:val="Normal"/>
        <w:jc w:val="both"/>
        <w:rPr/>
      </w:pPr>
      <w:r>
        <w:rPr/>
      </w:r>
    </w:p>
    <w:p>
      <w:pPr>
        <w:pStyle w:val="Titre2"/>
        <w:numPr>
          <w:ilvl w:val="0"/>
          <w:numId w:val="0"/>
        </w:numPr>
        <w:tabs>
          <w:tab w:val="left" w:pos="567" w:leader="none"/>
        </w:tabs>
        <w:rPr/>
      </w:pPr>
      <w:bookmarkStart w:id="16" w:name="_Toc38526843"/>
      <w:bookmarkEnd w:id="16"/>
      <w:r>
        <w:rPr/>
        <w:t>2.3</w:t>
        <w:tab/>
        <w:t>Durée de l’accord-cadre et autres délais</w:t>
      </w:r>
    </w:p>
    <w:p>
      <w:pPr>
        <w:pStyle w:val="Normal"/>
        <w:jc w:val="both"/>
        <w:rPr/>
      </w:pPr>
      <w:r>
        <w:rPr/>
        <w:t>Pour chacun des lots, l'accord-cadre est passé pour une durée d’un an à compter de sa notification.</w:t>
      </w:r>
    </w:p>
    <w:p>
      <w:pPr>
        <w:pStyle w:val="Normal"/>
        <w:jc w:val="both"/>
        <w:rPr/>
      </w:pPr>
      <w:r>
        <w:rPr/>
        <w:t>Les accords-cadres sont reconductibles.</w:t>
      </w:r>
    </w:p>
    <w:p>
      <w:pPr>
        <w:pStyle w:val="Normal"/>
        <w:jc w:val="both"/>
        <w:rPr>
          <w:rFonts w:ascii="Arial" w:hAnsi="Arial"/>
          <w:b w:val="false"/>
          <w:b w:val="false"/>
          <w:bCs w:val="false"/>
          <w:sz w:val="21"/>
          <w:szCs w:val="21"/>
        </w:rPr>
      </w:pPr>
      <w:r>
        <w:rPr>
          <w:rFonts w:ascii="Arial" w:hAnsi="Arial"/>
          <w:b w:val="false"/>
          <w:bCs w:val="false"/>
          <w:sz w:val="21"/>
          <w:szCs w:val="21"/>
        </w:rPr>
      </w:r>
    </w:p>
    <w:p>
      <w:pPr>
        <w:pStyle w:val="Normal"/>
        <w:jc w:val="both"/>
        <w:rPr/>
      </w:pPr>
      <w:r>
        <w:rPr/>
        <w:t>Ils seront renouvelables 3 fois un an par tacite reconduction sans que leur durée totale ne puisse excéder 4 ans.</w:t>
      </w:r>
    </w:p>
    <w:p>
      <w:pPr>
        <w:pStyle w:val="Normal"/>
        <w:jc w:val="both"/>
        <w:rPr>
          <w:rFonts w:ascii="Arial" w:hAnsi="Arial"/>
          <w:b w:val="false"/>
          <w:b w:val="false"/>
          <w:bCs w:val="false"/>
          <w:sz w:val="21"/>
          <w:szCs w:val="21"/>
        </w:rPr>
      </w:pPr>
      <w:r>
        <w:rPr>
          <w:rFonts w:ascii="Arial" w:hAnsi="Arial"/>
          <w:b w:val="false"/>
          <w:bCs w:val="false"/>
          <w:sz w:val="21"/>
          <w:szCs w:val="21"/>
        </w:rPr>
      </w:r>
    </w:p>
    <w:p>
      <w:pPr>
        <w:pStyle w:val="Normal"/>
        <w:jc w:val="both"/>
        <w:rPr/>
      </w:pPr>
      <w:r>
        <w:rPr/>
        <w:t>En cas de non reconduction, le titulaire sera prévenu par lettre recommandée, 3 mois avant la fin de l’accord-cadre.</w:t>
      </w:r>
    </w:p>
    <w:p>
      <w:pPr>
        <w:pStyle w:val="Normal"/>
        <w:jc w:val="both"/>
        <w:rPr>
          <w:rFonts w:ascii="Arial" w:hAnsi="Arial"/>
          <w:b w:val="false"/>
          <w:b w:val="false"/>
          <w:bCs w:val="false"/>
          <w:sz w:val="21"/>
          <w:szCs w:val="21"/>
        </w:rPr>
      </w:pPr>
      <w:r>
        <w:rPr>
          <w:rFonts w:ascii="Arial" w:hAnsi="Arial"/>
          <w:b w:val="false"/>
          <w:bCs w:val="false"/>
          <w:sz w:val="21"/>
          <w:szCs w:val="21"/>
        </w:rPr>
      </w:r>
    </w:p>
    <w:p>
      <w:pPr>
        <w:pStyle w:val="Normal"/>
        <w:jc w:val="both"/>
        <w:rPr>
          <w:rFonts w:ascii="Arial" w:hAnsi="Arial"/>
          <w:b w:val="false"/>
          <w:b w:val="false"/>
          <w:bCs w:val="false"/>
          <w:sz w:val="21"/>
          <w:szCs w:val="21"/>
        </w:rPr>
      </w:pPr>
      <w:r>
        <w:rPr/>
        <w:t>Le titulaire ne pourra refuser la reconduction.</w:t>
      </w:r>
    </w:p>
    <w:p>
      <w:pPr>
        <w:pStyle w:val="Normal"/>
        <w:jc w:val="both"/>
        <w:rPr/>
      </w:pPr>
      <w:r>
        <w:rPr/>
      </w:r>
    </w:p>
    <w:p>
      <w:pPr>
        <w:pStyle w:val="Normal"/>
        <w:jc w:val="both"/>
        <w:rPr>
          <w:b/>
          <w:b/>
          <w:bCs/>
          <w:sz w:val="24"/>
          <w:szCs w:val="24"/>
          <w:u w:val="single"/>
        </w:rPr>
      </w:pPr>
      <w:r>
        <w:rPr>
          <w:b/>
          <w:bCs/>
          <w:sz w:val="24"/>
          <w:szCs w:val="24"/>
          <w:u w:val="single"/>
        </w:rPr>
        <w:t>Délais d’exécution</w:t>
      </w:r>
    </w:p>
    <w:p>
      <w:pPr>
        <w:pStyle w:val="Normal"/>
        <w:jc w:val="both"/>
        <w:rPr/>
      </w:pPr>
      <w:r>
        <w:rPr/>
      </w:r>
    </w:p>
    <w:p>
      <w:pPr>
        <w:pStyle w:val="Normal"/>
        <w:jc w:val="both"/>
        <w:rPr/>
      </w:pPr>
      <w:r>
        <w:rPr/>
        <w:t>LOT 1</w:t>
      </w:r>
    </w:p>
    <w:p>
      <w:pPr>
        <w:pStyle w:val="Normal"/>
        <w:jc w:val="both"/>
        <w:rPr/>
      </w:pPr>
      <w:r>
        <w:rPr/>
        <w:t>Le délai de livraison maximum est fixé à 1 semaine</w:t>
      </w:r>
      <w:bookmarkStart w:id="17" w:name="_GoBack"/>
      <w:bookmarkEnd w:id="17"/>
      <w:r>
        <w:rPr/>
        <w:t xml:space="preserve"> à compter de la notification du bon de commande.</w:t>
      </w:r>
    </w:p>
    <w:p>
      <w:pPr>
        <w:pStyle w:val="Normal"/>
        <w:jc w:val="both"/>
        <w:rPr/>
      </w:pPr>
      <w:r>
        <w:rPr/>
      </w:r>
    </w:p>
    <w:p>
      <w:pPr>
        <w:pStyle w:val="Normal"/>
        <w:jc w:val="both"/>
        <w:rPr/>
      </w:pPr>
      <w:r>
        <w:rPr/>
        <w:t>LOT 2</w:t>
      </w:r>
    </w:p>
    <w:p>
      <w:pPr>
        <w:pStyle w:val="Normal"/>
        <w:jc w:val="both"/>
        <w:rPr/>
      </w:pPr>
      <w:r>
        <w:rPr/>
        <w:t>A titre indicatif, les fréquences de la collecte des déchets (lundi et jeudi) sont les suivantes :</w:t>
      </w:r>
    </w:p>
    <w:p>
      <w:pPr>
        <w:pStyle w:val="Normal"/>
        <w:jc w:val="both"/>
        <w:rPr>
          <w:rFonts w:ascii="Arial" w:hAnsi="Arial"/>
          <w:sz w:val="20"/>
          <w:szCs w:val="20"/>
        </w:rPr>
      </w:pPr>
      <w:r>
        <w:rPr>
          <w:rFonts w:ascii="Arial" w:hAnsi="Arial"/>
          <w:sz w:val="20"/>
          <w:szCs w:val="20"/>
        </w:rPr>
      </w:r>
    </w:p>
    <w:p>
      <w:pPr>
        <w:pStyle w:val="Normal"/>
        <w:numPr>
          <w:ilvl w:val="0"/>
          <w:numId w:val="5"/>
        </w:numPr>
        <w:jc w:val="both"/>
        <w:rPr/>
      </w:pPr>
      <w:r>
        <w:rPr/>
        <w:t>2 fois par semaine (sous forme liquide ou solide) ;</w:t>
      </w:r>
    </w:p>
    <w:p>
      <w:pPr>
        <w:pStyle w:val="Normal"/>
        <w:jc w:val="both"/>
        <w:rPr/>
      </w:pPr>
      <w:r>
        <w:rPr/>
      </w:r>
    </w:p>
    <w:p>
      <w:pPr>
        <w:pStyle w:val="Normal"/>
        <w:jc w:val="both"/>
        <w:rPr/>
      </w:pPr>
      <w:r>
        <w:rPr/>
        <w:t>Un planning semestriel sera établi dès la notification de l’accord-cadre. Le bon de commande tiendra compte de cette planification.</w:t>
      </w:r>
    </w:p>
    <w:p>
      <w:pPr>
        <w:pStyle w:val="Normal"/>
        <w:jc w:val="both"/>
        <w:rPr/>
      </w:pPr>
      <w:r>
        <w:rPr/>
      </w:r>
    </w:p>
    <w:p>
      <w:pPr>
        <w:pStyle w:val="Normal"/>
        <w:jc w:val="both"/>
        <w:rPr/>
      </w:pPr>
      <w:r>
        <w:rPr/>
        <w:t>Les bons de commande pourront être émis jusqu’au dernier jour de validité de l’accord-cadre.</w:t>
      </w:r>
    </w:p>
    <w:p>
      <w:pPr>
        <w:pStyle w:val="Normal"/>
        <w:jc w:val="both"/>
        <w:rPr/>
      </w:pPr>
      <w:r>
        <w:rPr/>
      </w:r>
    </w:p>
    <w:p>
      <w:pPr>
        <w:pStyle w:val="Normal"/>
        <w:jc w:val="both"/>
        <w:rPr/>
      </w:pPr>
      <w:r>
        <w:rPr/>
        <w:t>Leur durée d'exécution ne peut excéder 3 mois au-delà de la date de fin de validité de l’accord cadre.</w:t>
      </w:r>
    </w:p>
    <w:p>
      <w:pPr>
        <w:pStyle w:val="Normal"/>
        <w:jc w:val="both"/>
        <w:rPr/>
      </w:pPr>
      <w:r>
        <w:rPr/>
      </w:r>
    </w:p>
    <w:p>
      <w:pPr>
        <w:pStyle w:val="Normal"/>
        <w:jc w:val="both"/>
        <w:rPr/>
      </w:pPr>
      <w:r>
        <w:rPr/>
        <w:t>A titre indicatif, la date prévisionnelle de début des prestations est le 15/10/2020.</w:t>
      </w:r>
    </w:p>
    <w:p>
      <w:pPr>
        <w:pStyle w:val="Titre2"/>
        <w:numPr>
          <w:ilvl w:val="0"/>
          <w:numId w:val="0"/>
        </w:numPr>
        <w:tabs>
          <w:tab w:val="left" w:pos="567" w:leader="none"/>
        </w:tabs>
        <w:rPr/>
      </w:pPr>
      <w:bookmarkStart w:id="18" w:name="_Toc38526844"/>
      <w:bookmarkEnd w:id="18"/>
      <w:r>
        <w:rPr/>
        <w:t>2.4</w:t>
        <w:tab/>
        <w:t>Options (Prestations supplémentaires PSE)</w:t>
      </w:r>
    </w:p>
    <w:p>
      <w:pPr>
        <w:pStyle w:val="Normal"/>
        <w:jc w:val="both"/>
        <w:rPr/>
      </w:pPr>
      <w:r>
        <w:rPr/>
        <w:t>Sans objet</w:t>
      </w:r>
    </w:p>
    <w:p>
      <w:pPr>
        <w:pStyle w:val="Titre2"/>
        <w:numPr>
          <w:ilvl w:val="0"/>
          <w:numId w:val="0"/>
        </w:numPr>
        <w:tabs>
          <w:tab w:val="left" w:pos="567" w:leader="none"/>
        </w:tabs>
        <w:rPr/>
      </w:pPr>
      <w:bookmarkStart w:id="19" w:name="_Toc38526845"/>
      <w:bookmarkEnd w:id="19"/>
      <w:r>
        <w:rPr/>
        <w:t>2.5</w:t>
        <w:tab/>
        <w:t>Variantes</w:t>
      </w:r>
    </w:p>
    <w:p>
      <w:pPr>
        <w:pStyle w:val="Normal"/>
        <w:jc w:val="both"/>
        <w:rPr/>
      </w:pPr>
      <w:r>
        <w:rPr/>
        <w:t>Conformément à l’article R2151-8 du Code de la commande publique, les variantes ne sont pas autorisées.</w:t>
      </w:r>
    </w:p>
    <w:p>
      <w:pPr>
        <w:pStyle w:val="Titre2"/>
        <w:numPr>
          <w:ilvl w:val="0"/>
          <w:numId w:val="0"/>
        </w:numPr>
        <w:tabs>
          <w:tab w:val="left" w:pos="567" w:leader="none"/>
        </w:tabs>
        <w:rPr/>
      </w:pPr>
      <w:bookmarkStart w:id="20" w:name="_Toc38526846"/>
      <w:bookmarkEnd w:id="20"/>
      <w:r>
        <w:rPr/>
        <w:t>2.6</w:t>
        <w:tab/>
        <w:t>Clause obligatoire d’insertion par l’activité économique</w:t>
      </w:r>
    </w:p>
    <w:p>
      <w:pPr>
        <w:pStyle w:val="Normal"/>
        <w:jc w:val="both"/>
        <w:rPr/>
      </w:pPr>
      <w:r>
        <w:rPr/>
        <w:t>Les prestations ne sont pas réservées au profit d’entreprises ou d’établissements visés par les articles L2113-12 à L2113-16, R2113-7 et R2113-8 du Code de la commande publique.</w:t>
      </w:r>
    </w:p>
    <w:p>
      <w:pPr>
        <w:pStyle w:val="Titre2"/>
        <w:numPr>
          <w:ilvl w:val="0"/>
          <w:numId w:val="0"/>
        </w:numPr>
        <w:tabs>
          <w:tab w:val="left" w:pos="567" w:leader="none"/>
        </w:tabs>
        <w:rPr/>
      </w:pPr>
      <w:bookmarkStart w:id="21" w:name="_Toc38526847"/>
      <w:bookmarkEnd w:id="21"/>
      <w:r>
        <w:rPr/>
        <w:t>2.7</w:t>
        <w:tab/>
        <w:t>Groupements d’opérateurs économiques</w:t>
      </w:r>
    </w:p>
    <w:p>
      <w:pPr>
        <w:pStyle w:val="Normal"/>
        <w:jc w:val="both"/>
        <w:rPr/>
      </w:pPr>
      <w:r>
        <w:rPr/>
        <w:t>Conformément à l’article R.2142-19 du Code de la commande publique, les opérateurs économiques sont autorisés à se présenter en candidat unique ou dans le cadre d'un groupement conjoint ou solidaire.</w:t>
      </w:r>
    </w:p>
    <w:p>
      <w:pPr>
        <w:pStyle w:val="Normal"/>
        <w:jc w:val="both"/>
        <w:rPr/>
      </w:pPr>
      <w:r>
        <w:rPr/>
      </w:r>
    </w:p>
    <w:p>
      <w:pPr>
        <w:pStyle w:val="Normal"/>
        <w:jc w:val="both"/>
        <w:rPr/>
      </w:pPr>
      <w:r>
        <w:rPr/>
        <w:t>La forme du groupement après l'attribution du marché n'est pas imposée.</w:t>
      </w:r>
    </w:p>
    <w:p>
      <w:pPr>
        <w:pStyle w:val="Normal"/>
        <w:jc w:val="both"/>
        <w:rPr/>
      </w:pPr>
      <w:r>
        <w:rPr/>
      </w:r>
    </w:p>
    <w:p>
      <w:pPr>
        <w:pStyle w:val="Normal"/>
        <w:jc w:val="both"/>
        <w:rPr/>
      </w:pPr>
      <w:r>
        <w:rPr/>
      </w:r>
    </w:p>
    <w:p>
      <w:pPr>
        <w:pStyle w:val="Normal"/>
        <w:jc w:val="both"/>
        <w:rPr/>
      </w:pPr>
      <w:r>
        <w:rPr/>
        <w:t>Le mandataire du groupement conjoint sera solidaire pour l'exécution de l'accord-cadre de chacun des membres du groupement pour ses obligations contractuelles.</w:t>
      </w:r>
    </w:p>
    <w:p>
      <w:pPr>
        <w:pStyle w:val="Titre2"/>
        <w:numPr>
          <w:ilvl w:val="0"/>
          <w:numId w:val="0"/>
        </w:numPr>
        <w:tabs>
          <w:tab w:val="left" w:pos="567" w:leader="none"/>
        </w:tabs>
        <w:rPr/>
      </w:pPr>
      <w:bookmarkStart w:id="22" w:name="_Toc38526848"/>
      <w:bookmarkEnd w:id="22"/>
      <w:r>
        <w:rPr/>
        <w:t>2.8</w:t>
        <w:tab/>
        <w:t>Conditions relatives à l’accord-cadre</w:t>
      </w:r>
    </w:p>
    <w:p>
      <w:pPr>
        <w:pStyle w:val="Titre3"/>
        <w:numPr>
          <w:ilvl w:val="0"/>
          <w:numId w:val="0"/>
        </w:numPr>
        <w:tabs>
          <w:tab w:val="left" w:pos="567" w:leader="none"/>
        </w:tabs>
        <w:rPr/>
      </w:pPr>
      <w:bookmarkStart w:id="23" w:name="_Toc38526849"/>
      <w:bookmarkEnd w:id="23"/>
      <w:r>
        <w:rPr/>
        <w:t>2.8.1</w:t>
        <w:tab/>
        <w:t>Cautionnement et garanties exigées</w:t>
      </w:r>
    </w:p>
    <w:p>
      <w:pPr>
        <w:pStyle w:val="Normal"/>
        <w:jc w:val="both"/>
        <w:rPr/>
      </w:pPr>
      <w:r>
        <w:rPr/>
        <w:t>Pas de cautionnement, ni de garantie demandés au titre des articles R2191-32 à 42 du Code de la commande publique.</w:t>
      </w:r>
    </w:p>
    <w:p>
      <w:pPr>
        <w:pStyle w:val="Titre3"/>
        <w:numPr>
          <w:ilvl w:val="0"/>
          <w:numId w:val="0"/>
        </w:numPr>
        <w:tabs>
          <w:tab w:val="left" w:pos="567" w:leader="none"/>
        </w:tabs>
        <w:rPr/>
      </w:pPr>
      <w:bookmarkStart w:id="24" w:name="_Toc38526850"/>
      <w:bookmarkEnd w:id="24"/>
      <w:r>
        <w:rPr/>
        <w:t>2.8.2</w:t>
        <w:tab/>
        <w:t>Avance</w:t>
      </w:r>
    </w:p>
    <w:p>
      <w:pPr>
        <w:pStyle w:val="Normal"/>
        <w:jc w:val="both"/>
        <w:rPr/>
      </w:pPr>
      <w:r>
        <w:rPr/>
        <w:t>Sans objet</w:t>
      </w:r>
    </w:p>
    <w:p>
      <w:pPr>
        <w:pStyle w:val="Titre3"/>
        <w:numPr>
          <w:ilvl w:val="0"/>
          <w:numId w:val="0"/>
        </w:numPr>
        <w:tabs>
          <w:tab w:val="left" w:pos="567" w:leader="none"/>
        </w:tabs>
        <w:rPr/>
      </w:pPr>
      <w:bookmarkStart w:id="25" w:name="_Toc38526851"/>
      <w:bookmarkEnd w:id="25"/>
      <w:r>
        <w:rPr/>
        <w:t>2.8.3</w:t>
        <w:tab/>
        <w:t>Modalités essentielles de financement et de paiement</w:t>
      </w:r>
    </w:p>
    <w:p>
      <w:pPr>
        <w:pStyle w:val="Normal"/>
        <w:jc w:val="both"/>
        <w:rPr/>
      </w:pPr>
      <w:r>
        <w:rPr/>
        <w:t>Le marché est financé par ressources budgétaires propres.</w:t>
      </w:r>
    </w:p>
    <w:p>
      <w:pPr>
        <w:pStyle w:val="Normal"/>
        <w:jc w:val="both"/>
        <w:rPr/>
      </w:pPr>
      <w:r>
        <w:rPr/>
        <w:t>Les règlements seront effectués par virement bancaire dans un délai de 30 jours.</w:t>
      </w:r>
    </w:p>
    <w:p>
      <w:pPr>
        <w:pStyle w:val="Normal"/>
        <w:jc w:val="both"/>
        <w:rPr/>
      </w:pPr>
      <w:r>
        <w:rPr/>
      </w:r>
    </w:p>
    <w:p>
      <w:pPr>
        <w:pStyle w:val="Normal"/>
        <w:jc w:val="both"/>
        <w:rPr/>
      </w:pPr>
      <w:r>
        <w:rPr/>
        <w:t>La référence du ou des comptes bancaires où les paiements devront être effectués, doit être précisée dans l'acte d'engagement.</w:t>
      </w:r>
    </w:p>
    <w:p>
      <w:pPr>
        <w:pStyle w:val="Normal"/>
        <w:jc w:val="both"/>
        <w:rPr/>
      </w:pPr>
      <w:r>
        <w:rPr/>
      </w:r>
    </w:p>
    <w:p>
      <w:pPr>
        <w:pStyle w:val="Normal"/>
        <w:jc w:val="both"/>
        <w:rPr/>
      </w:pPr>
      <w:r>
        <w:rPr/>
        <w:t>Le marché est conclu à prix unitaires.</w:t>
      </w:r>
    </w:p>
    <w:p>
      <w:pPr>
        <w:pStyle w:val="Normal"/>
        <w:jc w:val="both"/>
        <w:rPr/>
      </w:pPr>
      <w:r>
        <w:rPr/>
        <w:t>Le marché est conclu à prix révisables.</w:t>
      </w:r>
    </w:p>
    <w:p>
      <w:pPr>
        <w:pStyle w:val="Titre1"/>
        <w:numPr>
          <w:ilvl w:val="0"/>
          <w:numId w:val="0"/>
        </w:numPr>
        <w:shd w:val="clear" w:fill="CCCCCC"/>
        <w:tabs>
          <w:tab w:val="left" w:pos="567" w:leader="none"/>
          <w:tab w:val="left" w:pos="1185" w:leader="none"/>
          <w:tab w:val="left" w:pos="1695" w:leader="none"/>
          <w:tab w:val="left" w:pos="3349" w:leader="none"/>
        </w:tabs>
        <w:rPr/>
      </w:pPr>
      <w:bookmarkStart w:id="26" w:name="_Toc38526852"/>
      <w:bookmarkEnd w:id="26"/>
      <w:r>
        <w:rPr/>
        <w:t>ARTICLE 3</w:t>
        <w:tab/>
        <w:t>DOSSIER DE CONSULTATION DES ENTREPRISES (DCE)</w:t>
      </w:r>
    </w:p>
    <w:p>
      <w:pPr>
        <w:pStyle w:val="Normal"/>
        <w:jc w:val="both"/>
        <w:rPr/>
      </w:pPr>
      <w:r>
        <w:rPr/>
        <w:t>Le Dossier de Consultation des Entreprises (DCE) est remis gratuitement à chaque candidat. Il est disponible à l'adresse électronique suivante : marchespublics.mairie-marseille.fr.</w:t>
      </w:r>
    </w:p>
    <w:p>
      <w:pPr>
        <w:pStyle w:val="Normal"/>
        <w:jc w:val="both"/>
        <w:rPr/>
      </w:pPr>
      <w:r>
        <w:rPr/>
      </w:r>
    </w:p>
    <w:p>
      <w:pPr>
        <w:pStyle w:val="Normal"/>
        <w:jc w:val="both"/>
        <w:rPr/>
      </w:pPr>
      <w:r>
        <w:rPr/>
        <w:t>Il ne sera transmis aucun DCE sur support physique.</w:t>
      </w:r>
    </w:p>
    <w:p>
      <w:pPr>
        <w:pStyle w:val="Normal"/>
        <w:jc w:val="both"/>
        <w:rPr/>
      </w:pPr>
      <w:r>
        <w:rPr/>
      </w:r>
    </w:p>
    <w:p>
      <w:pPr>
        <w:pStyle w:val="Normal"/>
        <w:jc w:val="both"/>
        <w:rPr/>
      </w:pPr>
      <w:r>
        <w:rPr/>
        <w:t>Le DCE comporte les documents suivants :</w:t>
      </w:r>
    </w:p>
    <w:p>
      <w:pPr>
        <w:pStyle w:val="Normal"/>
        <w:jc w:val="both"/>
        <w:rPr/>
      </w:pPr>
      <w:r>
        <w:rPr/>
      </w:r>
    </w:p>
    <w:p>
      <w:pPr>
        <w:pStyle w:val="Normal"/>
        <w:jc w:val="both"/>
        <w:rPr/>
      </w:pPr>
      <w:r>
        <w:rPr/>
        <w:t>- le présent Règlement de la Consultation (RC) et ses annexes (DC1, DC2, Guide de la dématérialisation des marchés publics)</w:t>
      </w:r>
    </w:p>
    <w:p>
      <w:pPr>
        <w:pStyle w:val="Normal"/>
        <w:jc w:val="both"/>
        <w:rPr/>
      </w:pPr>
      <w:r>
        <w:rPr/>
        <w:t>- L'Acte d'Engagement (AE) et ses annexes (Traitement des données personnelles et comportant une partie à compléter par les candidats) propre à chaque lot</w:t>
      </w:r>
    </w:p>
    <w:p>
      <w:pPr>
        <w:pStyle w:val="Normal"/>
        <w:jc w:val="both"/>
        <w:rPr/>
      </w:pPr>
      <w:r>
        <w:rPr/>
        <w:t>- Le Bordereau de Prix Unitaires (BPU) de chaque lot</w:t>
      </w:r>
    </w:p>
    <w:p>
      <w:pPr>
        <w:pStyle w:val="Normal"/>
        <w:jc w:val="both"/>
        <w:rPr/>
      </w:pPr>
      <w:r>
        <w:rPr/>
        <w:t>- le Détail quantitatif et Estimatif (DQE) de chaque lot</w:t>
      </w:r>
    </w:p>
    <w:p>
      <w:pPr>
        <w:pStyle w:val="Normal"/>
        <w:jc w:val="both"/>
        <w:rPr/>
      </w:pPr>
      <w:r>
        <w:rPr/>
        <w:t>- le Cahier des Clauses Administratives Particulières (CCAP) commun à tous les lots</w:t>
      </w:r>
    </w:p>
    <w:p>
      <w:pPr>
        <w:pStyle w:val="Normal"/>
        <w:jc w:val="both"/>
        <w:rPr/>
      </w:pPr>
      <w:r>
        <w:rPr/>
        <w:t>- le Cahier des Clauses Techniques Particulières (CCTP) commun à tous les lots</w:t>
      </w:r>
    </w:p>
    <w:p>
      <w:pPr>
        <w:pStyle w:val="Titre1"/>
        <w:numPr>
          <w:ilvl w:val="0"/>
          <w:numId w:val="0"/>
        </w:numPr>
        <w:shd w:val="clear" w:fill="CCCCCC"/>
        <w:tabs>
          <w:tab w:val="left" w:pos="567" w:leader="none"/>
          <w:tab w:val="left" w:pos="1140" w:leader="none"/>
          <w:tab w:val="left" w:pos="1695" w:leader="none"/>
          <w:tab w:val="left" w:pos="3349" w:leader="none"/>
        </w:tabs>
        <w:rPr/>
      </w:pPr>
      <w:bookmarkStart w:id="27" w:name="_Toc38526853"/>
      <w:bookmarkEnd w:id="27"/>
      <w:r>
        <w:rPr/>
        <w:t>ARTICLE 4</w:t>
        <w:tab/>
        <w:t>PRESENTATION DES CANDIDATURES ET DES OFFRES</w:t>
      </w:r>
    </w:p>
    <w:p>
      <w:pPr>
        <w:pStyle w:val="Normal"/>
        <w:jc w:val="both"/>
        <w:rPr/>
      </w:pPr>
      <w:r>
        <w:rPr/>
        <w:t>La candidature et l'offre seront entièrement rédigées en langue française et exprimées en euros.</w:t>
      </w:r>
    </w:p>
    <w:p>
      <w:pPr>
        <w:pStyle w:val="Standard"/>
        <w:jc w:val="both"/>
        <w:rPr/>
      </w:pPr>
      <w:r>
        <w:rPr/>
      </w:r>
    </w:p>
    <w:p>
      <w:pPr>
        <w:pStyle w:val="Normal"/>
        <w:jc w:val="both"/>
        <w:rPr/>
      </w:pPr>
      <w:r>
        <w:rPr/>
        <w:t>Si les documents fournis par le candidat ne sont pas rédigés en langue française, l'acheteur exige que ces documents soient accompagnés d'une traduction en français.</w:t>
      </w:r>
    </w:p>
    <w:p>
      <w:pPr>
        <w:pStyle w:val="Normal"/>
        <w:jc w:val="both"/>
        <w:rPr/>
      </w:pPr>
      <w:r>
        <w:rPr/>
      </w:r>
    </w:p>
    <w:p>
      <w:pPr>
        <w:pStyle w:val="Normal"/>
        <w:jc w:val="both"/>
        <w:rPr/>
      </w:pPr>
      <w:r>
        <w:rPr/>
        <w:t>Le candidat devra fournir un dossier complet constitué des pièces suivantes :</w:t>
      </w:r>
    </w:p>
    <w:p>
      <w:pPr>
        <w:pStyle w:val="Normal"/>
        <w:jc w:val="both"/>
        <w:rPr/>
      </w:pPr>
      <w:r>
        <w:rPr/>
      </w:r>
    </w:p>
    <w:p>
      <w:pPr>
        <w:pStyle w:val="Titre2"/>
        <w:numPr>
          <w:ilvl w:val="0"/>
          <w:numId w:val="0"/>
        </w:numPr>
        <w:tabs>
          <w:tab w:val="left" w:pos="567" w:leader="none"/>
        </w:tabs>
        <w:rPr/>
      </w:pPr>
      <w:bookmarkStart w:id="28" w:name="_Toc38526854"/>
      <w:bookmarkEnd w:id="28"/>
      <w:r>
        <w:rPr/>
        <w:t>4.1</w:t>
        <w:tab/>
        <w:t>Pièces de la candidature</w:t>
      </w:r>
    </w:p>
    <w:p>
      <w:pPr>
        <w:pStyle w:val="Normal"/>
        <w:jc w:val="both"/>
        <w:rPr/>
      </w:pPr>
      <w:r>
        <w:rPr>
          <w:b/>
          <w:bCs/>
        </w:rPr>
        <w:t>Situation juridique</w:t>
      </w:r>
      <w:r>
        <w:rPr/>
        <w:t xml:space="preserve"> :</w:t>
      </w:r>
    </w:p>
    <w:p>
      <w:pPr>
        <w:pStyle w:val="Normal"/>
        <w:jc w:val="both"/>
        <w:rPr/>
      </w:pPr>
      <w:r>
        <w:rPr/>
      </w:r>
    </w:p>
    <w:p>
      <w:pPr>
        <w:pStyle w:val="Normal"/>
        <w:jc w:val="both"/>
        <w:rPr/>
      </w:pPr>
      <w:r>
        <w:rPr/>
        <w:t>Les déclarations, certificats et attestations aux R. 2142-1, R. 2143-3 et R. 2143-11 du Code de la commande publique permettant de vérifier que le candidat satisfait aux conditions de participation à la consultation (ces documents devront être fournis pour chacun des membres du groupement éventuel) :</w:t>
      </w:r>
    </w:p>
    <w:p>
      <w:pPr>
        <w:pStyle w:val="Normal"/>
        <w:jc w:val="both"/>
        <w:rPr/>
      </w:pPr>
      <w:r>
        <w:rPr/>
      </w:r>
    </w:p>
    <w:p>
      <w:pPr>
        <w:pStyle w:val="Normal"/>
        <w:numPr>
          <w:ilvl w:val="0"/>
          <w:numId w:val="3"/>
        </w:numPr>
        <w:jc w:val="both"/>
        <w:rPr/>
      </w:pPr>
      <w:r>
        <w:rPr>
          <w:b/>
        </w:rPr>
        <w:t>Une lettre de candidature</w:t>
      </w:r>
      <w:r>
        <w:rPr/>
        <w:t xml:space="preserve"> (sur papier libre, DUME, ou DC1 transmis en annexe) comprenant l'identification du candidat, l'objet du marché (et le numéro du lot, le cas échéant).</w:t>
      </w:r>
    </w:p>
    <w:p>
      <w:pPr>
        <w:pStyle w:val="Normal"/>
        <w:jc w:val="both"/>
        <w:rPr/>
      </w:pPr>
      <w:r>
        <w:rPr/>
        <w:t>Pour une soumission en groupement, les candidats indiqueront, par tous les moyens à leur convenance, la forme de leur groupement, l'identification des membres du groupement, ainsi que la désignation du mandataire.</w:t>
      </w:r>
    </w:p>
    <w:p>
      <w:pPr>
        <w:pStyle w:val="Normal"/>
        <w:jc w:val="both"/>
        <w:rPr/>
      </w:pPr>
      <w:r>
        <w:rPr/>
      </w:r>
    </w:p>
    <w:p>
      <w:pPr>
        <w:pStyle w:val="Normal"/>
        <w:numPr>
          <w:ilvl w:val="0"/>
          <w:numId w:val="2"/>
        </w:numPr>
        <w:jc w:val="both"/>
        <w:rPr/>
      </w:pPr>
      <w:r>
        <w:rPr>
          <w:b/>
        </w:rPr>
        <w:t>Une déclaration sur l'honneur</w:t>
      </w:r>
      <w:r>
        <w:rPr/>
        <w:t xml:space="preserve"> (sur papier libre, DUME ou DC1 transmis en annexe), pour justifier qu'il n'entre dans aucun des cas mentionnés aux articles L. 2141-1 et suivants et L. 2141-7 et suivants du Code de la commande publique et notamment qu'il est en règle au regard des articles L. 5212-1 à L. 5212-11 du code du travail concernant l'emploi des travailleurs handicapés.</w:t>
      </w:r>
    </w:p>
    <w:p>
      <w:pPr>
        <w:pStyle w:val="Normal"/>
        <w:jc w:val="both"/>
        <w:rPr/>
      </w:pPr>
      <w:r>
        <w:rPr/>
      </w:r>
    </w:p>
    <w:p>
      <w:pPr>
        <w:pStyle w:val="Normal"/>
        <w:jc w:val="both"/>
        <w:rPr/>
      </w:pPr>
      <w:r>
        <w:rPr>
          <w:b/>
          <w:u w:val="single"/>
        </w:rPr>
        <w:t>Capacités financières</w:t>
      </w:r>
      <w:r>
        <w:rPr/>
        <w:t xml:space="preserve"> :</w:t>
      </w:r>
    </w:p>
    <w:p>
      <w:pPr>
        <w:pStyle w:val="Normal"/>
        <w:jc w:val="both"/>
        <w:rPr/>
      </w:pPr>
      <w:r>
        <w:rPr/>
      </w:r>
    </w:p>
    <w:p>
      <w:pPr>
        <w:pStyle w:val="Normal"/>
        <w:jc w:val="both"/>
        <w:rPr/>
      </w:pPr>
      <w:r>
        <w:rPr/>
        <w:t>Conformément aux dispositions de l'article 2.II de l'arrêté du 22 mars 2019, si le candidat n'est pas en mesure de produire les renseignements et documents demandés ci-dessous, il est autorisé à prouver sa capacité économique ou financière par tout autre moyen considéré comme approprié par l'acheteur.</w:t>
      </w:r>
    </w:p>
    <w:p>
      <w:pPr>
        <w:pStyle w:val="Normal"/>
        <w:jc w:val="both"/>
        <w:rPr/>
      </w:pPr>
      <w:r>
        <w:rPr/>
      </w:r>
    </w:p>
    <w:p>
      <w:pPr>
        <w:pStyle w:val="Normal"/>
        <w:numPr>
          <w:ilvl w:val="0"/>
          <w:numId w:val="2"/>
        </w:numPr>
        <w:jc w:val="both"/>
        <w:rPr/>
      </w:pPr>
      <w:r>
        <w:rPr>
          <w:b/>
        </w:rPr>
        <w:t xml:space="preserve">Déclaration concernant le chiffre d'affaires global et le chiffre d'affaires du domaine d'activité, portant sur les trois derniers exercices disponibles </w:t>
      </w:r>
      <w:r>
        <w:rPr/>
        <w:t>en fonction de la date de création de l'entreprise ou du début d'activité de l'opérateur économique, dans la mesure où les informations sur ces chiffres d'affaires sont disponibles (sur papier libre, DUME</w:t>
      </w:r>
      <w:r>
        <w:rPr>
          <w:color w:val="FF0000"/>
        </w:rPr>
        <w:t xml:space="preserve"> </w:t>
      </w:r>
      <w:r>
        <w:rPr/>
        <w:t>ou DC2 transmis en annexe).</w:t>
      </w:r>
    </w:p>
    <w:p>
      <w:pPr>
        <w:pStyle w:val="Normal"/>
        <w:jc w:val="both"/>
        <w:rPr/>
      </w:pPr>
      <w:r>
        <w:rPr/>
      </w:r>
    </w:p>
    <w:p>
      <w:pPr>
        <w:pStyle w:val="Normal"/>
        <w:jc w:val="both"/>
        <w:rPr/>
      </w:pPr>
      <w:r>
        <w:rPr>
          <w:b/>
          <w:u w:val="single"/>
        </w:rPr>
        <w:t>Capacités professionnelles et techniques</w:t>
      </w:r>
      <w:r>
        <w:rPr/>
        <w:t xml:space="preserve"> :</w:t>
      </w:r>
    </w:p>
    <w:p>
      <w:pPr>
        <w:pStyle w:val="Normal"/>
        <w:jc w:val="both"/>
        <w:rPr/>
      </w:pPr>
      <w:r>
        <w:rPr/>
      </w:r>
    </w:p>
    <w:p>
      <w:pPr>
        <w:pStyle w:val="Normal"/>
        <w:jc w:val="both"/>
        <w:rPr/>
      </w:pPr>
      <w:r>
        <w:rPr/>
        <w:t>Conformément aux dispositions de l'article 3.I de l'arrêté du 22 mars 2019, le candidat ne peut apporter d'autres moyens de preuve que les renseignements ou documents suivants :</w:t>
      </w:r>
    </w:p>
    <w:p>
      <w:pPr>
        <w:pStyle w:val="Normal"/>
        <w:jc w:val="both"/>
        <w:rPr/>
      </w:pPr>
      <w:r>
        <w:rPr/>
      </w:r>
    </w:p>
    <w:p>
      <w:pPr>
        <w:pStyle w:val="Normal"/>
        <w:numPr>
          <w:ilvl w:val="0"/>
          <w:numId w:val="2"/>
        </w:numPr>
        <w:jc w:val="both"/>
        <w:rPr/>
      </w:pPr>
      <w:r>
        <w:rPr>
          <w:b/>
        </w:rPr>
        <w:t>Liste des principaux services</w:t>
      </w:r>
      <w:r>
        <w:rPr/>
        <w:t xml:space="preserve"> </w:t>
      </w:r>
      <w:r>
        <w:rPr>
          <w:b/>
        </w:rPr>
        <w:t>et/ou fournitures</w:t>
      </w:r>
      <w:r>
        <w:rPr/>
        <w:t xml:space="preserve"> </w:t>
      </w:r>
      <w:r>
        <w:rPr>
          <w:b/>
        </w:rPr>
        <w:t>effectué(e)s au cours des trois dernières années indiquant le montant, la date et le destinataire public ou privé.</w:t>
      </w:r>
    </w:p>
    <w:p>
      <w:pPr>
        <w:pStyle w:val="Normal"/>
        <w:jc w:val="both"/>
        <w:rPr/>
      </w:pPr>
      <w:r>
        <w:rPr/>
        <w:t>Les livraisons/services sont prouvé(e)s par des attestations du destinataire ou, à défaut, par une déclaration de l'opérateur économique.</w:t>
      </w:r>
    </w:p>
    <w:p>
      <w:pPr>
        <w:pStyle w:val="Normal"/>
        <w:jc w:val="both"/>
        <w:rPr/>
      </w:pPr>
      <w:r>
        <w:rPr/>
      </w:r>
    </w:p>
    <w:p>
      <w:pPr>
        <w:pStyle w:val="Normal"/>
        <w:numPr>
          <w:ilvl w:val="0"/>
          <w:numId w:val="2"/>
        </w:numPr>
        <w:jc w:val="both"/>
        <w:rPr>
          <w:b/>
          <w:b/>
          <w:bCs/>
        </w:rPr>
      </w:pPr>
      <w:r>
        <w:rPr>
          <w:b/>
          <w:bCs/>
        </w:rPr>
        <w:t>Documents aux fins de vérification de l’aptitude à exercer l’activité professionnelle</w:t>
      </w:r>
    </w:p>
    <w:p>
      <w:pPr>
        <w:pStyle w:val="Normal"/>
        <w:jc w:val="both"/>
        <w:rPr/>
      </w:pPr>
      <w:r>
        <w:rPr/>
      </w:r>
    </w:p>
    <w:p>
      <w:pPr>
        <w:pStyle w:val="Normal"/>
        <w:jc w:val="both"/>
        <w:rPr>
          <w:b/>
          <w:b/>
          <w:bCs/>
          <w:sz w:val="24"/>
          <w:szCs w:val="24"/>
        </w:rPr>
      </w:pPr>
      <w:r>
        <w:rPr>
          <w:b/>
          <w:bCs/>
          <w:sz w:val="24"/>
          <w:szCs w:val="24"/>
        </w:rPr>
        <w:t>Lot n° 2</w:t>
      </w:r>
    </w:p>
    <w:p>
      <w:pPr>
        <w:pStyle w:val="Normal"/>
        <w:jc w:val="both"/>
        <w:rPr/>
      </w:pPr>
      <w:r>
        <w:rPr/>
        <w:t>Le candidat devra impérativement justifier des agréments suivants pour l’exécution de cet accord-cadre :</w:t>
      </w:r>
    </w:p>
    <w:p>
      <w:pPr>
        <w:pStyle w:val="Normal"/>
        <w:jc w:val="both"/>
        <w:rPr/>
      </w:pPr>
      <w:r>
        <w:rPr/>
        <w:t>-Documents liés aux exigences de l’ADR : Autorisation préfectorale de transport de déchets en cours de validité</w:t>
      </w:r>
    </w:p>
    <w:p>
      <w:pPr>
        <w:pStyle w:val="Normal"/>
        <w:jc w:val="both"/>
        <w:rPr/>
      </w:pPr>
      <w:r>
        <w:rPr/>
        <w:t>-L’autorisation de stockage et de traitement des déchets</w:t>
      </w:r>
    </w:p>
    <w:p>
      <w:pPr>
        <w:pStyle w:val="Normal"/>
        <w:jc w:val="both"/>
        <w:rPr/>
      </w:pPr>
      <w:r>
        <w:rPr/>
        <w:t>L’acheteur accepte tout moyen de preuve équivalent ainsi que les certificats équivalent d’organismes établis dans d’autres Etats membres.</w:t>
      </w:r>
    </w:p>
    <w:p>
      <w:pPr>
        <w:pStyle w:val="Normal"/>
        <w:jc w:val="both"/>
        <w:rPr/>
      </w:pPr>
      <w:r>
        <w:rPr/>
      </w:r>
    </w:p>
    <w:p>
      <w:pPr>
        <w:pStyle w:val="Normal"/>
        <w:jc w:val="both"/>
        <w:rPr/>
      </w:pPr>
      <w:r>
        <w:rPr/>
      </w:r>
    </w:p>
    <w:p>
      <w:pPr>
        <w:pStyle w:val="Normal"/>
        <w:jc w:val="both"/>
        <w:rPr>
          <w:b/>
          <w:b/>
          <w:bCs/>
          <w:u w:val="single"/>
        </w:rPr>
      </w:pPr>
      <w:r>
        <w:rPr>
          <w:b/>
          <w:bCs/>
          <w:u w:val="single"/>
        </w:rPr>
        <w:t>Dispositions communes aux capacités financières, professionnelles et techniques</w:t>
      </w:r>
    </w:p>
    <w:p>
      <w:pPr>
        <w:pStyle w:val="Normal"/>
        <w:jc w:val="both"/>
        <w:rPr/>
      </w:pPr>
      <w:r>
        <w:rPr/>
      </w:r>
    </w:p>
    <w:p>
      <w:pPr>
        <w:pStyle w:val="Normal"/>
        <w:jc w:val="both"/>
        <w:rPr/>
      </w:pPr>
      <w:r>
        <w:rPr/>
        <w:t>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 entre ces opérateurs et lui. Dans ce cas, il justifie des capacités de ce ou ces opérateurs économiques et apporte la preuve qu'il en disposera pour l'exécution du marché.</w:t>
      </w:r>
    </w:p>
    <w:p>
      <w:pPr>
        <w:pStyle w:val="Normal"/>
        <w:jc w:val="both"/>
        <w:rPr/>
      </w:pPr>
      <w:r>
        <w:rPr/>
      </w:r>
    </w:p>
    <w:p>
      <w:pPr>
        <w:pStyle w:val="Normal"/>
        <w:jc w:val="both"/>
        <w:rPr/>
      </w:pPr>
      <w:r>
        <w:rPr/>
        <w:t>Pour les entreprises nouvellement créées, le candidat pourra fournir, comme « preuve par équivalence », tous les éléments susceptibles de permettre d'apprécier leurs moyens (humains, techniques, financiers) pour assurer les prestations. L'acheteur appréciera le caractère suffisant ou non des documents présentés.</w:t>
      </w:r>
    </w:p>
    <w:p>
      <w:pPr>
        <w:pStyle w:val="Normal"/>
        <w:jc w:val="both"/>
        <w:rPr/>
      </w:pPr>
      <w:r>
        <w:rPr/>
      </w:r>
    </w:p>
    <w:p>
      <w:pPr>
        <w:pStyle w:val="Normal"/>
        <w:jc w:val="both"/>
        <w:rPr/>
      </w:pPr>
      <w:r>
        <w:rPr/>
        <w:t>Les modalités d’utilisation sont précisées dans le guide de la dématérialisation joint au présent règlement de consultation.</w:t>
      </w:r>
    </w:p>
    <w:p>
      <w:pPr>
        <w:pStyle w:val="Titre2"/>
        <w:numPr>
          <w:ilvl w:val="0"/>
          <w:numId w:val="0"/>
        </w:numPr>
        <w:tabs>
          <w:tab w:val="left" w:pos="567" w:leader="none"/>
        </w:tabs>
        <w:rPr/>
      </w:pPr>
      <w:bookmarkStart w:id="29" w:name="_Toc38526855"/>
      <w:bookmarkEnd w:id="29"/>
      <w:r>
        <w:rPr/>
        <w:t>4.2</w:t>
        <w:tab/>
        <w:t>Pièces de l'offre</w:t>
      </w:r>
    </w:p>
    <w:p>
      <w:pPr>
        <w:pStyle w:val="Normal"/>
        <w:jc w:val="both"/>
        <w:rPr/>
      </w:pPr>
      <w:r>
        <w:rPr/>
        <w:t>La signature de l’offre n’est pas requise lors de la remise de l’offre.</w:t>
      </w:r>
    </w:p>
    <w:p>
      <w:pPr>
        <w:pStyle w:val="Normal"/>
        <w:jc w:val="both"/>
        <w:rPr/>
      </w:pPr>
      <w:r>
        <w:rPr/>
      </w:r>
    </w:p>
    <w:p>
      <w:pPr>
        <w:pStyle w:val="Normal"/>
        <w:jc w:val="both"/>
        <w:rPr/>
      </w:pPr>
      <w:r>
        <w:rPr/>
        <w:t>Seul l’acte d’engagement devra être signé par l’opérateur ou le groupement auquel il est envisagé d’attribuer l’accord-cadre.</w:t>
      </w:r>
    </w:p>
    <w:p>
      <w:pPr>
        <w:pStyle w:val="Normal"/>
        <w:jc w:val="both"/>
        <w:rPr/>
      </w:pPr>
      <w:r>
        <w:rPr/>
      </w:r>
    </w:p>
    <w:p>
      <w:pPr>
        <w:pStyle w:val="Normal"/>
        <w:jc w:val="both"/>
        <w:rPr/>
      </w:pPr>
      <w:r>
        <w:rPr/>
        <w:t>Le candidat peut cependant choisir de signer l’acte d’engagement dès le dépôt de son offre. Les modalités de signature sont indiquées dans le guide de la dématérialisation joint au présent règlement de consultation.</w:t>
      </w:r>
    </w:p>
    <w:p>
      <w:pPr>
        <w:pStyle w:val="Titre3"/>
        <w:numPr>
          <w:ilvl w:val="0"/>
          <w:numId w:val="0"/>
        </w:numPr>
        <w:tabs>
          <w:tab w:val="left" w:pos="567" w:leader="none"/>
        </w:tabs>
        <w:rPr/>
      </w:pPr>
      <w:bookmarkStart w:id="30" w:name="_Toc38526856"/>
      <w:bookmarkEnd w:id="30"/>
      <w:r>
        <w:rPr/>
        <w:t>4.2.1</w:t>
        <w:tab/>
        <w:t>Présentation de l’offre</w:t>
      </w:r>
    </w:p>
    <w:p>
      <w:pPr>
        <w:pStyle w:val="Normal"/>
        <w:jc w:val="both"/>
        <w:rPr/>
      </w:pPr>
      <w:r>
        <w:rPr>
          <w:b/>
          <w:u w:val="single"/>
        </w:rPr>
        <w:t>Pour chacun des lots soumissionnés</w:t>
      </w:r>
      <w:r>
        <w:rPr/>
        <w:t>, le candidat aura à produire les pièces suivantes :</w:t>
      </w:r>
    </w:p>
    <w:p>
      <w:pPr>
        <w:pStyle w:val="Normal"/>
        <w:jc w:val="both"/>
        <w:rPr/>
      </w:pPr>
      <w:r>
        <w:rPr/>
      </w:r>
    </w:p>
    <w:p>
      <w:pPr>
        <w:pStyle w:val="Normal"/>
        <w:numPr>
          <w:ilvl w:val="0"/>
          <w:numId w:val="2"/>
        </w:numPr>
        <w:jc w:val="both"/>
        <w:rPr/>
      </w:pPr>
      <w:r>
        <w:rPr/>
        <w:t>L'acte d'engagement complété</w:t>
      </w:r>
    </w:p>
    <w:p>
      <w:pPr>
        <w:pStyle w:val="Normal"/>
        <w:jc w:val="both"/>
        <w:rPr/>
      </w:pPr>
      <w:r>
        <w:rPr/>
      </w:r>
    </w:p>
    <w:p>
      <w:pPr>
        <w:pStyle w:val="Normal"/>
        <w:jc w:val="both"/>
        <w:rPr/>
      </w:pPr>
      <w:r>
        <w:rPr/>
        <w:t>En cas de groupement conjoint, devra être indiquée très clairement la répartition des prestations entre le mandataire et ses co-traitants (tableau à établir par le candidat).</w:t>
      </w:r>
    </w:p>
    <w:p>
      <w:pPr>
        <w:pStyle w:val="Normal"/>
        <w:jc w:val="both"/>
        <w:rPr/>
      </w:pPr>
      <w:r>
        <w:rPr/>
        <w:t>En cas de groupement solidaire, identifier le mandataire et donner un relevé IBAN/BIC au nom des différentes entreprises du groupement sauf dispositions contraires prévues expressément (répartition des tâches par entreprise) dans le dossier. Dans le cas où le relevé IBAN/BIC est au nom du mandataire, il doit y avoir une habilitation en faveur du mandataire.</w:t>
      </w:r>
    </w:p>
    <w:p>
      <w:pPr>
        <w:pStyle w:val="Normal"/>
        <w:jc w:val="both"/>
        <w:rPr/>
      </w:pPr>
      <w:r>
        <w:rPr/>
      </w:r>
    </w:p>
    <w:p>
      <w:pPr>
        <w:pStyle w:val="Normal"/>
        <w:jc w:val="both"/>
        <w:rPr/>
      </w:pPr>
      <w:r>
        <w:rPr>
          <w:b/>
        </w:rPr>
        <w:t>Nota Bene</w:t>
      </w:r>
      <w:r>
        <w:rPr/>
        <w:t xml:space="preserve"> : l'annexe à l'acte d'engagement concernant la "Protection des données“ est facultative au moment du dépôt de l'offre, mais elle sera exigée pour l'attributaire, si ce dernier ne l'a pas déjà remise dans son offre.</w:t>
      </w:r>
    </w:p>
    <w:p>
      <w:pPr>
        <w:pStyle w:val="Normal"/>
        <w:jc w:val="both"/>
        <w:rPr/>
      </w:pPr>
      <w:r>
        <w:rPr/>
      </w:r>
    </w:p>
    <w:p>
      <w:pPr>
        <w:pStyle w:val="Normal"/>
        <w:numPr>
          <w:ilvl w:val="0"/>
          <w:numId w:val="2"/>
        </w:numPr>
        <w:jc w:val="both"/>
        <w:rPr/>
      </w:pPr>
      <w:r>
        <w:rPr/>
        <w:t>Le Bordereau des Prix Unitaires entièrement complété et ne comportant aucune modification</w:t>
      </w:r>
    </w:p>
    <w:p>
      <w:pPr>
        <w:pStyle w:val="Normal"/>
        <w:jc w:val="both"/>
        <w:rPr/>
      </w:pPr>
      <w:r>
        <w:rPr/>
      </w:r>
    </w:p>
    <w:p>
      <w:pPr>
        <w:pStyle w:val="Normal"/>
        <w:numPr>
          <w:ilvl w:val="0"/>
          <w:numId w:val="2"/>
        </w:numPr>
        <w:jc w:val="both"/>
        <w:rPr/>
      </w:pPr>
      <w:r>
        <w:rPr>
          <w:b/>
        </w:rPr>
        <w:t>Le Détail Quantitatif Estimatif</w:t>
      </w:r>
      <w:r>
        <w:rPr/>
        <w:t xml:space="preserve"> (le DQE n’a pas une valeur contractuelle) </w:t>
      </w:r>
      <w:r>
        <w:rPr>
          <w:b/>
        </w:rPr>
        <w:t>complété</w:t>
      </w:r>
    </w:p>
    <w:p>
      <w:pPr>
        <w:pStyle w:val="Normal"/>
        <w:jc w:val="both"/>
        <w:rPr/>
      </w:pPr>
      <w:r>
        <w:rPr/>
      </w:r>
    </w:p>
    <w:p>
      <w:pPr>
        <w:pStyle w:val="Normal"/>
        <w:numPr>
          <w:ilvl w:val="0"/>
          <w:numId w:val="2"/>
        </w:numPr>
        <w:jc w:val="both"/>
        <w:rPr/>
      </w:pPr>
      <w:r>
        <w:rPr>
          <w:b/>
        </w:rPr>
        <w:t>Pour le Lot 1</w:t>
      </w:r>
      <w:r>
        <w:rPr/>
        <w:t>, les fiches techniques et les fiches de données de sécurité</w:t>
      </w:r>
    </w:p>
    <w:p>
      <w:pPr>
        <w:pStyle w:val="Normal"/>
        <w:jc w:val="both"/>
        <w:rPr/>
      </w:pPr>
      <w:r>
        <w:rPr/>
      </w:r>
    </w:p>
    <w:p>
      <w:pPr>
        <w:pStyle w:val="Normal"/>
        <w:numPr>
          <w:ilvl w:val="0"/>
          <w:numId w:val="2"/>
        </w:numPr>
        <w:jc w:val="both"/>
        <w:rPr/>
      </w:pPr>
      <w:r>
        <w:rPr>
          <w:b/>
        </w:rPr>
        <w:t xml:space="preserve">Le mémoire technique </w:t>
      </w:r>
      <w:r>
        <w:rPr/>
        <w:t>du candidat décrivant :</w:t>
      </w:r>
    </w:p>
    <w:p>
      <w:pPr>
        <w:pStyle w:val="Normal"/>
        <w:numPr>
          <w:ilvl w:val="0"/>
          <w:numId w:val="0"/>
        </w:numPr>
        <w:ind w:left="720" w:hanging="0"/>
        <w:jc w:val="both"/>
        <w:rPr>
          <w:b/>
          <w:b/>
        </w:rPr>
      </w:pPr>
      <w:r>
        <w:rPr>
          <w:b/>
        </w:rPr>
      </w:r>
    </w:p>
    <w:p>
      <w:pPr>
        <w:pStyle w:val="Normal"/>
        <w:widowControl/>
        <w:numPr>
          <w:ilvl w:val="0"/>
          <w:numId w:val="0"/>
        </w:numPr>
        <w:suppressAutoHyphens w:val="true"/>
        <w:bidi w:val="0"/>
        <w:ind w:left="720" w:right="0" w:hanging="0"/>
        <w:jc w:val="both"/>
        <w:textAlignment w:val="baseline"/>
        <w:rPr/>
      </w:pPr>
      <w:r>
        <w:rPr>
          <w:b/>
          <w:u w:val="single"/>
        </w:rPr>
        <w:t>Pour chacun des lots soumissionnés</w:t>
      </w:r>
      <w:r>
        <w:rPr/>
        <w:t>, le candidat aura à produire les pièces suivantes :</w:t>
      </w:r>
    </w:p>
    <w:p>
      <w:pPr>
        <w:pStyle w:val="Normal"/>
        <w:jc w:val="both"/>
        <w:rPr/>
      </w:pPr>
      <w:r>
        <w:rPr/>
      </w:r>
    </w:p>
    <w:p>
      <w:pPr>
        <w:pStyle w:val="Normal"/>
        <w:jc w:val="both"/>
        <w:rPr/>
      </w:pPr>
      <w:r>
        <w:rPr/>
      </w:r>
    </w:p>
    <w:p>
      <w:pPr>
        <w:pStyle w:val="Normal"/>
        <w:numPr>
          <w:ilvl w:val="0"/>
          <w:numId w:val="2"/>
        </w:numPr>
        <w:jc w:val="both"/>
        <w:rPr>
          <w:b/>
          <w:b/>
          <w:bCs/>
        </w:rPr>
      </w:pPr>
      <w:r>
        <w:rPr>
          <w:b/>
          <w:bCs/>
        </w:rPr>
        <w:t>L'acte d'engagement complété</w:t>
      </w:r>
    </w:p>
    <w:p>
      <w:pPr>
        <w:pStyle w:val="Normal"/>
        <w:jc w:val="both"/>
        <w:rPr/>
      </w:pPr>
      <w:r>
        <w:rPr/>
      </w:r>
    </w:p>
    <w:p>
      <w:pPr>
        <w:pStyle w:val="Normal"/>
        <w:jc w:val="both"/>
        <w:rPr/>
      </w:pPr>
      <w:r>
        <w:rPr/>
        <w:t>En cas de groupement conjoint, devra être indiquée très clairement la répartition des prestations entre le mandataire et ses co-traitants (tableau à établir par le candidat).</w:t>
      </w:r>
    </w:p>
    <w:p>
      <w:pPr>
        <w:pStyle w:val="Normal"/>
        <w:jc w:val="both"/>
        <w:rPr/>
      </w:pPr>
      <w:r>
        <w:rPr/>
        <w:t>En cas de groupement solidaire, identifier le mandataire et donner un relevé IBAN/BIC au nom des différentes entreprises du groupement sauf dispositions contraires prévues expressément (répartition des tâches par entreprise) dans le dossier. Dans le cas où le relevé IBAN/BIC est au nom du mandataire, il doit y avoir une habilitation en faveur du mandataire.</w:t>
      </w:r>
    </w:p>
    <w:p>
      <w:pPr>
        <w:pStyle w:val="Normal"/>
        <w:jc w:val="both"/>
        <w:rPr/>
      </w:pPr>
      <w:r>
        <w:rPr/>
      </w:r>
    </w:p>
    <w:p>
      <w:pPr>
        <w:pStyle w:val="Normal"/>
        <w:jc w:val="both"/>
        <w:rPr/>
      </w:pPr>
      <w:r>
        <w:rPr>
          <w:b/>
        </w:rPr>
        <w:t>Nota Bene</w:t>
      </w:r>
      <w:r>
        <w:rPr/>
        <w:t xml:space="preserve"> : l'annexe à l'acte d'engagement concernant la "Protection des données“ est facultative au moment du dépôt de l'offre, mais elle sera exigée pour l'attributaire, si ce dernier ne l'a pas déjà remise dans son offre.</w:t>
      </w:r>
    </w:p>
    <w:p>
      <w:pPr>
        <w:pStyle w:val="Normal"/>
        <w:jc w:val="both"/>
        <w:rPr/>
      </w:pPr>
      <w:r>
        <w:rPr/>
      </w:r>
    </w:p>
    <w:p>
      <w:pPr>
        <w:pStyle w:val="Normal"/>
        <w:numPr>
          <w:ilvl w:val="0"/>
          <w:numId w:val="2"/>
        </w:numPr>
        <w:jc w:val="both"/>
        <w:rPr>
          <w:b/>
          <w:b/>
          <w:bCs/>
        </w:rPr>
      </w:pPr>
      <w:r>
        <w:rPr>
          <w:b/>
          <w:bCs/>
        </w:rPr>
        <w:t>Le Bordereau des Prix Unitaires entièrement complété et ne comportant aucune modification</w:t>
      </w:r>
    </w:p>
    <w:p>
      <w:pPr>
        <w:pStyle w:val="Normal"/>
        <w:jc w:val="both"/>
        <w:rPr/>
      </w:pPr>
      <w:r>
        <w:rPr/>
      </w:r>
    </w:p>
    <w:p>
      <w:pPr>
        <w:pStyle w:val="Normal"/>
        <w:numPr>
          <w:ilvl w:val="0"/>
          <w:numId w:val="2"/>
        </w:numPr>
        <w:jc w:val="both"/>
        <w:rPr/>
      </w:pPr>
      <w:r>
        <w:rPr>
          <w:b/>
        </w:rPr>
        <w:t>Le Détail Quantitatif Estimatif</w:t>
      </w:r>
      <w:r>
        <w:rPr/>
        <w:t xml:space="preserve"> (le DQE n’a pas une valeur contractuelle) </w:t>
      </w:r>
      <w:r>
        <w:rPr>
          <w:b/>
        </w:rPr>
        <w:t>complété</w:t>
      </w:r>
    </w:p>
    <w:p>
      <w:pPr>
        <w:pStyle w:val="Normal"/>
        <w:jc w:val="both"/>
        <w:rPr/>
      </w:pPr>
      <w:r>
        <w:rPr/>
      </w:r>
    </w:p>
    <w:p>
      <w:pPr>
        <w:pStyle w:val="Normal"/>
        <w:numPr>
          <w:ilvl w:val="0"/>
          <w:numId w:val="2"/>
        </w:numPr>
        <w:jc w:val="both"/>
        <w:rPr/>
      </w:pPr>
      <w:r>
        <w:rPr>
          <w:b/>
        </w:rPr>
        <w:t>Pour le Lot 1</w:t>
      </w:r>
      <w:r>
        <w:rPr/>
        <w:t>, les fiches techniques et les fiches de données de sécurité</w:t>
      </w:r>
    </w:p>
    <w:p>
      <w:pPr>
        <w:pStyle w:val="Normal"/>
        <w:rPr/>
      </w:pPr>
      <w:r>
        <w:rPr/>
      </w:r>
    </w:p>
    <w:p>
      <w:pPr>
        <w:pStyle w:val="Normal"/>
        <w:numPr>
          <w:ilvl w:val="0"/>
          <w:numId w:val="2"/>
        </w:numPr>
        <w:rPr/>
      </w:pPr>
      <w:bookmarkStart w:id="31" w:name="__DdeLink__813_3958607635"/>
      <w:r>
        <w:rPr>
          <w:b/>
        </w:rPr>
        <w:t xml:space="preserve">Le mémoire technique </w:t>
      </w:r>
      <w:bookmarkEnd w:id="31"/>
      <w:r>
        <w:rPr/>
        <w:t>du candidat décrivant :</w:t>
      </w:r>
    </w:p>
    <w:p>
      <w:pPr>
        <w:pStyle w:val="Normal"/>
        <w:jc w:val="both"/>
        <w:rPr/>
      </w:pPr>
      <w:r>
        <w:rPr/>
      </w:r>
    </w:p>
    <w:p>
      <w:pPr>
        <w:pStyle w:val="Normal"/>
        <w:jc w:val="both"/>
        <w:rPr>
          <w:b/>
          <w:b/>
        </w:rPr>
      </w:pPr>
      <w:r>
        <w:rPr>
          <w:b/>
          <w:bCs/>
        </w:rPr>
        <w:t>LOT 1</w:t>
      </w:r>
    </w:p>
    <w:p>
      <w:pPr>
        <w:pStyle w:val="Normal"/>
        <w:jc w:val="both"/>
        <w:rPr/>
      </w:pPr>
      <w:r>
        <w:rPr>
          <w:b w:val="false"/>
          <w:bCs w:val="false"/>
          <w:u w:val="none"/>
        </w:rPr>
        <w:t xml:space="preserve">-Les caractéristiques des emballages pour les différents déchets </w:t>
      </w:r>
      <w:r>
        <w:rPr>
          <w:u w:val="none"/>
        </w:rPr>
        <w:t>(au regard des fiches techniques avec le respect des normes en vigueur en particulier l’arrêté du 24 novembre 2003 modifié relatif aux emballages des déchets d’activités de soins à risques infectieux et assimilés et des pièces anatomiques)</w:t>
      </w:r>
    </w:p>
    <w:p>
      <w:pPr>
        <w:pStyle w:val="Normal"/>
        <w:jc w:val="both"/>
        <w:rPr>
          <w:rFonts w:ascii="Arial" w:hAnsi="Arial" w:eastAsia="Arial" w:cs="Arial"/>
          <w:szCs w:val="24"/>
          <w:u w:val="none"/>
          <w:lang w:val="de-DE" w:eastAsia="ja-JP" w:bidi="fa-IR"/>
        </w:rPr>
      </w:pPr>
      <w:r>
        <w:rPr/>
        <w:t>-La description du mode d’identification des conditionnements et d’étiquetage des risques</w:t>
      </w:r>
    </w:p>
    <w:p>
      <w:pPr>
        <w:pStyle w:val="Normal"/>
        <w:jc w:val="both"/>
        <w:rPr>
          <w:u w:val="none"/>
        </w:rPr>
      </w:pPr>
      <w:bookmarkStart w:id="32" w:name="__DdeLink__3462_1113230993"/>
      <w:r>
        <w:rPr>
          <w:b w:val="false"/>
          <w:bCs w:val="false"/>
          <w:u w:val="none"/>
        </w:rPr>
        <w:t>-La performance en matière de développement durable</w:t>
      </w:r>
      <w:bookmarkEnd w:id="32"/>
      <w:r>
        <w:rPr>
          <w:b w:val="false"/>
          <w:bCs w:val="false"/>
          <w:u w:val="none"/>
        </w:rPr>
        <w:t xml:space="preserve"> </w:t>
      </w:r>
      <w:r>
        <w:rPr>
          <w:u w:val="none"/>
        </w:rPr>
        <w:t xml:space="preserve">relative à la logistique transport envisagée </w:t>
      </w:r>
    </w:p>
    <w:p>
      <w:pPr>
        <w:pStyle w:val="Normal"/>
        <w:jc w:val="both"/>
        <w:rPr/>
      </w:pPr>
      <w:r>
        <w:rPr/>
      </w:r>
    </w:p>
    <w:p>
      <w:pPr>
        <w:pStyle w:val="Normal"/>
        <w:jc w:val="both"/>
        <w:rPr>
          <w:b/>
          <w:b/>
        </w:rPr>
      </w:pPr>
      <w:r>
        <w:rPr>
          <w:b/>
          <w:bCs/>
        </w:rPr>
        <w:t>LOT 2</w:t>
      </w:r>
    </w:p>
    <w:p>
      <w:pPr>
        <w:pStyle w:val="Normal"/>
        <w:jc w:val="both"/>
        <w:rPr/>
      </w:pPr>
      <w:r>
        <w:rPr/>
        <w:t>-Le personnel d’intervention dédié et leurs qualifications</w:t>
      </w:r>
    </w:p>
    <w:p>
      <w:pPr>
        <w:pStyle w:val="Normal"/>
        <w:jc w:val="both"/>
        <w:rPr>
          <w:u w:val="none"/>
        </w:rPr>
      </w:pPr>
      <w:r>
        <w:rPr>
          <w:u w:val="none"/>
        </w:rPr>
        <w:t>-La description précise d</w:t>
      </w:r>
      <w:r>
        <w:rPr>
          <w:b w:val="false"/>
          <w:bCs w:val="false"/>
          <w:u w:val="none"/>
        </w:rPr>
        <w:t>es outils mis en œuvre pour assurer la traçabilité d’élimination</w:t>
      </w:r>
    </w:p>
    <w:p>
      <w:pPr>
        <w:pStyle w:val="Normal"/>
        <w:jc w:val="both"/>
        <w:rPr>
          <w:u w:val="none"/>
        </w:rPr>
      </w:pPr>
      <w:r>
        <w:rPr/>
        <w:t>-La performance en matière de développement durable relative aux moyens mis en place pour optimiser les tournées et d‘élimination et/ou de recyclage des différents types de déchets</w:t>
      </w:r>
    </w:p>
    <w:p>
      <w:pPr>
        <w:pStyle w:val="Titre2"/>
        <w:numPr>
          <w:ilvl w:val="0"/>
          <w:numId w:val="0"/>
        </w:numPr>
        <w:tabs>
          <w:tab w:val="left" w:pos="567" w:leader="none"/>
        </w:tabs>
        <w:rPr/>
      </w:pPr>
      <w:bookmarkStart w:id="33" w:name="_Toc38526857"/>
      <w:bookmarkEnd w:id="33"/>
      <w:r>
        <w:rPr/>
        <w:t>4.3</w:t>
        <w:tab/>
        <w:t>Visite sur site</w:t>
      </w:r>
    </w:p>
    <w:p>
      <w:pPr>
        <w:pStyle w:val="Normal"/>
        <w:rPr/>
      </w:pPr>
      <w:r>
        <w:rPr/>
        <w:t>Il n’est pas prévu de visite sur site.</w:t>
      </w:r>
    </w:p>
    <w:p>
      <w:pPr>
        <w:pStyle w:val="Titre2"/>
        <w:numPr>
          <w:ilvl w:val="0"/>
          <w:numId w:val="0"/>
        </w:numPr>
        <w:tabs>
          <w:tab w:val="left" w:pos="567" w:leader="none"/>
        </w:tabs>
        <w:rPr/>
      </w:pPr>
      <w:bookmarkStart w:id="34" w:name="_Toc38526858"/>
      <w:bookmarkEnd w:id="34"/>
      <w:r>
        <w:rPr/>
        <w:t>4.4</w:t>
        <w:tab/>
        <w:t>Sous-traitance</w:t>
      </w:r>
    </w:p>
    <w:p>
      <w:pPr>
        <w:pStyle w:val="Normal"/>
        <w:rPr>
          <w:u w:val="single"/>
        </w:rPr>
      </w:pPr>
      <w:r>
        <w:rPr>
          <w:u w:val="single"/>
        </w:rPr>
        <w:t>Lot n°1</w:t>
      </w:r>
    </w:p>
    <w:p>
      <w:pPr>
        <w:pStyle w:val="Normal"/>
        <w:rPr>
          <w:sz w:val="21"/>
          <w:szCs w:val="21"/>
        </w:rPr>
      </w:pPr>
      <w:r>
        <w:rPr>
          <w:sz w:val="21"/>
          <w:szCs w:val="21"/>
        </w:rPr>
      </w:r>
    </w:p>
    <w:p>
      <w:pPr>
        <w:pStyle w:val="Normal"/>
        <w:widowControl/>
        <w:numPr>
          <w:ilvl w:val="0"/>
          <w:numId w:val="0"/>
        </w:numPr>
        <w:tabs>
          <w:tab w:val="left" w:pos="567" w:leader="none"/>
        </w:tabs>
        <w:suppressAutoHyphens w:val="true"/>
        <w:bidi w:val="0"/>
        <w:ind w:left="0" w:right="0" w:hanging="0"/>
        <w:jc w:val="left"/>
        <w:textAlignment w:val="baseline"/>
        <w:rPr>
          <w:sz w:val="21"/>
          <w:szCs w:val="21"/>
        </w:rPr>
      </w:pPr>
      <w:r>
        <w:rPr>
          <w:rFonts w:eastAsia="Arial" w:cs="Arial"/>
          <w:b/>
          <w:bCs w:val="false"/>
          <w:sz w:val="21"/>
          <w:szCs w:val="21"/>
          <w:lang w:val="de-DE" w:eastAsia="ja-JP" w:bidi="fa-IR"/>
        </w:rPr>
        <w:t>S‘agissant de prestations de fournitures</w:t>
      </w:r>
      <w:r>
        <w:rPr>
          <w:rFonts w:eastAsia="Arial" w:cs="Arial"/>
          <w:b w:val="false"/>
          <w:bCs w:val="false"/>
          <w:sz w:val="21"/>
          <w:szCs w:val="21"/>
          <w:lang w:val="de-DE" w:eastAsia="ja-JP" w:bidi="fa-IR"/>
        </w:rPr>
        <w:t>, la sous-traitance n’est pas autorisée.</w:t>
      </w:r>
    </w:p>
    <w:p>
      <w:pPr>
        <w:pStyle w:val="Normal"/>
        <w:rPr/>
      </w:pPr>
      <w:r>
        <w:rPr/>
      </w:r>
    </w:p>
    <w:p>
      <w:pPr>
        <w:pStyle w:val="Normal"/>
        <w:rPr>
          <w:u w:val="single"/>
        </w:rPr>
      </w:pPr>
      <w:r>
        <w:rPr>
          <w:u w:val="single"/>
        </w:rPr>
        <w:t>Lot n°2</w:t>
      </w:r>
    </w:p>
    <w:p>
      <w:pPr>
        <w:pStyle w:val="Normal"/>
        <w:rPr>
          <w:u w:val="none"/>
        </w:rPr>
      </w:pPr>
      <w:r>
        <w:rPr>
          <w:u w:val="none"/>
        </w:rPr>
      </w:r>
    </w:p>
    <w:p>
      <w:pPr>
        <w:pStyle w:val="Normal"/>
        <w:jc w:val="both"/>
        <w:rPr/>
      </w:pPr>
      <w:r>
        <w:rPr>
          <w:u w:val="none"/>
        </w:rPr>
        <w:t>En application de l'article R2193-1 du Code de la Commande Publique, la sous-traitance est autorisée à condition de produire (sur papier libre ou DC4) :</w:t>
      </w:r>
    </w:p>
    <w:p>
      <w:pPr>
        <w:pStyle w:val="Normal"/>
        <w:jc w:val="both"/>
        <w:rPr/>
      </w:pPr>
      <w:r>
        <w:rPr>
          <w:u w:val="none"/>
        </w:rPr>
        <w:t>- Un engagement écrit du sous-traitant ;</w:t>
      </w:r>
    </w:p>
    <w:p>
      <w:pPr>
        <w:pStyle w:val="Normal"/>
        <w:jc w:val="both"/>
        <w:rPr/>
      </w:pPr>
      <w:r>
        <w:rPr>
          <w:u w:val="none"/>
        </w:rPr>
        <w:t>- Une déclaration du sous-traitant mentionnant les éléments figurant l'article R. 2193-1 du Code de la commande publique ;</w:t>
      </w:r>
    </w:p>
    <w:p>
      <w:pPr>
        <w:pStyle w:val="Normal"/>
        <w:jc w:val="both"/>
        <w:rPr>
          <w:u w:val="none"/>
        </w:rPr>
      </w:pPr>
      <w:r>
        <w:rPr/>
        <w:t>- Une déclaration du sous-traitant justifiant qu'il n’est pas dans un cas d’exclusion de la procédure de passation.</w:t>
      </w:r>
    </w:p>
    <w:p>
      <w:pPr>
        <w:pStyle w:val="Titre1"/>
        <w:numPr>
          <w:ilvl w:val="0"/>
          <w:numId w:val="0"/>
        </w:numPr>
        <w:shd w:val="clear" w:fill="CCCCCC"/>
        <w:tabs>
          <w:tab w:val="left" w:pos="567" w:leader="none"/>
          <w:tab w:val="left" w:pos="1140" w:leader="none"/>
          <w:tab w:val="left" w:pos="1680" w:leader="none"/>
          <w:tab w:val="left" w:pos="3349" w:leader="none"/>
        </w:tabs>
        <w:rPr/>
      </w:pPr>
      <w:bookmarkStart w:id="35" w:name="_Toc38526859"/>
      <w:bookmarkEnd w:id="35"/>
      <w:r>
        <w:rPr/>
        <w:t>ARTICLE 5</w:t>
        <w:tab/>
        <w:t>REMISE DES PLIS PAR LES CANDIDATS</w:t>
      </w:r>
    </w:p>
    <w:p>
      <w:pPr>
        <w:pStyle w:val="Titre2"/>
        <w:numPr>
          <w:ilvl w:val="0"/>
          <w:numId w:val="0"/>
        </w:numPr>
        <w:tabs>
          <w:tab w:val="left" w:pos="567" w:leader="none"/>
        </w:tabs>
        <w:rPr/>
      </w:pPr>
      <w:bookmarkStart w:id="36" w:name="_Toc38526860"/>
      <w:bookmarkEnd w:id="36"/>
      <w:r>
        <w:rPr/>
        <w:t>5.1</w:t>
        <w:tab/>
        <w:t>Remise électronique</w:t>
      </w:r>
    </w:p>
    <w:p>
      <w:pPr>
        <w:pStyle w:val="Normal"/>
        <w:jc w:val="both"/>
        <w:rPr/>
      </w:pPr>
      <w:r>
        <w:rPr/>
        <w:t>Le pouvoir adjudicateur impose la transmission des plis par voie électronique sur son profil acheteur marchespublics.mairie-marseille.fr. La transmission par voie papier n'est pas autorisée.</w:t>
      </w:r>
    </w:p>
    <w:p>
      <w:pPr>
        <w:pStyle w:val="Normal"/>
        <w:jc w:val="both"/>
        <w:rPr/>
      </w:pPr>
      <w:r>
        <w:rPr/>
      </w:r>
    </w:p>
    <w:p>
      <w:pPr>
        <w:pStyle w:val="Normal"/>
        <w:jc w:val="both"/>
        <w:rPr/>
      </w:pPr>
      <w:r>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Normal"/>
        <w:jc w:val="both"/>
        <w:rPr/>
      </w:pPr>
      <w:r>
        <w:rPr/>
      </w:r>
    </w:p>
    <w:p>
      <w:pPr>
        <w:pStyle w:val="Normal"/>
        <w:jc w:val="both"/>
        <w:rPr/>
      </w:pPr>
      <w:r>
        <w:rPr/>
        <w:t>Les modalités relatives à la réponse par voie électronique sont détaillées dans l'annexe n°1 au présent RC intitulée Guide de la dématérialisation des marchés publics.</w:t>
      </w:r>
    </w:p>
    <w:p>
      <w:pPr>
        <w:pStyle w:val="Normal"/>
        <w:jc w:val="both"/>
        <w:rPr/>
      </w:pPr>
      <w:r>
        <w:rPr/>
      </w:r>
    </w:p>
    <w:p>
      <w:pPr>
        <w:pStyle w:val="Normal"/>
        <w:jc w:val="both"/>
        <w:rPr/>
      </w:pPr>
      <w:r>
        <w:rPr/>
        <w:t>En cas de soumission pour plusieurs lots :</w:t>
      </w:r>
    </w:p>
    <w:p>
      <w:pPr>
        <w:pStyle w:val="Normal"/>
        <w:jc w:val="both"/>
        <w:rPr/>
      </w:pPr>
      <w:r>
        <w:rPr/>
      </w:r>
    </w:p>
    <w:p>
      <w:pPr>
        <w:pStyle w:val="Normal"/>
        <w:jc w:val="both"/>
        <w:rPr/>
      </w:pPr>
      <w:r>
        <w:rPr/>
        <w:t>* Concernant les documents relatifs à la candidature, le candidat peut :</w:t>
      </w:r>
    </w:p>
    <w:p>
      <w:pPr>
        <w:pStyle w:val="Normal"/>
        <w:jc w:val="both"/>
        <w:rPr/>
      </w:pPr>
      <w:r>
        <w:rPr/>
        <w:t>- Soit remettre un seul exemplaire des documents relatifs à sa candidature pour l'ensemble des lots,</w:t>
      </w:r>
    </w:p>
    <w:p>
      <w:pPr>
        <w:pStyle w:val="Normal"/>
        <w:jc w:val="both"/>
        <w:rPr/>
      </w:pPr>
      <w:r>
        <w:rPr/>
        <w:t>- Soit remettre les documents relatifs pour chacun des lots pour lesquels il soumissionne. * Concernant les documents relatifs à l'offre, le candidat doit :</w:t>
      </w:r>
    </w:p>
    <w:p>
      <w:pPr>
        <w:pStyle w:val="Normal"/>
        <w:jc w:val="both"/>
        <w:rPr/>
      </w:pPr>
      <w:r>
        <w:rPr/>
        <w:t>- Remettre une offre pour chacun des lots pour lesquels il soumissionne.</w:t>
      </w:r>
    </w:p>
    <w:p>
      <w:pPr>
        <w:pStyle w:val="Titre2"/>
        <w:numPr>
          <w:ilvl w:val="0"/>
          <w:numId w:val="0"/>
        </w:numPr>
        <w:tabs>
          <w:tab w:val="left" w:pos="567" w:leader="none"/>
        </w:tabs>
        <w:rPr/>
      </w:pPr>
      <w:bookmarkStart w:id="37" w:name="_Toc38526861"/>
      <w:bookmarkEnd w:id="37"/>
      <w:r>
        <w:rPr/>
        <w:t>5.2</w:t>
        <w:tab/>
        <w:t>Copie de sauvegarde</w:t>
      </w:r>
    </w:p>
    <w:p>
      <w:pPr>
        <w:pStyle w:val="Normal"/>
        <w:jc w:val="both"/>
        <w:rPr/>
      </w:pPr>
      <w:r>
        <w:rPr/>
        <w:t>Le pli peut être doublé d'une copie de sauvegarde transmise dans les délais impartis, sur support physique électronique ou sur support papier. Cette copie de sauvegarde devra comporter l’intégralité des éléments exigés au présent Règlement de consultation</w:t>
      </w:r>
    </w:p>
    <w:p>
      <w:pPr>
        <w:pStyle w:val="Normal"/>
        <w:jc w:val="both"/>
        <w:rPr/>
      </w:pPr>
      <w:r>
        <w:rPr/>
      </w:r>
    </w:p>
    <w:p>
      <w:pPr>
        <w:pStyle w:val="Normal"/>
        <w:jc w:val="both"/>
        <w:rPr/>
      </w:pPr>
      <w:r>
        <w:rPr/>
        <w:t>Cette copie est transmise sous pli scellé et comporte obligatoirement la mention « copie de sauvegarde » ainsi que le nom du candidat, l’objet et le numéro de la consultation concernée.</w:t>
      </w:r>
    </w:p>
    <w:p>
      <w:pPr>
        <w:pStyle w:val="Normal"/>
        <w:jc w:val="both"/>
        <w:rPr/>
      </w:pPr>
      <w:r>
        <w:rPr/>
      </w:r>
    </w:p>
    <w:p>
      <w:pPr>
        <w:pStyle w:val="Normal"/>
        <w:jc w:val="both"/>
        <w:rPr/>
      </w:pPr>
      <w:r>
        <w:rPr/>
        <w:t>Les dossiers des candidats sont transmis par tout moyen permettant de déterminer de façon certaine la date et l’heure de leur réception et de garantir la confidentialité.</w:t>
      </w:r>
    </w:p>
    <w:p>
      <w:pPr>
        <w:pStyle w:val="Normal"/>
        <w:jc w:val="both"/>
        <w:rPr/>
      </w:pPr>
      <w:r>
        <w:rPr/>
      </w:r>
    </w:p>
    <w:p>
      <w:pPr>
        <w:pStyle w:val="Normal"/>
        <w:jc w:val="both"/>
        <w:rPr>
          <w:u w:val="single"/>
        </w:rPr>
      </w:pPr>
      <w:r>
        <w:rPr>
          <w:u w:val="single"/>
        </w:rPr>
        <w:t>ENVOI POSTAL</w:t>
      </w:r>
    </w:p>
    <w:p>
      <w:pPr>
        <w:pStyle w:val="Normal"/>
        <w:jc w:val="both"/>
        <w:rPr/>
      </w:pPr>
      <w:r>
        <w:rPr/>
        <w:t>En cas d’envoi postal, les plis doivent être adressés à l’adresse suivante :</w:t>
      </w:r>
    </w:p>
    <w:p>
      <w:pPr>
        <w:pStyle w:val="Normal"/>
        <w:jc w:val="both"/>
        <w:rPr/>
      </w:pPr>
      <w:r>
        <w:rPr/>
        <w:t>Ville de Marseille</w:t>
      </w:r>
    </w:p>
    <w:p>
      <w:pPr>
        <w:pStyle w:val="Normal"/>
        <w:jc w:val="both"/>
        <w:rPr/>
      </w:pPr>
      <w:r>
        <w:rPr/>
        <w:t>Direction des marchés et procédures d’achats publics (DGAAJ)</w:t>
      </w:r>
    </w:p>
    <w:p>
      <w:pPr>
        <w:pStyle w:val="Normal"/>
        <w:jc w:val="both"/>
        <w:rPr/>
      </w:pPr>
      <w:r>
        <w:rPr/>
        <w:t>39 bis rue Sainte</w:t>
      </w:r>
    </w:p>
    <w:p>
      <w:pPr>
        <w:pStyle w:val="Normal"/>
        <w:jc w:val="both"/>
        <w:rPr/>
      </w:pPr>
      <w:r>
        <w:rPr/>
        <w:t>Rdc</w:t>
      </w:r>
    </w:p>
    <w:p>
      <w:pPr>
        <w:pStyle w:val="Normal"/>
        <w:jc w:val="both"/>
        <w:rPr/>
      </w:pPr>
      <w:r>
        <w:rPr/>
        <w:t>13233 Marseille cedex 20</w:t>
      </w:r>
    </w:p>
    <w:p>
      <w:pPr>
        <w:pStyle w:val="Normal"/>
        <w:jc w:val="both"/>
        <w:rPr/>
      </w:pPr>
      <w:r>
        <w:rPr/>
      </w:r>
    </w:p>
    <w:p>
      <w:pPr>
        <w:pStyle w:val="Normal"/>
        <w:jc w:val="both"/>
        <w:rPr>
          <w:u w:val="single"/>
        </w:rPr>
      </w:pPr>
      <w:r>
        <w:rPr>
          <w:u w:val="single"/>
        </w:rPr>
        <w:t>REMISE CONTRE RECEPISSE</w:t>
      </w:r>
    </w:p>
    <w:p>
      <w:pPr>
        <w:pStyle w:val="Normal"/>
        <w:jc w:val="both"/>
        <w:rPr/>
      </w:pPr>
      <w:r>
        <w:rPr/>
        <w:t>Les plis peuvent être remis contre récépissé à l’adresse suivante :</w:t>
      </w:r>
    </w:p>
    <w:p>
      <w:pPr>
        <w:pStyle w:val="Normal"/>
        <w:jc w:val="both"/>
        <w:rPr/>
      </w:pPr>
      <w:r>
        <w:rPr/>
        <w:t>Direction des marchés et procédures d’achats publics (DGAAJ)</w:t>
      </w:r>
    </w:p>
    <w:p>
      <w:pPr>
        <w:pStyle w:val="Normal"/>
        <w:jc w:val="both"/>
        <w:rPr/>
      </w:pPr>
      <w:r>
        <w:rPr/>
        <w:t>(anciennement Service des marchés publics – DSJ)</w:t>
      </w:r>
    </w:p>
    <w:p>
      <w:pPr>
        <w:pStyle w:val="Normal"/>
        <w:jc w:val="both"/>
        <w:rPr/>
      </w:pPr>
      <w:r>
        <w:rPr/>
        <w:t>Passage Timon David, rue Sainte (1</w:t>
      </w:r>
      <w:r>
        <w:rPr>
          <w:vertAlign w:val="superscript"/>
        </w:rPr>
        <w:t>er</w:t>
      </w:r>
      <w:r>
        <w:rPr/>
        <w:t xml:space="preserve"> arrondissement)</w:t>
      </w:r>
    </w:p>
    <w:p>
      <w:pPr>
        <w:pStyle w:val="Normal"/>
        <w:jc w:val="both"/>
        <w:rPr/>
      </w:pPr>
      <w:r>
        <w:rPr/>
        <w:t>13001 Marseille</w:t>
      </w:r>
    </w:p>
    <w:p>
      <w:pPr>
        <w:pStyle w:val="Titre2"/>
        <w:numPr>
          <w:ilvl w:val="0"/>
          <w:numId w:val="0"/>
        </w:numPr>
        <w:tabs>
          <w:tab w:val="left" w:pos="567" w:leader="none"/>
        </w:tabs>
        <w:rPr/>
      </w:pPr>
      <w:bookmarkStart w:id="38" w:name="_Toc38526862"/>
      <w:bookmarkEnd w:id="38"/>
      <w:r>
        <w:rPr/>
        <w:t>5.3</w:t>
        <w:tab/>
        <w:t>Echantillons, maquettes, prototypes ou modèles réduits</w:t>
      </w:r>
    </w:p>
    <w:p>
      <w:pPr>
        <w:pStyle w:val="Normal"/>
        <w:jc w:val="both"/>
        <w:rPr/>
      </w:pPr>
      <w:r>
        <w:rPr/>
        <w:t>Sans objet</w:t>
      </w:r>
    </w:p>
    <w:p>
      <w:pPr>
        <w:pStyle w:val="Titre2"/>
        <w:numPr>
          <w:ilvl w:val="0"/>
          <w:numId w:val="0"/>
        </w:numPr>
        <w:tabs>
          <w:tab w:val="left" w:pos="567" w:leader="none"/>
        </w:tabs>
        <w:rPr/>
      </w:pPr>
      <w:bookmarkStart w:id="39" w:name="_Toc38526863"/>
      <w:bookmarkEnd w:id="39"/>
      <w:r>
        <w:rPr/>
        <w:t>5.4</w:t>
        <w:tab/>
        <w:t>Date et heure limites de remise des plis</w:t>
      </w:r>
    </w:p>
    <w:p>
      <w:pPr>
        <w:pStyle w:val="Normal"/>
        <w:jc w:val="both"/>
        <w:rPr/>
      </w:pPr>
      <w:r>
        <w:rPr/>
        <w:t>Les date et heure limites de réception des plis sont celles indiquées dans l'avis d'appel public à la concurrence, qui valent également pour la transmission des « copies de sauvegarde » du candidat.</w:t>
      </w:r>
    </w:p>
    <w:p>
      <w:pPr>
        <w:pStyle w:val="Titre2"/>
        <w:numPr>
          <w:ilvl w:val="0"/>
          <w:numId w:val="0"/>
        </w:numPr>
        <w:tabs>
          <w:tab w:val="left" w:pos="567" w:leader="none"/>
        </w:tabs>
        <w:rPr/>
      </w:pPr>
      <w:bookmarkStart w:id="40" w:name="_Toc38526864"/>
      <w:bookmarkEnd w:id="40"/>
      <w:r>
        <w:rPr/>
        <w:t>5.5</w:t>
        <w:tab/>
        <w:t>Délai de validité des offres</w:t>
      </w:r>
    </w:p>
    <w:p>
      <w:pPr>
        <w:pStyle w:val="Normal"/>
        <w:jc w:val="both"/>
        <w:rPr/>
      </w:pPr>
      <w:r>
        <w:rPr/>
        <w:t>Le délai de validité des offres est de 3 mois à compter de la date limite fixée pour la réception des offres.</w:t>
      </w:r>
    </w:p>
    <w:p>
      <w:pPr>
        <w:pStyle w:val="Titre1"/>
        <w:numPr>
          <w:ilvl w:val="0"/>
          <w:numId w:val="0"/>
        </w:numPr>
        <w:shd w:val="clear" w:fill="CCCCCC"/>
        <w:tabs>
          <w:tab w:val="left" w:pos="567" w:leader="none"/>
          <w:tab w:val="left" w:pos="1140" w:leader="none"/>
          <w:tab w:val="left" w:pos="1695" w:leader="none"/>
          <w:tab w:val="left" w:pos="3349" w:leader="none"/>
        </w:tabs>
        <w:rPr/>
      </w:pPr>
      <w:bookmarkStart w:id="41" w:name="_Toc38526865"/>
      <w:bookmarkEnd w:id="41"/>
      <w:r>
        <w:rPr/>
        <w:t>ARTICLE 6</w:t>
        <w:tab/>
        <w:t>EXAMEN DES PLIS</w:t>
      </w:r>
    </w:p>
    <w:p>
      <w:pPr>
        <w:pStyle w:val="Normal"/>
        <w:jc w:val="both"/>
        <w:rPr/>
      </w:pPr>
      <w:r>
        <w:rPr/>
        <w:t>La présentation telle qu'exposée ci-après ne préjuge en rien de l'ordre dans lequel l'acheteur procèdera à l'examen des plis. Ainsi, celui-ci peut, en cas de procédure ouverte, décider d'examiner les offres avant les candidatures.</w:t>
      </w:r>
    </w:p>
    <w:p>
      <w:pPr>
        <w:pStyle w:val="Titre2"/>
        <w:numPr>
          <w:ilvl w:val="0"/>
          <w:numId w:val="0"/>
        </w:numPr>
        <w:tabs>
          <w:tab w:val="left" w:pos="567" w:leader="none"/>
        </w:tabs>
        <w:rPr/>
      </w:pPr>
      <w:bookmarkStart w:id="42" w:name="_Toc38526866"/>
      <w:bookmarkEnd w:id="42"/>
      <w:r>
        <w:rPr/>
        <w:t>6.1</w:t>
        <w:tab/>
        <w:t>Examen des candidatures</w:t>
      </w:r>
    </w:p>
    <w:p>
      <w:pPr>
        <w:pStyle w:val="Normal"/>
        <w:jc w:val="both"/>
        <w:rPr>
          <w:u w:val="none"/>
        </w:rPr>
      </w:pPr>
      <w: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Normal"/>
        <w:jc w:val="both"/>
        <w:rPr/>
      </w:pPr>
      <w:r>
        <w:rPr/>
      </w:r>
    </w:p>
    <w:p>
      <w:pPr>
        <w:pStyle w:val="Normal"/>
        <w:jc w:val="both"/>
        <w:rPr>
          <w:u w:val="none"/>
        </w:rPr>
      </w:pPr>
      <w: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Normal"/>
        <w:jc w:val="both"/>
        <w:rPr/>
      </w:pPr>
      <w:r>
        <w:rPr/>
      </w:r>
    </w:p>
    <w:p>
      <w:pPr>
        <w:pStyle w:val="Normal"/>
        <w:jc w:val="both"/>
        <w:rPr>
          <w:u w:val="none"/>
        </w:rPr>
      </w:pPr>
      <w:r>
        <w:rPr/>
        <w:t>La recevabilité des candidatures est examinée en application des articles R. 2144-1 et suivants du Code de la commande publique.</w:t>
      </w:r>
    </w:p>
    <w:p>
      <w:pPr>
        <w:pStyle w:val="Normal"/>
        <w:jc w:val="both"/>
        <w:rPr>
          <w:u w:val="none"/>
        </w:rPr>
      </w:pPr>
      <w:r>
        <w:rPr/>
        <w:t>Les candidats doivent disposer de la capacité économique et financière ou des capacités techniques et professionnelles nécessaires à l'exécution du marché public. Ces conditions sont liées et proportionnées à l'objet du marché public ou à ses conditions d'exécution.</w:t>
      </w:r>
    </w:p>
    <w:p>
      <w:pPr>
        <w:pStyle w:val="Normal"/>
        <w:jc w:val="both"/>
        <w:rPr/>
      </w:pPr>
      <w:r>
        <w:rPr/>
      </w:r>
    </w:p>
    <w:p>
      <w:pPr>
        <w:pStyle w:val="Normal"/>
        <w:jc w:val="both"/>
        <w:rPr>
          <w:u w:val="none"/>
        </w:rPr>
      </w:pPr>
      <w:r>
        <w:rPr/>
        <w:t>Les candidatures sont examinées au vu des éléments décrits à l'article "Pièces de la candidature" du présent document.</w:t>
      </w:r>
    </w:p>
    <w:p>
      <w:pPr>
        <w:pStyle w:val="Normal"/>
        <w:jc w:val="both"/>
        <w:rPr/>
      </w:pPr>
      <w:r>
        <w:rPr/>
      </w:r>
    </w:p>
    <w:p>
      <w:pPr>
        <w:pStyle w:val="Normal"/>
        <w:jc w:val="both"/>
        <w:rPr>
          <w:u w:val="none"/>
        </w:rPr>
      </w:pPr>
      <w:r>
        <w:rPr/>
        <w:t>Les candidatures qui ne sont pas recevables en application de R. 2144-7 du Code de la commande publique ne seront pas admises.</w:t>
      </w:r>
    </w:p>
    <w:p>
      <w:pPr>
        <w:pStyle w:val="Normal"/>
        <w:jc w:val="both"/>
        <w:rPr/>
      </w:pPr>
      <w:r>
        <w:rPr/>
      </w:r>
    </w:p>
    <w:p>
      <w:pPr>
        <w:pStyle w:val="Normal"/>
        <w:jc w:val="both"/>
        <w:rPr>
          <w:rFonts w:ascii="Arial" w:hAnsi="Arial" w:eastAsia="Arial" w:cs="Arial"/>
          <w:b w:val="false"/>
          <w:b w:val="false"/>
          <w:bCs w:val="false"/>
          <w:szCs w:val="24"/>
          <w:lang w:val="de-DE" w:eastAsia="ja-JP" w:bidi="fa-IR"/>
        </w:rPr>
      </w:pPr>
      <w:r>
        <w:rPr/>
        <w:t>Ainsi, si un candidat ou un soumissionnaire se trouve dans un cas d'interdiction de soumissionner, ne satisfait pas aux conditions de participation fixées par l'acheteur ou ne peut produire dans le délai imparti les documents justificatifs, les moyens de preuve, les compléments ou explications requis par l'acheteur, sa candidature est déclarée irrecevable et le candidat est éliminé.</w:t>
      </w:r>
    </w:p>
    <w:p>
      <w:pPr>
        <w:pStyle w:val="Titre2"/>
        <w:numPr>
          <w:ilvl w:val="0"/>
          <w:numId w:val="0"/>
        </w:numPr>
        <w:tabs>
          <w:tab w:val="left" w:pos="567" w:leader="none"/>
        </w:tabs>
        <w:rPr/>
      </w:pPr>
      <w:bookmarkStart w:id="43" w:name="_Toc38526867"/>
      <w:bookmarkEnd w:id="43"/>
      <w:r>
        <w:rPr/>
        <w:t>6.2</w:t>
        <w:tab/>
        <w:t>Jugement des offres</w:t>
      </w:r>
    </w:p>
    <w:p>
      <w:pPr>
        <w:pStyle w:val="Normal"/>
        <w:jc w:val="both"/>
        <w:rPr/>
      </w:pPr>
      <w:r>
        <w:rPr/>
        <w:t>Le jugement des offres sera effectué dans les conditions prévues aux articles R2152-1 à 12 du Code de la commande publique et donnera lieu à un classement des offres.</w:t>
      </w:r>
    </w:p>
    <w:p>
      <w:pPr>
        <w:pStyle w:val="Normal"/>
        <w:jc w:val="both"/>
        <w:rPr>
          <w:b/>
          <w:b/>
        </w:rPr>
      </w:pPr>
      <w:r>
        <w:rPr>
          <w:b/>
        </w:rPr>
      </w:r>
    </w:p>
    <w:p>
      <w:pPr>
        <w:pStyle w:val="Normal"/>
        <w:jc w:val="both"/>
        <w:rPr/>
      </w:pPr>
      <w:r>
        <w:rPr>
          <w:b/>
        </w:rPr>
        <w:t>Négociation</w:t>
      </w:r>
    </w:p>
    <w:p>
      <w:pPr>
        <w:pStyle w:val="Normal"/>
        <w:rPr/>
      </w:pPr>
      <w:r>
        <w:rPr/>
      </w:r>
    </w:p>
    <w:p>
      <w:pPr>
        <w:pStyle w:val="Normal"/>
        <w:rPr/>
      </w:pPr>
      <w:r>
        <w:rPr/>
        <w:t xml:space="preserve">L'acheteur prévoit de négocier avec les candidats. La négociation pourra porter sur tous les éléments de l'offre. </w:t>
      </w:r>
    </w:p>
    <w:p>
      <w:pPr>
        <w:pStyle w:val="Normal"/>
        <w:rPr/>
      </w:pPr>
      <w:r>
        <w:rPr/>
      </w:r>
    </w:p>
    <w:p>
      <w:pPr>
        <w:pStyle w:val="Normal"/>
        <w:rPr/>
      </w:pPr>
      <w:r>
        <w:rPr/>
      </w:r>
    </w:p>
    <w:p>
      <w:pPr>
        <w:pStyle w:val="Normal"/>
        <w:rPr/>
      </w:pPr>
      <w:r>
        <w:rPr/>
        <w:t>Les offres inappropriées au sens de l'article R. 2152-4 du Code de la commande publique seront éliminées. En revanche, les offres irrégulières ou inacceptables au sens des articles R2152-2 et R21523 du Code de la commande publique seront admises à la négociation, à condition de ne pas être anormalement basses.</w:t>
      </w:r>
    </w:p>
    <w:p>
      <w:pPr>
        <w:pStyle w:val="Normal"/>
        <w:rPr/>
      </w:pPr>
      <w:r>
        <w:rPr/>
        <w:t>L'acheteur se réserve toutefois le droit d'attribuer le marché sur la base des offres initiales sans mener de négociation.</w:t>
      </w:r>
    </w:p>
    <w:p>
      <w:pPr>
        <w:pStyle w:val="Normal"/>
        <w:rPr/>
      </w:pPr>
      <w:r>
        <w:rPr/>
      </w:r>
    </w:p>
    <w:p>
      <w:pPr>
        <w:pStyle w:val="Normal"/>
        <w:rPr/>
      </w:pPr>
      <w:r>
        <w:rPr/>
        <w:t>Le jugement des offres sera effectué sur les critères pondérés suivants :</w:t>
      </w:r>
    </w:p>
    <w:p>
      <w:pPr>
        <w:pStyle w:val="Normal"/>
        <w:rPr/>
      </w:pPr>
      <w:r>
        <w:rPr/>
      </w:r>
    </w:p>
    <w:p>
      <w:pPr>
        <w:pStyle w:val="Normal"/>
        <w:rPr>
          <w:b/>
          <w:b/>
          <w:bCs/>
        </w:rPr>
      </w:pPr>
      <w:r>
        <w:rPr>
          <w:b/>
          <w:bCs/>
        </w:rPr>
        <w:t>1°) Prix : 60 %</w:t>
      </w:r>
    </w:p>
    <w:p>
      <w:pPr>
        <w:pStyle w:val="Normal"/>
        <w:rPr>
          <w:b/>
          <w:b/>
          <w:bCs/>
        </w:rPr>
      </w:pPr>
      <w:r>
        <w:rPr>
          <w:b/>
          <w:bCs/>
        </w:rPr>
        <w:t>2°) Valeur technique : 40 %</w:t>
      </w:r>
    </w:p>
    <w:p>
      <w:pPr>
        <w:pStyle w:val="Normal"/>
        <w:rPr/>
      </w:pPr>
      <w:r>
        <w:rPr/>
      </w:r>
    </w:p>
    <w:p>
      <w:pPr>
        <w:pStyle w:val="Normal"/>
        <w:rPr/>
      </w:pPr>
      <w:r>
        <w:rPr/>
        <w:t>Modalités de mise en œuvre de ces critères :</w:t>
      </w:r>
    </w:p>
    <w:p>
      <w:pPr>
        <w:pStyle w:val="Normal"/>
        <w:rPr/>
      </w:pPr>
      <w:r>
        <w:rPr/>
      </w:r>
    </w:p>
    <w:p>
      <w:pPr>
        <w:pStyle w:val="Normal"/>
        <w:rPr>
          <w:b/>
          <w:b/>
          <w:bCs/>
          <w:u w:val="single"/>
        </w:rPr>
      </w:pPr>
      <w:r>
        <w:rPr>
          <w:b/>
          <w:bCs/>
          <w:u w:val="single"/>
        </w:rPr>
        <w:t>1°) Prix de l’offre</w:t>
      </w:r>
    </w:p>
    <w:p>
      <w:pPr>
        <w:pStyle w:val="Normal"/>
        <w:rPr/>
      </w:pPr>
      <w:r>
        <w:rPr/>
      </w:r>
    </w:p>
    <w:p>
      <w:pPr>
        <w:pStyle w:val="Normal"/>
        <w:rPr/>
      </w:pPr>
      <w:r>
        <w:rPr/>
        <w:t>La note maximum est de 60 points. Après élimination des offres anormalement basses, la notation de l'offre du candidat (i) sera effectuée à l'aide de la formule suivante :</w:t>
      </w:r>
    </w:p>
    <w:p>
      <w:pPr>
        <w:pStyle w:val="Normal"/>
        <w:rPr/>
      </w:pPr>
      <w:r>
        <w:rPr/>
        <w:t>N(i) = 60 x P(m)/P(i)</w:t>
      </w:r>
    </w:p>
    <w:p>
      <w:pPr>
        <w:pStyle w:val="Normal"/>
        <w:rPr/>
      </w:pPr>
      <w:r>
        <w:rPr/>
        <w:t>Dans laquelle :</w:t>
      </w:r>
    </w:p>
    <w:p>
      <w:pPr>
        <w:pStyle w:val="Normal"/>
        <w:rPr/>
      </w:pPr>
      <w:r>
        <w:rPr/>
        <w:t>N(i) est la note attribuée à l'offre de prix du candidat (i)</w:t>
      </w:r>
    </w:p>
    <w:p>
      <w:pPr>
        <w:pStyle w:val="Normal"/>
        <w:rPr/>
      </w:pPr>
      <w:r>
        <w:rPr/>
        <w:t>P(i) est le prix de l'offre du candidat</w:t>
      </w:r>
    </w:p>
    <w:p>
      <w:pPr>
        <w:pStyle w:val="Normal"/>
        <w:rPr/>
      </w:pPr>
      <w:r>
        <w:rPr/>
        <w:t>P(m) est le prix de l'offre la moins-disante.</w:t>
      </w:r>
    </w:p>
    <w:p>
      <w:pPr>
        <w:pStyle w:val="Normal"/>
        <w:rPr/>
      </w:pPr>
      <w:r>
        <w:rPr/>
      </w:r>
    </w:p>
    <w:p>
      <w:pPr>
        <w:pStyle w:val="Normal"/>
        <w:jc w:val="both"/>
        <w:rPr/>
      </w:pPr>
      <w:r>
        <w:rPr/>
        <w:t xml:space="preserve">En cas de discordance constatée dans une offre, les indications portées sur le Bordereau des prix unitaires prévaudront sur toutes autres indications de l'offre et le montant du Détail quantitatif estimatif sera rectifié en conséquence. Les erreurs de multiplication, d'addition ou de report qui seraient constatées dans ce Détail quantitatif estimatif seront également rectifiées et, pour le jugement des offres, c'est le montant ainsi rectifié du Détail quantitatif estimatif qui sera pris en considération. </w:t>
      </w:r>
    </w:p>
    <w:p>
      <w:pPr>
        <w:pStyle w:val="Normal"/>
        <w:rPr/>
      </w:pPr>
      <w:r>
        <w:rPr/>
      </w:r>
    </w:p>
    <w:p>
      <w:pPr>
        <w:pStyle w:val="Normal"/>
        <w:rPr>
          <w:b/>
          <w:b/>
          <w:bCs/>
          <w:u w:val="single"/>
        </w:rPr>
      </w:pPr>
      <w:r>
        <w:rPr>
          <w:b/>
          <w:bCs/>
          <w:u w:val="single"/>
        </w:rPr>
        <w:t>2°) Valeur technique de l’offre</w:t>
      </w:r>
    </w:p>
    <w:p>
      <w:pPr>
        <w:pStyle w:val="Normal"/>
        <w:rPr/>
      </w:pPr>
      <w:r>
        <w:rPr/>
      </w:r>
    </w:p>
    <w:p>
      <w:pPr>
        <w:pStyle w:val="Normal"/>
        <w:rPr>
          <w:b/>
          <w:b/>
        </w:rPr>
      </w:pPr>
      <w:r>
        <w:rPr>
          <w:b/>
          <w:bCs/>
        </w:rPr>
        <w:t>LOT N° 1</w:t>
      </w:r>
    </w:p>
    <w:p>
      <w:pPr>
        <w:pStyle w:val="Normal"/>
        <w:rPr/>
      </w:pPr>
      <w:r>
        <w:rPr/>
      </w:r>
    </w:p>
    <w:p>
      <w:pPr>
        <w:pStyle w:val="Normal"/>
        <w:jc w:val="both"/>
        <w:rPr/>
      </w:pPr>
      <w:r>
        <w:rPr/>
        <w:t>La valeur sera appréciée à partir des informations qui figureront dans le mémoire technique.</w:t>
      </w:r>
    </w:p>
    <w:p>
      <w:pPr>
        <w:pStyle w:val="Normal"/>
        <w:jc w:val="both"/>
        <w:rPr/>
      </w:pPr>
      <w:r>
        <w:rPr/>
        <w:t>Les sous critères de pondération pour évaluer la valeur technique sont les suivants:</w:t>
      </w:r>
    </w:p>
    <w:p>
      <w:pPr>
        <w:pStyle w:val="Normal"/>
        <w:jc w:val="both"/>
        <w:rPr/>
      </w:pPr>
      <w:r>
        <w:rPr/>
      </w:r>
    </w:p>
    <w:p>
      <w:pPr>
        <w:pStyle w:val="Normal"/>
        <w:numPr>
          <w:ilvl w:val="0"/>
          <w:numId w:val="4"/>
        </w:numPr>
        <w:jc w:val="both"/>
        <w:rPr/>
      </w:pPr>
      <w:r>
        <w:rPr/>
        <w:t>Performance sur l‘évaluation des données techniques présentées (</w:t>
      </w:r>
      <w:r>
        <w:rPr/>
        <w:t>15</w:t>
      </w:r>
      <w:r>
        <w:rPr/>
        <w:t xml:space="preserve"> points)</w:t>
      </w:r>
    </w:p>
    <w:p>
      <w:pPr>
        <w:pStyle w:val="Normal"/>
        <w:numPr>
          <w:ilvl w:val="0"/>
          <w:numId w:val="4"/>
        </w:numPr>
        <w:jc w:val="both"/>
        <w:rPr/>
      </w:pPr>
      <w:r>
        <w:rPr/>
        <w:t>Qualité des outils mis en oeuvre pour l‘identification des conditionnements et d‘étiquetage des risques (</w:t>
      </w:r>
      <w:r>
        <w:rPr/>
        <w:t>15</w:t>
      </w:r>
      <w:r>
        <w:rPr/>
        <w:t xml:space="preserve"> points)</w:t>
      </w:r>
    </w:p>
    <w:p>
      <w:pPr>
        <w:pStyle w:val="Normal"/>
        <w:numPr>
          <w:ilvl w:val="0"/>
          <w:numId w:val="4"/>
        </w:numPr>
        <w:jc w:val="both"/>
        <w:rPr/>
      </w:pPr>
      <w:r>
        <w:rPr>
          <w:b w:val="false"/>
          <w:bCs w:val="false"/>
        </w:rPr>
        <w:t>Performance en matière de développement durable</w:t>
      </w:r>
      <w:r>
        <w:rPr/>
        <w:t xml:space="preserve"> relative à la logistique transport envisagée (10 points)</w:t>
      </w:r>
    </w:p>
    <w:p>
      <w:pPr>
        <w:pStyle w:val="Normal"/>
        <w:jc w:val="both"/>
        <w:rPr/>
      </w:pPr>
      <w:r>
        <w:rPr/>
      </w:r>
    </w:p>
    <w:p>
      <w:pPr>
        <w:pStyle w:val="Normal"/>
        <w:jc w:val="both"/>
        <w:rPr/>
      </w:pPr>
      <w:r>
        <w:rPr/>
        <w:t>Le total des points relatif à la valeur technique constituera la valeur technique (VT) du candidat, le maximum pouvant être de 40 points.</w:t>
      </w:r>
    </w:p>
    <w:p>
      <w:pPr>
        <w:pStyle w:val="Normal"/>
        <w:jc w:val="both"/>
        <w:rPr/>
      </w:pPr>
      <w:r>
        <w:rPr/>
      </w:r>
    </w:p>
    <w:p>
      <w:pPr>
        <w:pStyle w:val="Normal"/>
        <w:jc w:val="both"/>
        <w:rPr/>
      </w:pPr>
      <w:r>
        <w:rPr/>
        <w:t>Après élimination éventuelle des offres irrégulières ou inappropriées, la notation de l'offre du candidat (i) sera effectuée à l'aide de la formule suivante :</w:t>
      </w:r>
    </w:p>
    <w:p>
      <w:pPr>
        <w:pStyle w:val="Normal"/>
        <w:jc w:val="both"/>
        <w:rPr/>
      </w:pPr>
      <w:r>
        <w:rPr/>
      </w:r>
    </w:p>
    <w:p>
      <w:pPr>
        <w:pStyle w:val="Normal"/>
        <w:jc w:val="both"/>
        <w:rPr/>
      </w:pPr>
      <w:r>
        <w:rPr/>
        <w:t>VT = 40 * (VT(i)/VT(m))</w:t>
      </w:r>
    </w:p>
    <w:p>
      <w:pPr>
        <w:pStyle w:val="Normal"/>
        <w:jc w:val="both"/>
        <w:rPr/>
      </w:pPr>
      <w:r>
        <w:rPr/>
      </w:r>
    </w:p>
    <w:p>
      <w:pPr>
        <w:pStyle w:val="Normal"/>
        <w:jc w:val="both"/>
        <w:rPr/>
      </w:pPr>
      <w:r>
        <w:rPr/>
        <w:t>Dans laquelle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VT est la note finale attribuée à la valeur technique du candidat (i)</w:t>
      </w:r>
    </w:p>
    <w:p>
      <w:pPr>
        <w:pStyle w:val="Normal"/>
        <w:jc w:val="both"/>
        <w:rPr/>
      </w:pPr>
      <w:r>
        <w:rPr/>
        <w:t>VT (i) est la valeur technique initiale obtenue par le candidat (i)</w:t>
      </w:r>
    </w:p>
    <w:p>
      <w:pPr>
        <w:pStyle w:val="Normal"/>
        <w:jc w:val="both"/>
        <w:rPr/>
      </w:pPr>
      <w:r>
        <w:rPr/>
        <w:t>VT (m) est la valeur technique initiale obtenue par le candidat ayant la meilleure offre.</w:t>
      </w:r>
    </w:p>
    <w:p>
      <w:pPr>
        <w:pStyle w:val="Normal"/>
        <w:jc w:val="both"/>
        <w:rPr/>
      </w:pPr>
      <w:r>
        <w:rPr>
          <w:u w:val="single"/>
        </w:rPr>
        <w:t>Analyse du prix de l'offre</w:t>
      </w:r>
      <w:r>
        <w:rPr/>
        <w:t xml:space="preserve"> :</w:t>
      </w:r>
    </w:p>
    <w:p>
      <w:pPr>
        <w:pStyle w:val="Normal"/>
        <w:rPr/>
      </w:pPr>
      <w:r>
        <w:rPr/>
      </w:r>
    </w:p>
    <w:p>
      <w:pPr>
        <w:pStyle w:val="Normal"/>
        <w:rPr/>
      </w:pPr>
      <w:r>
        <w:rPr/>
        <w:t>Les offres doivent obligatoirement être libellées en euros.</w:t>
      </w:r>
    </w:p>
    <w:p>
      <w:pPr>
        <w:pStyle w:val="Normal"/>
        <w:rPr/>
      </w:pPr>
      <w:r>
        <w:rPr/>
      </w:r>
    </w:p>
    <w:p>
      <w:pPr>
        <w:pStyle w:val="Normal"/>
        <w:rPr>
          <w:b/>
          <w:b/>
          <w:bCs/>
        </w:rPr>
      </w:pPr>
      <w:r>
        <w:rPr>
          <w:b/>
          <w:bCs/>
        </w:rPr>
        <w:t>Prix :</w:t>
      </w:r>
    </w:p>
    <w:p>
      <w:pPr>
        <w:pStyle w:val="Normal"/>
        <w:jc w:val="both"/>
        <w:rPr/>
      </w:pPr>
      <w:r>
        <w:rPr/>
        <w:t>La comparaison des Prix sera effectuée à l'aide du Détail Quantitatif Estimatif (DQE) complété par le candidat.</w:t>
      </w:r>
    </w:p>
    <w:p>
      <w:pPr>
        <w:pStyle w:val="Normal"/>
        <w:jc w:val="both"/>
        <w:rPr/>
      </w:pPr>
      <w:r>
        <w:rPr/>
      </w:r>
    </w:p>
    <w:p>
      <w:pPr>
        <w:pStyle w:val="Normal"/>
        <w:jc w:val="both"/>
        <w:rPr/>
      </w:pPr>
      <w:r>
        <w:rPr/>
        <w:t>En cas de discordance constatée dans une offre, les indications portées sur le Bordereau des prix unitaires prévaudront sur toutes autres indications de l'offre et le montant du Détail quantitatif estimatif sera rectifié en conséquence. Les erreurs de multiplication, d'addition ou de report qui seraient constatées dans ce Détail quantitatif estimatif seront également rectifiées et, pour le jugement des offres, c'est le montant ainsi rectifié du Détail quantitatif estimatif qui sera pris en considération.</w:t>
      </w:r>
    </w:p>
    <w:p>
      <w:pPr>
        <w:pStyle w:val="Normal"/>
        <w:jc w:val="both"/>
        <w:rPr/>
      </w:pPr>
      <w:r>
        <w:rPr/>
      </w:r>
    </w:p>
    <w:p>
      <w:pPr>
        <w:pStyle w:val="Normal"/>
        <w:jc w:val="both"/>
        <w:rPr/>
      </w:pPr>
      <w:r>
        <w:rPr/>
        <w:t>* Evaluation finale :</w:t>
      </w:r>
    </w:p>
    <w:p>
      <w:pPr>
        <w:pStyle w:val="Normal"/>
        <w:jc w:val="both"/>
        <w:rPr/>
      </w:pPr>
      <w:r>
        <w:rPr/>
        <w:t xml:space="preserve"> </w:t>
      </w:r>
      <w:r>
        <w:rPr/>
        <w:t>Les offres sont classées suivant la valeur de la note N correspondant à la note définitive. L'entreprise classée première est celle ayant la note la plus élevée.</w:t>
      </w:r>
    </w:p>
    <w:p>
      <w:pPr>
        <w:pStyle w:val="Normal"/>
        <w:jc w:val="both"/>
        <w:rPr/>
      </w:pPr>
      <w:r>
        <w:rPr/>
      </w:r>
    </w:p>
    <w:p>
      <w:pPr>
        <w:pStyle w:val="Normal"/>
        <w:jc w:val="both"/>
        <w:rPr/>
      </w:pPr>
      <w:r>
        <w:rPr/>
        <w:t>La pondération s'effectuera sur la base de : 60% pour le prix, 40% pour la valeur technique, en fonction de la formule suivante :</w:t>
      </w:r>
    </w:p>
    <w:p>
      <w:pPr>
        <w:pStyle w:val="Normal"/>
        <w:jc w:val="both"/>
        <w:rPr/>
      </w:pPr>
      <w:r>
        <w:rPr/>
        <w:t>N(note définitive) = N(i) + VT</w:t>
      </w:r>
    </w:p>
    <w:p>
      <w:pPr>
        <w:pStyle w:val="Normal"/>
        <w:jc w:val="both"/>
        <w:rPr/>
      </w:pPr>
      <w:r>
        <w:rPr/>
        <w:t>Le pouvoir adjudicateur peut ne pas donner suite à la consultation.</w:t>
      </w:r>
    </w:p>
    <w:p>
      <w:pPr>
        <w:pStyle w:val="Normal"/>
        <w:rPr/>
      </w:pPr>
      <w:r>
        <w:rPr/>
      </w:r>
    </w:p>
    <w:p>
      <w:pPr>
        <w:pStyle w:val="Normal"/>
        <w:rPr>
          <w:b/>
          <w:b/>
        </w:rPr>
      </w:pPr>
      <w:r>
        <w:rPr>
          <w:b/>
          <w:bCs/>
        </w:rPr>
        <w:t>LOT N° 2</w:t>
      </w:r>
    </w:p>
    <w:p>
      <w:pPr>
        <w:pStyle w:val="Normal"/>
        <w:rPr/>
      </w:pPr>
      <w:r>
        <w:rPr/>
      </w:r>
    </w:p>
    <w:p>
      <w:pPr>
        <w:pStyle w:val="Normal"/>
        <w:jc w:val="both"/>
        <w:rPr/>
      </w:pPr>
      <w:r>
        <w:rPr/>
        <w:t>La valeur sera appréciée à partir des informations qui figureront dans le mémoire technique.</w:t>
      </w:r>
    </w:p>
    <w:p>
      <w:pPr>
        <w:pStyle w:val="Normal"/>
        <w:jc w:val="both"/>
        <w:rPr/>
      </w:pPr>
      <w:r>
        <w:rPr/>
        <w:t>Les sous critères de pondération pour évaluer la valeur technique sont les suivants:</w:t>
      </w:r>
    </w:p>
    <w:p>
      <w:pPr>
        <w:pStyle w:val="Normal"/>
        <w:jc w:val="both"/>
        <w:rPr/>
      </w:pPr>
      <w:r>
        <w:rPr/>
      </w:r>
    </w:p>
    <w:p>
      <w:pPr>
        <w:pStyle w:val="Normal"/>
        <w:numPr>
          <w:ilvl w:val="0"/>
          <w:numId w:val="4"/>
        </w:numPr>
        <w:jc w:val="both"/>
        <w:rPr/>
      </w:pPr>
      <w:r>
        <w:rPr/>
        <w:t>Adéquation du personnel d‘intervention dédié et leurs qualifications (</w:t>
      </w:r>
      <w:r>
        <w:rPr/>
        <w:t>15</w:t>
      </w:r>
      <w:r>
        <w:rPr/>
        <w:t xml:space="preserve"> points)</w:t>
      </w:r>
    </w:p>
    <w:p>
      <w:pPr>
        <w:pStyle w:val="Normal"/>
        <w:numPr>
          <w:ilvl w:val="0"/>
          <w:numId w:val="4"/>
        </w:numPr>
        <w:jc w:val="both"/>
        <w:rPr/>
      </w:pPr>
      <w:r>
        <w:rPr/>
        <w:t>Qualité du processus mis en oeuvre pour assurer la traçabilité d‘élimination (</w:t>
      </w:r>
      <w:r>
        <w:rPr/>
        <w:t>15</w:t>
      </w:r>
      <w:r>
        <w:rPr/>
        <w:t xml:space="preserve"> points)</w:t>
      </w:r>
    </w:p>
    <w:p>
      <w:pPr>
        <w:pStyle w:val="Normal"/>
        <w:numPr>
          <w:ilvl w:val="0"/>
          <w:numId w:val="4"/>
        </w:numPr>
        <w:jc w:val="both"/>
        <w:rPr/>
      </w:pPr>
      <w:r>
        <w:rPr/>
        <w:t>Performance en matière de développement durable relative aux moyens mis en place pour optimiser les tournées et d‘élimination et/ou de recyclage des différents types de déchets (10 points)</w:t>
      </w:r>
    </w:p>
    <w:p>
      <w:pPr>
        <w:pStyle w:val="Normal"/>
        <w:jc w:val="both"/>
        <w:rPr/>
      </w:pPr>
      <w:r>
        <w:rPr/>
      </w:r>
    </w:p>
    <w:p>
      <w:pPr>
        <w:pStyle w:val="Normal"/>
        <w:jc w:val="both"/>
        <w:rPr/>
      </w:pPr>
      <w:r>
        <w:rPr/>
        <w:t>Le total des points relatif à la valeur technique constituera la valeur technique (VT) du candidat, le maximum pouvant être de 40 points</w:t>
      </w:r>
    </w:p>
    <w:p>
      <w:pPr>
        <w:pStyle w:val="Normal"/>
        <w:jc w:val="both"/>
        <w:rPr/>
      </w:pPr>
      <w:r>
        <w:rPr/>
      </w:r>
    </w:p>
    <w:p>
      <w:pPr>
        <w:pStyle w:val="Normal"/>
        <w:jc w:val="both"/>
        <w:rPr/>
      </w:pPr>
      <w:r>
        <w:rPr/>
        <w:t>Après élimination éventuelle des offres irrégulières ou inappropriées, la notation de l'offre du candidat (i) sera effectuée à l'aide de la formule suivante :</w:t>
      </w:r>
    </w:p>
    <w:p>
      <w:pPr>
        <w:pStyle w:val="Normal"/>
        <w:jc w:val="both"/>
        <w:rPr/>
      </w:pPr>
      <w:r>
        <w:rPr/>
      </w:r>
    </w:p>
    <w:p>
      <w:pPr>
        <w:pStyle w:val="Normal"/>
        <w:jc w:val="both"/>
        <w:rPr/>
      </w:pPr>
      <w:r>
        <w:rPr/>
        <w:t>VT = 40 * (VT(i)/VT(m))</w:t>
      </w:r>
    </w:p>
    <w:p>
      <w:pPr>
        <w:pStyle w:val="Normal"/>
        <w:jc w:val="both"/>
        <w:rPr/>
      </w:pPr>
      <w:r>
        <w:rPr/>
      </w:r>
    </w:p>
    <w:p>
      <w:pPr>
        <w:pStyle w:val="Normal"/>
        <w:jc w:val="both"/>
        <w:rPr/>
      </w:pPr>
      <w:r>
        <w:rPr/>
        <w:t>Dans laquelle :</w:t>
      </w:r>
    </w:p>
    <w:p>
      <w:pPr>
        <w:pStyle w:val="Normal"/>
        <w:jc w:val="both"/>
        <w:rPr/>
      </w:pPr>
      <w:r>
        <w:rPr/>
        <w:t>VT est la note finale attribuée à la valeur technique du candidat (i)</w:t>
      </w:r>
    </w:p>
    <w:p>
      <w:pPr>
        <w:pStyle w:val="Normal"/>
        <w:jc w:val="both"/>
        <w:rPr/>
      </w:pPr>
      <w:r>
        <w:rPr/>
        <w:t>VT (i) est la valeur technique initiale obtenue par le candidat (i)</w:t>
      </w:r>
    </w:p>
    <w:p>
      <w:pPr>
        <w:pStyle w:val="Normal"/>
        <w:jc w:val="both"/>
        <w:rPr/>
      </w:pPr>
      <w:r>
        <w:rPr/>
        <w:t>VT (m) est la valeur technique initiale obtenue par le candidat ayant la meilleure offre.</w:t>
      </w:r>
    </w:p>
    <w:p>
      <w:pPr>
        <w:pStyle w:val="Normal"/>
        <w:rPr>
          <w:u w:val="single"/>
        </w:rPr>
      </w:pPr>
      <w:r>
        <w:rPr>
          <w:u w:val="single"/>
        </w:rPr>
      </w:r>
    </w:p>
    <w:p>
      <w:pPr>
        <w:pStyle w:val="Normal"/>
        <w:rPr/>
      </w:pPr>
      <w:r>
        <w:rPr>
          <w:u w:val="single"/>
        </w:rPr>
        <w:t>Analyse du prix de l'offre</w:t>
      </w:r>
      <w:r>
        <w:rPr/>
        <w:t xml:space="preserve"> :</w:t>
      </w:r>
    </w:p>
    <w:p>
      <w:pPr>
        <w:pStyle w:val="Normal"/>
        <w:rPr/>
      </w:pPr>
      <w:r>
        <w:rPr/>
      </w:r>
    </w:p>
    <w:p>
      <w:pPr>
        <w:pStyle w:val="Normal"/>
        <w:rPr/>
      </w:pPr>
      <w:r>
        <w:rPr/>
        <w:t>Les offres doivent obligatoirement être libellées en euros.</w:t>
      </w:r>
    </w:p>
    <w:p>
      <w:pPr>
        <w:pStyle w:val="Standard"/>
        <w:rPr/>
      </w:pPr>
      <w:r>
        <w:rPr/>
      </w:r>
    </w:p>
    <w:p>
      <w:pPr>
        <w:pStyle w:val="Normal"/>
        <w:jc w:val="both"/>
        <w:rPr/>
      </w:pPr>
      <w:r>
        <w:rPr/>
      </w:r>
    </w:p>
    <w:p>
      <w:pPr>
        <w:pStyle w:val="Normal"/>
        <w:jc w:val="both"/>
        <w:rPr/>
      </w:pPr>
      <w:r>
        <w:rPr/>
      </w:r>
    </w:p>
    <w:p>
      <w:pPr>
        <w:pStyle w:val="Normal"/>
        <w:jc w:val="both"/>
        <w:rPr>
          <w:b/>
          <w:b/>
          <w:bCs/>
        </w:rPr>
      </w:pPr>
      <w:r>
        <w:rPr>
          <w:b/>
          <w:bCs/>
        </w:rPr>
        <w:t>Prix :</w:t>
      </w:r>
    </w:p>
    <w:p>
      <w:pPr>
        <w:pStyle w:val="Normal"/>
        <w:jc w:val="both"/>
        <w:rPr/>
      </w:pPr>
      <w:r>
        <w:rPr/>
        <w:t>La comparaison des Prix sera effectuée à l'aide du Détail Quantitatif Estimatif (DQE) complété par le candidat.</w:t>
      </w:r>
    </w:p>
    <w:p>
      <w:pPr>
        <w:pStyle w:val="Normal"/>
        <w:jc w:val="both"/>
        <w:rPr/>
      </w:pPr>
      <w:r>
        <w:rPr/>
      </w:r>
    </w:p>
    <w:p>
      <w:pPr>
        <w:pStyle w:val="Normal"/>
        <w:jc w:val="both"/>
        <w:rPr/>
      </w:pPr>
      <w:r>
        <w:rPr/>
        <w:t>En cas de discordance constatée dans une offre, les indications portées sur le Bordereau des prix unitaires prévaudront sur toutes autres indications de l'offre et le montant du Détail quantitatif estimatif sera rectifié en conséquence. Les erreurs de multiplication, d'addition ou de report qui seraient constatées dans ce Détail quantitatif estimatif seront également rectifiées et, pour le jugement des offres, c'est le montant ainsi rectifié du Détail quantitatif estimatif qui sera pris en considération.</w:t>
      </w:r>
    </w:p>
    <w:p>
      <w:pPr>
        <w:pStyle w:val="Normal"/>
        <w:jc w:val="both"/>
        <w:rPr/>
      </w:pPr>
      <w:r>
        <w:rPr/>
      </w:r>
    </w:p>
    <w:p>
      <w:pPr>
        <w:pStyle w:val="Normal"/>
        <w:jc w:val="both"/>
        <w:rPr/>
      </w:pPr>
      <w:r>
        <w:rPr/>
        <w:t>* Evaluation finale :</w:t>
      </w:r>
    </w:p>
    <w:p>
      <w:pPr>
        <w:pStyle w:val="Normal"/>
        <w:jc w:val="both"/>
        <w:rPr/>
      </w:pPr>
      <w:r>
        <w:rPr/>
        <w:t xml:space="preserve"> </w:t>
      </w:r>
      <w:r>
        <w:rPr/>
        <w:t>Les offres sont classées suivant la valeur de la note N correspondant à la note définitive. L'entreprise classée première est celle ayant la note la plus élevée.</w:t>
      </w:r>
    </w:p>
    <w:p>
      <w:pPr>
        <w:pStyle w:val="Normal"/>
        <w:jc w:val="both"/>
        <w:rPr/>
      </w:pPr>
      <w:r>
        <w:rPr/>
      </w:r>
    </w:p>
    <w:p>
      <w:pPr>
        <w:pStyle w:val="Normal"/>
        <w:jc w:val="both"/>
        <w:rPr/>
      </w:pPr>
      <w:r>
        <w:rPr/>
        <w:t>La pondération s'effectuera sur la base de : 60% pour le prix, 40% pour la valeur technique, en fonction de la formule suivante :</w:t>
      </w:r>
    </w:p>
    <w:p>
      <w:pPr>
        <w:pStyle w:val="Normal"/>
        <w:jc w:val="both"/>
        <w:rPr/>
      </w:pPr>
      <w:r>
        <w:rPr/>
        <w:t>N(note définitive) = N(i) + VT</w:t>
      </w:r>
    </w:p>
    <w:p>
      <w:pPr>
        <w:pStyle w:val="Normal"/>
        <w:jc w:val="both"/>
        <w:rPr/>
      </w:pPr>
      <w:r>
        <w:rPr/>
        <w:t>Le pouvoir adjudicateur peut ne pas donner suite à la consultation.</w:t>
      </w:r>
    </w:p>
    <w:p>
      <w:pPr>
        <w:pStyle w:val="Titre1"/>
        <w:numPr>
          <w:ilvl w:val="0"/>
          <w:numId w:val="0"/>
        </w:numPr>
        <w:shd w:val="clear" w:fill="CCCCCC"/>
        <w:tabs>
          <w:tab w:val="left" w:pos="567" w:leader="none"/>
          <w:tab w:val="left" w:pos="1140" w:leader="none"/>
          <w:tab w:val="left" w:pos="1695" w:leader="none"/>
          <w:tab w:val="left" w:pos="3349" w:leader="none"/>
        </w:tabs>
        <w:rPr/>
      </w:pPr>
      <w:bookmarkStart w:id="44" w:name="_Toc38526868"/>
      <w:bookmarkEnd w:id="44"/>
      <w:r>
        <w:rPr/>
        <w:t>ARTICLE 7</w:t>
        <w:tab/>
        <w:t>PIECES A REMETTRE PAR LE(S) CANDIDAT(S) RETENU(S)</w:t>
      </w:r>
    </w:p>
    <w:p>
      <w:pPr>
        <w:pStyle w:val="Normal"/>
        <w:jc w:val="both"/>
        <w:rPr/>
      </w:pPr>
      <w:r>
        <w:rPr/>
        <w:t>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Normal"/>
        <w:jc w:val="both"/>
        <w:rPr/>
      </w:pPr>
      <w:r>
        <w:rPr/>
      </w:r>
    </w:p>
    <w:p>
      <w:pPr>
        <w:pStyle w:val="Normal"/>
        <w:jc w:val="both"/>
        <w:rPr/>
      </w:pPr>
      <w:r>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Normal"/>
        <w:jc w:val="both"/>
        <w:rPr/>
      </w:pPr>
      <w:r>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Normal"/>
        <w:jc w:val="both"/>
        <w:rPr/>
      </w:pPr>
      <w:r>
        <w:rPr/>
      </w:r>
    </w:p>
    <w:p>
      <w:pPr>
        <w:pStyle w:val="Normal"/>
        <w:jc w:val="both"/>
        <w:rPr/>
      </w:pPr>
      <w:r>
        <w:rPr/>
        <w:t>Si le candidat retenu est un groupement, la demande du pouvoir adjudicateur sera adressée au mandataire qui devra présenter les pièces exigées pour l'ensemble des membres du groupement dans le délai indiqué au présent article.</w:t>
      </w:r>
    </w:p>
    <w:p>
      <w:pPr>
        <w:pStyle w:val="Normal"/>
        <w:jc w:val="both"/>
        <w:rPr/>
      </w:pPr>
      <w:r>
        <w:rPr/>
      </w:r>
    </w:p>
    <w:p>
      <w:pPr>
        <w:pStyle w:val="Normal"/>
        <w:jc w:val="both"/>
        <w:rPr/>
      </w:pPr>
      <w:r>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Normal"/>
        <w:jc w:val="both"/>
        <w:rPr/>
      </w:pPr>
      <w:r>
        <w:rPr/>
      </w:r>
    </w:p>
    <w:p>
      <w:pPr>
        <w:pStyle w:val="Normal"/>
        <w:jc w:val="both"/>
        <w:rPr/>
      </w:pPr>
      <w:r>
        <w:rPr/>
        <w:t xml:space="preserve">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w:t>
      </w:r>
      <w:hyperlink r:id="rId3">
        <w:r>
          <w:rPr>
            <w:rStyle w:val="LienInternet"/>
          </w:rPr>
          <w:t>http://www.e-attestations.com/</w:t>
        </w:r>
      </w:hyperlink>
    </w:p>
    <w:p>
      <w:pPr>
        <w:pStyle w:val="Normal"/>
        <w:jc w:val="both"/>
        <w:rPr>
          <w:rStyle w:val="LienInternet"/>
        </w:rPr>
      </w:pPr>
      <w:r>
        <w:rPr/>
      </w:r>
    </w:p>
    <w:p>
      <w:pPr>
        <w:pStyle w:val="Titre1"/>
        <w:numPr>
          <w:ilvl w:val="0"/>
          <w:numId w:val="0"/>
        </w:numPr>
        <w:shd w:val="clear" w:fill="CCCCCC"/>
        <w:tabs>
          <w:tab w:val="left" w:pos="567" w:leader="none"/>
          <w:tab w:val="left" w:pos="1140" w:leader="none"/>
          <w:tab w:val="left" w:pos="1695" w:leader="none"/>
          <w:tab w:val="left" w:pos="3349" w:leader="none"/>
        </w:tabs>
        <w:rPr/>
      </w:pPr>
      <w:bookmarkStart w:id="45" w:name="_Toc38526869"/>
      <w:bookmarkEnd w:id="45"/>
      <w:r>
        <w:rPr/>
        <w:t>ARTICLE 8</w:t>
        <w:tab/>
        <w:t>MODALITES RELATIVES AUX COMMUNICATIONS ET AUX ECHANGES D’INFORMATION</w:t>
      </w:r>
    </w:p>
    <w:p>
      <w:pPr>
        <w:pStyle w:val="Titre2"/>
        <w:numPr>
          <w:ilvl w:val="0"/>
          <w:numId w:val="0"/>
        </w:numPr>
        <w:tabs>
          <w:tab w:val="left" w:pos="567" w:leader="none"/>
        </w:tabs>
        <w:rPr/>
      </w:pPr>
      <w:bookmarkStart w:id="46" w:name="_Toc38526870"/>
      <w:bookmarkEnd w:id="46"/>
      <w:r>
        <w:rPr/>
        <w:t>8.1</w:t>
        <w:tab/>
        <w:t>Règles liées aux échanges électroniques</w:t>
      </w:r>
    </w:p>
    <w:p>
      <w:pPr>
        <w:pStyle w:val="Normal"/>
        <w:jc w:val="both"/>
        <w:rPr/>
      </w:pPr>
      <w:r>
        <w:rPr/>
      </w:r>
    </w:p>
    <w:p>
      <w:pPr>
        <w:pStyle w:val="Normal"/>
        <w:jc w:val="both"/>
        <w:rPr/>
      </w:pPr>
      <w:r>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Normal"/>
        <w:jc w:val="both"/>
        <w:rPr/>
      </w:pPr>
      <w:r>
        <w:rPr/>
      </w:r>
    </w:p>
    <w:p>
      <w:pPr>
        <w:pStyle w:val="Normal"/>
        <w:jc w:val="both"/>
        <w:rPr/>
      </w:pPr>
      <w:r>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Titre2"/>
        <w:numPr>
          <w:ilvl w:val="0"/>
          <w:numId w:val="0"/>
        </w:numPr>
        <w:tabs>
          <w:tab w:val="left" w:pos="567" w:leader="none"/>
        </w:tabs>
        <w:rPr/>
      </w:pPr>
      <w:bookmarkStart w:id="47" w:name="_Toc38526871"/>
      <w:bookmarkEnd w:id="47"/>
      <w:r>
        <w:rPr/>
        <w:t>8.2</w:t>
        <w:tab/>
        <w:t>Demandes de renseignements en cours de consultation</w:t>
      </w:r>
    </w:p>
    <w:p>
      <w:pPr>
        <w:pStyle w:val="Normal"/>
        <w:jc w:val="both"/>
        <w:rPr/>
      </w:pPr>
      <w:r>
        <w:rPr/>
        <w:t>L'attention des candidats est attirée sur la nécessité de fournir une adresse mail valide et régulièrement consultée.</w:t>
      </w:r>
    </w:p>
    <w:p>
      <w:pPr>
        <w:pStyle w:val="Normal"/>
        <w:jc w:val="both"/>
        <w:rPr/>
      </w:pPr>
      <w:r>
        <w:rPr/>
      </w:r>
    </w:p>
    <w:p>
      <w:pPr>
        <w:pStyle w:val="Normal"/>
        <w:jc w:val="both"/>
        <w:rPr/>
      </w:pPr>
      <w:r>
        <w:rPr/>
        <w:t>Les entreprises téléchargeant le DCE doivent s’inscrire sur la plateforme afin de bénéficier des éventuelles questions/réponses.</w:t>
      </w:r>
    </w:p>
    <w:p>
      <w:pPr>
        <w:pStyle w:val="Normal"/>
        <w:jc w:val="both"/>
        <w:rPr/>
      </w:pPr>
      <w:r>
        <w:rPr/>
      </w:r>
    </w:p>
    <w:p>
      <w:pPr>
        <w:pStyle w:val="Normal"/>
        <w:jc w:val="both"/>
        <w:rPr/>
      </w:pPr>
      <w:r>
        <w:rPr/>
        <w:t>Les soumissionnaires peuvent déposer des demandes de renseignements complémentaires sous forme de questions, par exemple, et obtenir des réponses à ces questions ou tout autre renseignement via le profil d'acheteur dont l'adresse internet est marchespublics.mairie-marseille.fr</w:t>
      </w:r>
    </w:p>
    <w:p>
      <w:pPr>
        <w:pStyle w:val="Normal"/>
        <w:jc w:val="both"/>
        <w:rPr/>
      </w:pPr>
      <w:r>
        <w:rPr/>
      </w:r>
    </w:p>
    <w:p>
      <w:pPr>
        <w:pStyle w:val="Normal"/>
        <w:jc w:val="both"/>
        <w:rPr/>
      </w:pPr>
      <w:r>
        <w:rPr/>
        <w:t xml:space="preserve">Ces demandes peuvent être adressées au représentant du pouvoir adjudicateur, par écrit, au plus tard </w:t>
      </w:r>
      <w:r>
        <w:rPr>
          <w:color w:val="000000"/>
        </w:rPr>
        <w:t>10 (dix) jours calendaires avant la date limite de remise des plis. Une réponse sera alors adressée au plus tard 7 (sept) jours calendaires avant la date limite de remise des plis, à tous les candidats ayant retiré un dossier de consultation.</w:t>
      </w:r>
    </w:p>
    <w:p>
      <w:pPr>
        <w:pStyle w:val="Normal"/>
        <w:jc w:val="both"/>
        <w:rPr/>
      </w:pPr>
      <w:r>
        <w:rPr/>
      </w:r>
    </w:p>
    <w:p>
      <w:pPr>
        <w:pStyle w:val="Normal"/>
        <w:jc w:val="both"/>
        <w:rPr/>
      </w:pPr>
      <w:r>
        <w:rPr/>
        <w:t xml:space="preserve">Les demandes de renseignements devront être adressées </w:t>
      </w:r>
      <w:r>
        <w:rPr>
          <w:b/>
        </w:rPr>
        <w:t>par voie électronique</w:t>
      </w:r>
      <w:r>
        <w:rPr/>
        <w:t xml:space="preserve"> exclusivement sur la plate-forme de dématérialisation accessible sur Internet à l'adresse suivante : https://marchespublics.mairie-marseille.fr/ à la rubrique correspondant à la consultation référencée.</w:t>
      </w:r>
    </w:p>
    <w:p>
      <w:pPr>
        <w:pStyle w:val="Normal"/>
        <w:jc w:val="both"/>
        <w:rPr/>
      </w:pPr>
      <w:r>
        <w:rPr/>
      </w:r>
    </w:p>
    <w:p>
      <w:pPr>
        <w:pStyle w:val="Normal"/>
        <w:jc w:val="both"/>
        <w:rPr/>
      </w:pPr>
      <w:r>
        <w:rPr/>
        <w:t>Aucune demande par courrier électronique ne sera acceptée.</w:t>
      </w:r>
    </w:p>
    <w:p>
      <w:pPr>
        <w:pStyle w:val="Titre2"/>
        <w:numPr>
          <w:ilvl w:val="0"/>
          <w:numId w:val="0"/>
        </w:numPr>
        <w:tabs>
          <w:tab w:val="left" w:pos="567" w:leader="none"/>
        </w:tabs>
        <w:rPr/>
      </w:pPr>
      <w:bookmarkStart w:id="48" w:name="_Toc38526872"/>
      <w:bookmarkEnd w:id="48"/>
      <w:r>
        <w:rPr/>
        <w:t>8.3</w:t>
        <w:tab/>
        <w:t>Modification de détail du dossier de consultation</w:t>
      </w:r>
    </w:p>
    <w:p>
      <w:pPr>
        <w:pStyle w:val="Normal"/>
        <w:jc w:val="both"/>
        <w:rPr/>
      </w:pPr>
      <w:r>
        <w:rPr/>
        <w:t>L'acheteur se réserve le droit d'apporter au plus tard 7 jours avant la date limite pour la remise des offres, les modifications de détail au dossier de consultation.</w:t>
      </w:r>
    </w:p>
    <w:p>
      <w:pPr>
        <w:pStyle w:val="Normal"/>
        <w:jc w:val="both"/>
        <w:rPr/>
      </w:pPr>
      <w:r>
        <w:rPr/>
      </w:r>
    </w:p>
    <w:p>
      <w:pPr>
        <w:pStyle w:val="Normal"/>
        <w:jc w:val="both"/>
        <w:rPr/>
      </w:pPr>
      <w:r>
        <w:rPr/>
        <w:t>Le délai de 7 jours sera décompté à partir de la date de réception de ces modifications par les entreprises candidates au marché. Les candidats devront alors répondre sur la base du dossier modifié sans pouvoir n'élever aucune réclamation à ce sujet.</w:t>
      </w:r>
    </w:p>
    <w:p>
      <w:pPr>
        <w:pStyle w:val="Normal"/>
        <w:jc w:val="both"/>
        <w:rPr/>
      </w:pPr>
      <w:r>
        <w:rPr/>
      </w:r>
    </w:p>
    <w:p>
      <w:pPr>
        <w:pStyle w:val="Normal"/>
        <w:jc w:val="both"/>
        <w:rPr/>
      </w:pPr>
      <w:r>
        <w:rPr/>
        <w:t>Si, pendant l'étude du dossier par les candidats, la date limite pour la remise des offres est reportée, la disposition précédente est applicable en fonction de cette nouvelle date.</w:t>
      </w:r>
    </w:p>
    <w:p>
      <w:pPr>
        <w:pStyle w:val="Normal"/>
        <w:jc w:val="both"/>
        <w:rPr/>
      </w:pPr>
      <w:r>
        <w:rPr/>
      </w:r>
    </w:p>
    <w:p>
      <w:pPr>
        <w:pStyle w:val="Normal"/>
        <w:jc w:val="both"/>
        <w:rPr/>
      </w:pPr>
      <w:r>
        <w:rPr/>
        <w:t>Ces modifications seront transmises par voie électronique conformément à l'article 6.2 "Renseignements complémentaires".</w:t>
      </w:r>
    </w:p>
    <w:p>
      <w:pPr>
        <w:pStyle w:val="Titre1"/>
        <w:numPr>
          <w:ilvl w:val="0"/>
          <w:numId w:val="0"/>
        </w:numPr>
        <w:shd w:val="clear" w:fill="CCCCCC"/>
        <w:tabs>
          <w:tab w:val="left" w:pos="567" w:leader="none"/>
          <w:tab w:val="left" w:pos="1140" w:leader="none"/>
          <w:tab w:val="left" w:pos="1695" w:leader="none"/>
          <w:tab w:val="left" w:pos="3349" w:leader="none"/>
        </w:tabs>
        <w:rPr/>
      </w:pPr>
      <w:bookmarkStart w:id="49" w:name="_Toc38526873"/>
      <w:bookmarkEnd w:id="49"/>
      <w:r>
        <w:rPr/>
        <w:t>ARTICLE 9</w:t>
        <w:tab/>
        <w:t>VOIES ET DELAIS DE RECOURS</w:t>
      </w:r>
    </w:p>
    <w:p>
      <w:pPr>
        <w:pStyle w:val="Normal"/>
        <w:jc w:val="both"/>
        <w:rPr>
          <w:b/>
          <w:b/>
          <w:bCs/>
        </w:rPr>
      </w:pPr>
      <w:r>
        <w:rPr>
          <w:b/>
          <w:bCs/>
        </w:rPr>
        <w:t>Instance chargée des procédures de recours :</w:t>
      </w:r>
    </w:p>
    <w:p>
      <w:pPr>
        <w:pStyle w:val="Normal"/>
        <w:jc w:val="both"/>
        <w:rPr/>
      </w:pPr>
      <w:r>
        <w:rPr/>
      </w:r>
    </w:p>
    <w:p>
      <w:pPr>
        <w:pStyle w:val="Normal"/>
        <w:jc w:val="both"/>
        <w:rPr/>
      </w:pPr>
      <w:r>
        <w:rPr/>
        <w:t>Tribunal administratif Marseille</w:t>
      </w:r>
    </w:p>
    <w:p>
      <w:pPr>
        <w:pStyle w:val="Normal"/>
        <w:jc w:val="both"/>
        <w:rPr/>
      </w:pPr>
      <w:r>
        <w:rPr/>
        <w:t>22-24 rue Breteuil 13281 Marseille Cedex 06</w:t>
      </w:r>
    </w:p>
    <w:p>
      <w:pPr>
        <w:pStyle w:val="Normal"/>
        <w:jc w:val="both"/>
        <w:rPr/>
      </w:pPr>
      <w:r>
        <w:rPr/>
        <w:t>Renseignements :</w:t>
      </w:r>
    </w:p>
    <w:p>
      <w:pPr>
        <w:pStyle w:val="Normal"/>
        <w:jc w:val="both"/>
        <w:rPr/>
      </w:pPr>
      <w:r>
        <w:rPr/>
        <w:t>Téléphone greffe : 04.91.13.48.13. – Fax : 04.91.81.13.87</w:t>
      </w:r>
    </w:p>
    <w:p>
      <w:pPr>
        <w:pStyle w:val="Normal"/>
        <w:jc w:val="both"/>
        <w:rPr/>
      </w:pPr>
      <w:r>
        <w:rPr/>
      </w:r>
    </w:p>
    <w:p>
      <w:pPr>
        <w:pStyle w:val="Normal"/>
        <w:jc w:val="both"/>
        <w:rPr/>
      </w:pPr>
      <w:r>
        <w:rPr/>
        <w:t xml:space="preserve">Le requérant peut saisir le Tribunal Administratif de Marseille de manière dématérialisée, par le biais de l'application informatique "Télérecours citoyen" accessible depuis le site internet </w:t>
      </w:r>
      <w:hyperlink r:id="rId4">
        <w:r>
          <w:rPr>
            <w:rStyle w:val="LienInternet"/>
          </w:rPr>
          <w:t>www.telerecours.fr</w:t>
        </w:r>
      </w:hyperlink>
      <w:r>
        <w:rPr/>
        <w:t>.</w:t>
      </w:r>
    </w:p>
    <w:p>
      <w:pPr>
        <w:pStyle w:val="Normal"/>
        <w:jc w:val="both"/>
        <w:rPr/>
      </w:pPr>
      <w:r>
        <w:rPr/>
      </w:r>
    </w:p>
    <w:p>
      <w:pPr>
        <w:pStyle w:val="Normal"/>
        <w:jc w:val="both"/>
        <w:rPr>
          <w:b/>
          <w:b/>
          <w:bCs/>
        </w:rPr>
      </w:pPr>
      <w:r>
        <w:rPr>
          <w:b/>
          <w:bCs/>
        </w:rPr>
        <w:t>Introduction des recours :</w:t>
      </w:r>
    </w:p>
    <w:p>
      <w:pPr>
        <w:pStyle w:val="Normal"/>
        <w:jc w:val="both"/>
        <w:rPr/>
      </w:pPr>
      <w:r>
        <w:rPr/>
      </w:r>
    </w:p>
    <w:p>
      <w:pPr>
        <w:pStyle w:val="Normal"/>
        <w:jc w:val="both"/>
        <w:rPr>
          <w:u w:val="single"/>
        </w:rPr>
      </w:pPr>
      <w:r>
        <w:rPr>
          <w:u w:val="single"/>
        </w:rPr>
        <w:t>Précisions concernant les délais d'introduction des recours :</w:t>
      </w:r>
    </w:p>
    <w:p>
      <w:pPr>
        <w:pStyle w:val="Normal"/>
        <w:jc w:val="both"/>
        <w:rPr/>
      </w:pPr>
      <w:r>
        <w:rPr/>
      </w:r>
    </w:p>
    <w:p>
      <w:pPr>
        <w:pStyle w:val="Normal"/>
        <w:jc w:val="both"/>
        <w:rPr/>
      </w:pPr>
      <w:r>
        <w:rPr/>
        <w:t>- Un recours en référé précontractuel peut être introduit depuis le début de la procédure de passation jusqu'à la signature du marché par la personne publique. A partir de la signature du marché ce recours n'est plus ouvert. (Application des articles L.551-1 et suivants et R.551-1 et suivants du Code de justice administrative).</w:t>
      </w:r>
    </w:p>
    <w:p>
      <w:pPr>
        <w:pStyle w:val="Normal"/>
        <w:jc w:val="both"/>
        <w:rPr/>
      </w:pPr>
      <w:r>
        <w:rPr/>
      </w:r>
    </w:p>
    <w:p>
      <w:pPr>
        <w:pStyle w:val="Normal"/>
        <w:jc w:val="both"/>
        <w:rPr/>
      </w:pPr>
      <w:r>
        <w:rPr/>
        <w:t>- Un recours en référé contractuel peut être introduit conformément aux dispositions de l'article L 551.13 du Code de justice administrative au plus tard le trente et unième jour suivant la publication d'un avis d'attribution du contrat ou, pour les marchés fondés sur un accord-cadre ou un système d'acquisition dynamique, suivant la notification de la conclusion du contrat.</w:t>
      </w:r>
    </w:p>
    <w:p>
      <w:pPr>
        <w:pStyle w:val="Normal"/>
        <w:jc w:val="both"/>
        <w:rPr/>
      </w:pPr>
      <w:r>
        <w:rPr/>
        <w:t>En l'absence de la publication d'avis ou de la notification mentionnées à l'alinéa qui précède, la juridiction peut être saisie jusqu'à l'expiration d'un délai de six mois à compter du lendemain du jour de la conclusion du contrat.</w:t>
      </w:r>
    </w:p>
    <w:p>
      <w:pPr>
        <w:pStyle w:val="Normal"/>
        <w:jc w:val="both"/>
        <w:rPr/>
      </w:pPr>
      <w:r>
        <w:rPr/>
        <w:t>Toutefois ce recours n'est pas ouvert au demandeur ayant fait usage du recours prévu à l'article L. 551-1 dès lors que l'acheteur a respecté la suspension prévue à l'article L. 551-4 et s'est conformé à la décision juridictionnelle rendue sur ce recours.</w:t>
      </w:r>
    </w:p>
    <w:p>
      <w:pPr>
        <w:pStyle w:val="Normal"/>
        <w:jc w:val="both"/>
        <w:rPr/>
      </w:pPr>
      <w:r>
        <w:rPr/>
      </w:r>
    </w:p>
    <w:p>
      <w:pPr>
        <w:pStyle w:val="Normal"/>
        <w:jc w:val="both"/>
        <w:rPr/>
      </w:pPr>
      <w:r>
        <w:rPr/>
        <w:t>- Un recours gracieux peut être formé dans un délai de 2 mois à compter de la publication ou de la notification de la décision contestée. Ce recours interrompt le cours du délai contentieux qui n'est susceptible que d'une seule prorogation.</w:t>
      </w:r>
    </w:p>
    <w:p>
      <w:pPr>
        <w:pStyle w:val="Normal"/>
        <w:jc w:val="both"/>
        <w:rPr/>
      </w:pPr>
      <w:r>
        <w:rPr/>
      </w:r>
    </w:p>
    <w:p>
      <w:pPr>
        <w:pStyle w:val="Normal"/>
        <w:jc w:val="both"/>
        <w:rPr/>
      </w:pPr>
      <w:r>
        <w:rPr/>
        <w:t>- Un recours pour excès de pouvoir peut être introduit dans les 2 mois à compter de la notification ou de la publication de la décision ou de l'acte contesté. Pour le concurrent évincé le recours pour excès de pouvoir n'est plus ouvert à compter de la conclusion du contrat (application de l'article R 421-1 du Code de justice administrative)</w:t>
      </w:r>
    </w:p>
    <w:p>
      <w:pPr>
        <w:pStyle w:val="Normal"/>
        <w:jc w:val="both"/>
        <w:rPr/>
      </w:pPr>
      <w:r>
        <w:rPr/>
      </w:r>
    </w:p>
    <w:p>
      <w:pPr>
        <w:pStyle w:val="Normal"/>
        <w:jc w:val="both"/>
        <w:rPr/>
      </w:pPr>
      <w:r>
        <w:rPr/>
        <w:t>- Un référé suspension peut être introduit avant la signature du marché contre les actes détachables du contrat (application de l'article L 521-1 du Code de justice administrative).</w:t>
      </w:r>
    </w:p>
    <w:p>
      <w:pPr>
        <w:pStyle w:val="Normal"/>
        <w:jc w:val="both"/>
        <w:rPr/>
      </w:pPr>
      <w:r>
        <w:rPr/>
      </w:r>
    </w:p>
    <w:p>
      <w:pPr>
        <w:pStyle w:val="Normal"/>
        <w:jc w:val="both"/>
        <w:rPr/>
      </w:pPr>
      <w:r>
        <w:rPr/>
        <w:t>- Tout tiers à un contrat administratif susceptible d'être lésé dans ses intérêts de façon suffisamment directe et certaine par sa passation ou ses clauses est recevable à former devant le juge du contrat un recours de pleine juridiction contestant la validité du contrat ou de certaines de ses clauses non réglementaires qui en sont divisibles.</w:t>
      </w:r>
    </w:p>
    <w:p>
      <w:pPr>
        <w:pStyle w:val="Normal"/>
        <w:jc w:val="both"/>
        <w:rPr/>
      </w:pPr>
      <w:r>
        <w:rPr/>
        <w:t>Ce recours doit être exercé, y compris si le contrat contesté est relatif à des travaux publics, dans un délai de deux mois à compter de la publication de l'avis d'attribution mentionnant la conclusion du contrat et les modalités de sa consultation dans le respect des secrets protégés par la loi.</w:t>
      </w:r>
    </w:p>
    <w:p>
      <w:pPr>
        <w:pStyle w:val="Normal"/>
        <w:jc w:val="both"/>
        <w:rPr/>
      </w:pPr>
      <w:r>
        <w:rPr/>
        <w:t>A partir de la conclusion du contrat, ces tiers auxquels ce recours est ouvert ne sont plus recevables à demander l'annulation pour excès de pouvoir des actes préalables qui en sont détachables. (Conseil d'Etat, ass., 4 avril 2014, « Département de Tarn-et-Garonne », n° 358994).</w:t>
      </w:r>
    </w:p>
    <w:p>
      <w:pPr>
        <w:pStyle w:val="Normal"/>
        <w:jc w:val="both"/>
        <w:rPr/>
      </w:pPr>
      <w:r>
        <w:rPr/>
      </w:r>
    </w:p>
    <w:p>
      <w:pPr>
        <w:pStyle w:val="Normal"/>
        <w:jc w:val="both"/>
        <w:rPr>
          <w:b/>
          <w:b/>
          <w:bCs/>
          <w:u w:val="single"/>
        </w:rPr>
      </w:pPr>
      <w:r>
        <w:rPr>
          <w:b/>
          <w:bCs/>
          <w:u w:val="single"/>
        </w:rPr>
        <w:t>Médiation :</w:t>
      </w:r>
    </w:p>
    <w:p>
      <w:pPr>
        <w:pStyle w:val="Normal"/>
        <w:jc w:val="both"/>
        <w:rPr/>
      </w:pPr>
      <w:r>
        <w:rPr/>
      </w:r>
    </w:p>
    <w:p>
      <w:pPr>
        <w:pStyle w:val="Normal"/>
        <w:jc w:val="both"/>
        <w:rPr/>
      </w:pPr>
      <w:r>
        <w:rPr/>
        <w:t>- Mission de conciliation : Le tribunal administratif Marseille peut exercer une mission de conciliation conformément à l'article L.211-4 du Code de Justice de Administrative. Tél : 0491134813,</w:t>
      </w:r>
    </w:p>
    <w:p>
      <w:pPr>
        <w:pStyle w:val="Normal"/>
        <w:jc w:val="both"/>
        <w:rPr/>
      </w:pPr>
      <w:r>
        <w:rPr/>
      </w:r>
    </w:p>
    <w:p>
      <w:pPr>
        <w:pStyle w:val="Normal"/>
        <w:jc w:val="both"/>
        <w:rPr/>
      </w:pPr>
      <w:r>
        <w:rPr/>
        <w:t xml:space="preserve">- Pour les différends liés exclusivement à l'exécution du marché : Comité consultatif interrégional de règlement amiable conformément à l'article 142 du décret N°2016-360 du 25 mars 2016 : Préfecture de région, Bd Paul Peytral, 13282 Marseille Cedex 20, Tél : 0484354000. Adresse Internet : </w:t>
      </w:r>
      <w:hyperlink r:id="rId5">
        <w:r>
          <w:rPr>
            <w:rStyle w:val="LienInternet"/>
          </w:rPr>
          <w:t>http://www.paca.pref.gouv.fr</w:t>
        </w:r>
      </w:hyperlink>
    </w:p>
    <w:p>
      <w:pPr>
        <w:pStyle w:val="Standard"/>
        <w:jc w:val="both"/>
        <w:rPr/>
      </w:pPr>
      <w:r>
        <w:rPr/>
      </w:r>
    </w:p>
    <w:p>
      <w:pPr>
        <w:pStyle w:val="Standard"/>
        <w:jc w:val="both"/>
        <w:rPr/>
      </w:pPr>
      <w:r>
        <w:rPr/>
      </w:r>
    </w:p>
    <w:p>
      <w:pPr>
        <w:pStyle w:val="Standard"/>
        <w:jc w:val="both"/>
        <w:rPr/>
      </w:pPr>
      <w:r>
        <w:rPr/>
      </w:r>
    </w:p>
    <w:p>
      <w:pPr>
        <w:pStyle w:val="Standard"/>
        <w:jc w:val="both"/>
        <w:rPr/>
      </w:pPr>
      <w:r>
        <w:rPr/>
      </w:r>
    </w:p>
    <w:p>
      <w:pPr>
        <w:sectPr>
          <w:type w:val="continuous"/>
          <w:pgSz w:w="11906" w:h="16838"/>
          <w:pgMar w:left="1803" w:right="1803" w:header="0" w:top="1418" w:footer="0" w:bottom="1236" w:gutter="0"/>
          <w:formProt w:val="false"/>
          <w:textDirection w:val="lrTb"/>
          <w:docGrid w:type="default" w:linePitch="286" w:charSpace="0"/>
        </w:sectPr>
      </w:pPr>
    </w:p>
    <w:p>
      <w:pPr>
        <w:pStyle w:val="Normal"/>
        <w:rPr/>
      </w:pPr>
      <w:r>
        <w:rPr/>
      </w:r>
    </w:p>
    <w:p>
      <w:pPr>
        <w:sectPr>
          <w:type w:val="continuous"/>
          <w:pgSz w:w="11906" w:h="16838"/>
          <w:pgMar w:left="1803" w:right="1803" w:header="0" w:top="1418" w:footer="714" w:bottom="1236" w:gutter="0"/>
          <w:formProt w:val="false"/>
          <w:textDirection w:val="lrTb"/>
          <w:docGrid w:type="default" w:linePitch="286" w:charSpace="0"/>
        </w:sectPr>
      </w:pPr>
    </w:p>
    <w:p>
      <w:pPr>
        <w:pStyle w:val="Normal"/>
        <w:rPr/>
      </w:pPr>
      <w:r>
        <w:rPr/>
      </w:r>
    </w:p>
    <w:p>
      <w:pPr>
        <w:sectPr>
          <w:type w:val="continuous"/>
          <w:pgSz w:w="11906" w:h="16838"/>
          <w:pgMar w:left="1803" w:right="1803" w:header="0" w:top="1418" w:footer="714" w:bottom="1236" w:gutter="0"/>
          <w:formProt w:val="false"/>
          <w:textDirection w:val="lrTb"/>
          <w:docGrid w:type="default" w:linePitch="286" w:charSpace="0"/>
        </w:sectPr>
      </w:pPr>
    </w:p>
    <w:sectPr>
      <w:type w:val="continuous"/>
      <w:pgSz w:w="11906" w:h="16838"/>
      <w:pgMar w:left="1803" w:right="1803" w:header="0" w:top="1418" w:footer="714" w:bottom="1236" w:gutter="0"/>
      <w:pgNumType w:fmt="decimal"/>
      <w:formProt w:val="false"/>
      <w:textDirection w:val="lrTb"/>
      <w:docGrid w:type="default" w:linePitch="28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Trebuchet MS">
    <w:charset w:val="00"/>
    <w:family w:val="roman"/>
    <w:pitch w:val="variable"/>
  </w:font>
  <w:font w:name="Segoe UI">
    <w:charset w:val="00"/>
    <w:family w:val="roman"/>
    <w:pitch w:val="variable"/>
  </w:font>
  <w:font w:name="Liberation Sans">
    <w:altName w:val="Arial"/>
    <w:charset w:val="00"/>
    <w:family w:val="roman"/>
    <w:pitch w:val="variable"/>
  </w:font>
  <w:font w:name="Calibri Light">
    <w:charset w:val="00"/>
    <w:family w:val="roman"/>
    <w:pitch w:val="variable"/>
  </w:font>
  <w:font w:name="Calibri">
    <w:charset w:val="00"/>
    <w:family w:val="roman"/>
    <w:pitch w:val="variable"/>
  </w:font>
  <w:font w:name="Wingdings">
    <w:charset w:val="02"/>
    <w:family w:val="auto"/>
    <w:pitch w:val="variable"/>
  </w:font>
  <w:font w:name="Courier New">
    <w:charset w:val="01"/>
    <w:family w:val="modern"/>
    <w:pitch w:val="fixed"/>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18" w:color="000001"/>
      </w:pBdr>
      <w:rPr>
        <w:sz w:val="18"/>
        <w:szCs w:val="18"/>
      </w:rPr>
    </w:pPr>
    <w:r>
      <w:rPr>
        <w:rFonts w:ascii="Arial" w:hAnsi="Arial"/>
        <w:sz w:val="18"/>
        <w:szCs w:val="18"/>
      </w:rPr>
      <w:t>Ville de Marseille – RC</w:t>
    </w:r>
  </w:p>
  <w:p>
    <w:pPr>
      <w:pStyle w:val="Pieddepage"/>
      <w:pBdr>
        <w:top w:val="single" w:sz="2" w:space="0" w:color="000001"/>
        <w:left w:val="single" w:sz="2" w:space="0" w:color="000001"/>
        <w:bottom w:val="single" w:sz="2" w:space="0" w:color="000001"/>
        <w:right w:val="single" w:sz="2" w:space="18" w:color="000001"/>
      </w:pBdr>
      <w:rPr>
        <w:sz w:val="18"/>
        <w:szCs w:val="18"/>
      </w:rPr>
    </w:pPr>
    <w:r>
      <w:rPr>
        <w:rFonts w:ascii="Arial" w:hAnsi="Arial"/>
        <w:sz w:val="18"/>
        <w:szCs w:val="18"/>
      </w:rPr>
      <w:t>Fourniture d’emballages à usage unique et prestations de collecte, transport et élimination des déchets de soins à risques infectieux (DASRI) du funérarium Municipal</w:t>
    </w:r>
  </w:p>
  <w:p>
    <w:pPr>
      <w:pStyle w:val="Pieddepage"/>
      <w:pBdr>
        <w:top w:val="single" w:sz="2" w:space="0" w:color="000001"/>
        <w:left w:val="single" w:sz="2" w:space="0" w:color="000001"/>
        <w:bottom w:val="single" w:sz="2" w:space="0" w:color="000001"/>
        <w:right w:val="single" w:sz="2" w:space="18" w:color="000001"/>
      </w:pBdr>
      <w:rPr/>
    </w:pPr>
    <w:r>
      <w:rPr>
        <w:rFonts w:ascii="Arial" w:hAnsi="Arial"/>
        <w:sz w:val="16"/>
        <w:szCs w:val="16"/>
      </w:rPr>
      <w:tab/>
      <w:tab/>
    </w:r>
    <w:r>
      <w:rPr>
        <w:rFonts w:ascii="Arial" w:hAnsi="Arial"/>
        <w:sz w:val="16"/>
        <w:szCs w:val="16"/>
      </w:rPr>
      <w:fldChar w:fldCharType="begin"/>
    </w:r>
    <w:r>
      <w:instrText> PAGE </w:instrText>
    </w:r>
    <w:r>
      <w:fldChar w:fldCharType="separate"/>
    </w:r>
    <w:r>
      <w:t>2</w:t>
    </w:r>
    <w:r>
      <w:fldChar w:fldCharType="end"/>
    </w:r>
    <w:r>
      <w:rPr>
        <w:rStyle w:val="Pagenumber"/>
        <w:rFonts w:ascii="Arial" w:hAnsi="Arial"/>
        <w:sz w:val="16"/>
        <w:szCs w:val="16"/>
      </w:rPr>
      <w:t>/</w:t>
    </w:r>
    <w:r>
      <w:rPr>
        <w:rStyle w:val="Pagenumber"/>
        <w:rFonts w:ascii="Arial" w:hAnsi="Arial"/>
        <w:sz w:val="16"/>
        <w:szCs w:val="16"/>
      </w:rPr>
      <w:fldChar w:fldCharType="begin"/>
    </w:r>
    <w:r>
      <w:instrText> NUMPAGES </w:instrText>
    </w:r>
    <w:r>
      <w:fldChar w:fldCharType="separate"/>
    </w:r>
    <w:r>
      <w:t>18</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b/>
        <w:rFonts w:cs="Symbol"/>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567"/>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Times New Roman" w:cs="Times New Roman"/>
      <w:color w:val="00000A"/>
      <w:sz w:val="21"/>
      <w:szCs w:val="20"/>
      <w:lang w:val="fr-FR" w:eastAsia="fr-FR" w:bidi="ar-SA"/>
    </w:rPr>
  </w:style>
  <w:style w:type="paragraph" w:styleId="Titre1">
    <w:name w:val="Heading 1"/>
    <w:basedOn w:val="Normal"/>
    <w:qFormat/>
    <w:pPr>
      <w:widowControl w:val="false"/>
      <w:pBdr>
        <w:top w:val="single" w:sz="8" w:space="1" w:color="C0C0C0"/>
        <w:left w:val="single" w:sz="8" w:space="1" w:color="C0C0C0"/>
        <w:bottom w:val="single" w:sz="8" w:space="1" w:color="C0C0C0"/>
        <w:right w:val="single" w:sz="8" w:space="1" w:color="C0C0C0"/>
      </w:pBdr>
      <w:shd w:val="clear" w:color="auto" w:fill="CCCCCC"/>
      <w:tabs>
        <w:tab w:val="left" w:pos="3349" w:leader="none"/>
      </w:tabs>
      <w:bidi w:val="0"/>
      <w:spacing w:before="567" w:after="283"/>
      <w:jc w:val="left"/>
      <w:outlineLvl w:val="0"/>
    </w:pPr>
    <w:rPr>
      <w:rFonts w:ascii="Times New Roman" w:hAnsi="Times New Roman" w:eastAsia="MS PMincho" w:cs="Tahoma"/>
      <w:b/>
      <w:bCs/>
      <w:color w:val="00000A"/>
      <w:sz w:val="24"/>
      <w:szCs w:val="48"/>
      <w:lang w:val="fr-FR" w:eastAsia="fr-FR" w:bidi="ar-SA"/>
    </w:rPr>
  </w:style>
  <w:style w:type="paragraph" w:styleId="Titre2">
    <w:name w:val="Heading 2"/>
    <w:basedOn w:val="Normal"/>
    <w:qFormat/>
    <w:pPr>
      <w:widowControl w:val="false"/>
      <w:bidi w:val="0"/>
      <w:spacing w:before="283" w:after="170"/>
      <w:jc w:val="left"/>
      <w:outlineLvl w:val="1"/>
    </w:pPr>
    <w:rPr>
      <w:rFonts w:ascii="Times New Roman" w:hAnsi="Times New Roman" w:eastAsia="MS PMincho" w:cs="Tahoma"/>
      <w:b/>
      <w:bCs/>
      <w:color w:val="00000A"/>
      <w:sz w:val="24"/>
      <w:szCs w:val="36"/>
      <w:lang w:val="fr-FR" w:eastAsia="fr-FR" w:bidi="ar-SA"/>
    </w:rPr>
  </w:style>
  <w:style w:type="paragraph" w:styleId="Titre3">
    <w:name w:val="Heading 3"/>
    <w:basedOn w:val="Normal"/>
    <w:qFormat/>
    <w:pPr>
      <w:widowControl w:val="false"/>
      <w:bidi w:val="0"/>
      <w:spacing w:before="283" w:after="113"/>
      <w:jc w:val="left"/>
      <w:outlineLvl w:val="2"/>
    </w:pPr>
    <w:rPr>
      <w:rFonts w:ascii="Times New Roman" w:hAnsi="Times New Roman" w:eastAsia="MS PMincho" w:cs="Tahoma"/>
      <w:b/>
      <w:bCs/>
      <w:color w:val="00000A"/>
      <w:sz w:val="22"/>
      <w:szCs w:val="28"/>
      <w:lang w:val="fr-FR" w:eastAsia="fr-FR" w:bidi="ar-SA"/>
    </w:rPr>
  </w:style>
  <w:style w:type="paragraph" w:styleId="Titre4">
    <w:name w:val="Heading 4"/>
    <w:basedOn w:val="Normal"/>
    <w:qFormat/>
    <w:pPr>
      <w:widowControl w:val="false"/>
      <w:bidi w:val="0"/>
      <w:spacing w:before="283" w:after="57"/>
      <w:jc w:val="left"/>
      <w:outlineLvl w:val="3"/>
    </w:pPr>
    <w:rPr>
      <w:rFonts w:ascii="Times New Roman" w:hAnsi="Times New Roman" w:eastAsia="Times New Roman" w:cs="Times New Roman"/>
      <w:bCs/>
      <w:iCs/>
      <w:color w:val="00000A"/>
      <w:sz w:val="24"/>
      <w:szCs w:val="20"/>
      <w:lang w:val="fr-FR" w:eastAsia="fr-FR" w:bidi="ar-SA"/>
    </w:rPr>
  </w:style>
  <w:style w:type="paragraph" w:styleId="Titre5">
    <w:name w:val="Heading 5"/>
    <w:basedOn w:val="Normal"/>
    <w:qFormat/>
    <w:pPr>
      <w:widowControl w:val="false"/>
      <w:bidi w:val="0"/>
      <w:spacing w:before="283" w:after="57"/>
      <w:jc w:val="left"/>
      <w:outlineLvl w:val="4"/>
    </w:pPr>
    <w:rPr>
      <w:rFonts w:ascii="Times New Roman" w:hAnsi="Times New Roman" w:eastAsia="Times New Roman" w:cs="Times New Roman"/>
      <w:bCs/>
      <w:i/>
      <w:color w:val="00000A"/>
      <w:sz w:val="22"/>
      <w:szCs w:val="20"/>
      <w:lang w:val="fr-FR" w:eastAsia="fr-FR" w:bidi="ar-SA"/>
    </w:rPr>
  </w:style>
  <w:style w:type="paragraph" w:styleId="Titre6">
    <w:name w:val="Heading 6"/>
    <w:basedOn w:val="Normal"/>
    <w:qFormat/>
    <w:pPr>
      <w:widowControl/>
      <w:suppressAutoHyphens w:val="true"/>
      <w:bidi w:val="0"/>
      <w:jc w:val="left"/>
      <w:outlineLvl w:val="5"/>
    </w:pPr>
    <w:rPr>
      <w:bCs/>
      <w:sz w:val="24"/>
      <w:szCs w:val="21"/>
    </w:rPr>
  </w:style>
  <w:style w:type="paragraph" w:styleId="Titre7">
    <w:name w:val="Heading 7"/>
    <w:basedOn w:val="Normal"/>
    <w:qFormat/>
    <w:pPr>
      <w:widowControl/>
      <w:suppressAutoHyphens w:val="true"/>
      <w:bidi w:val="0"/>
      <w:jc w:val="left"/>
      <w:outlineLvl w:val="6"/>
    </w:pPr>
    <w:rPr>
      <w:bCs/>
      <w:sz w:val="24"/>
      <w:szCs w:val="21"/>
    </w:rPr>
  </w:style>
  <w:style w:type="paragraph" w:styleId="Titre8">
    <w:name w:val="Heading 8"/>
    <w:basedOn w:val="Normal"/>
    <w:qFormat/>
    <w:pPr>
      <w:widowControl/>
      <w:suppressAutoHyphens w:val="true"/>
      <w:bidi w:val="0"/>
      <w:jc w:val="left"/>
      <w:outlineLvl w:val="7"/>
    </w:pPr>
    <w:rPr>
      <w:bCs/>
      <w:sz w:val="24"/>
      <w:szCs w:val="21"/>
    </w:rPr>
  </w:style>
  <w:style w:type="paragraph" w:styleId="Titre9">
    <w:name w:val="Heading 9"/>
    <w:basedOn w:val="Normal"/>
    <w:qFormat/>
    <w:pPr>
      <w:widowControl/>
      <w:suppressAutoHyphens w:val="true"/>
      <w:bidi w:val="0"/>
      <w:jc w:val="left"/>
      <w:outlineLvl w:val="8"/>
    </w:pPr>
    <w:rPr>
      <w:bCs/>
      <w:sz w:val="24"/>
      <w:szCs w:val="21"/>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Policepardfaut1" w:customStyle="1">
    <w:name w:val="Police par défaut1"/>
    <w:qFormat/>
    <w:rPr/>
  </w:style>
  <w:style w:type="character" w:styleId="Titre1Car" w:customStyle="1">
    <w:name w:val="Titre 1 Car"/>
    <w:qFormat/>
    <w:rPr>
      <w:rFonts w:ascii="Arial" w:hAnsi="Arial" w:eastAsia="Arial" w:cs="Arial"/>
      <w:color w:val="808080"/>
      <w:sz w:val="24"/>
      <w:szCs w:val="24"/>
    </w:rPr>
  </w:style>
  <w:style w:type="character" w:styleId="Titre2Car" w:customStyle="1">
    <w:name w:val="Titre 2 Car"/>
    <w:qFormat/>
    <w:rPr>
      <w:rFonts w:ascii="Arial" w:hAnsi="Arial" w:eastAsia="Arial" w:cs="Arial"/>
      <w:b/>
      <w:bCs/>
      <w:i/>
      <w:iCs/>
      <w:sz w:val="28"/>
      <w:szCs w:val="28"/>
    </w:rPr>
  </w:style>
  <w:style w:type="character" w:styleId="Titre3Car" w:customStyle="1">
    <w:name w:val="Titre 3 Car"/>
    <w:qFormat/>
    <w:rPr>
      <w:rFonts w:ascii="Arial" w:hAnsi="Arial" w:eastAsia="Arial" w:cs="Arial"/>
      <w:b/>
      <w:bCs/>
      <w:sz w:val="26"/>
      <w:szCs w:val="26"/>
    </w:rPr>
  </w:style>
  <w:style w:type="character" w:styleId="CorpsdetexteCar" w:customStyle="1">
    <w:name w:val="Corps de texte Car"/>
    <w:qFormat/>
    <w:rPr>
      <w:rFonts w:ascii="Arial" w:hAnsi="Arial" w:eastAsia="Arial" w:cs="Arial"/>
      <w:b/>
      <w:bCs/>
      <w:sz w:val="24"/>
      <w:szCs w:val="24"/>
    </w:rPr>
  </w:style>
  <w:style w:type="character" w:styleId="EntteCar" w:customStyle="1">
    <w:name w:val="En-tête Car"/>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Strong">
    <w:name w:val="Strong"/>
    <w:qFormat/>
    <w:rPr>
      <w:b/>
      <w:bCs/>
    </w:rPr>
  </w:style>
  <w:style w:type="character" w:styleId="Pagenumber">
    <w:name w:val="page number"/>
    <w:basedOn w:val="Policepardfaut1"/>
    <w:qFormat/>
    <w:rPr/>
  </w:style>
  <w:style w:type="character" w:styleId="Style1Char" w:customStyle="1">
    <w:name w:val="Style 1 Char"/>
    <w:qFormat/>
    <w:rPr>
      <w:rFonts w:ascii="Trebuchet MS" w:hAnsi="Trebuchet MS" w:eastAsia="SimSun" w:cs="Trebuchet MS"/>
      <w:b/>
      <w:szCs w:val="24"/>
      <w:lang w:val="en-US" w:eastAsia="ar-SA" w:bidi="ar-SA"/>
    </w:rPr>
  </w:style>
  <w:style w:type="character" w:styleId="WW8Num2z0" w:customStyle="1">
    <w:name w:val="WW8Num2z0"/>
    <w:qFormat/>
    <w:rPr>
      <w:rFonts w:ascii="Trebuchet MS" w:hAnsi="Trebuchet MS" w:eastAsia="Trebuchet MS" w:cs="Trebuchet MS"/>
    </w:rPr>
  </w:style>
  <w:style w:type="character" w:styleId="WW8Num1z0" w:customStyle="1">
    <w:name w:val="WW8Num1z0"/>
    <w:qFormat/>
    <w:rPr>
      <w:rFonts w:ascii="Trebuchet MS" w:hAnsi="Trebuchet MS" w:eastAsia="Trebuchet MS" w:cs="Trebuchet MS"/>
    </w:rPr>
  </w:style>
  <w:style w:type="character" w:styleId="Annotationreference">
    <w:name w:val="annotation reference"/>
    <w:qFormat/>
    <w:rPr>
      <w:sz w:val="16"/>
      <w:szCs w:val="16"/>
    </w:rPr>
  </w:style>
  <w:style w:type="character" w:styleId="CommentaireCar" w:customStyle="1">
    <w:name w:val="Commentaire Car"/>
    <w:qFormat/>
    <w:rPr>
      <w:rFonts w:ascii="Arial" w:hAnsi="Arial" w:eastAsia="SimSun" w:cs="Arial"/>
    </w:rPr>
  </w:style>
  <w:style w:type="character" w:styleId="ObjetducommentaireCar" w:customStyle="1">
    <w:name w:val="Objet du commentaire Car"/>
    <w:qFormat/>
    <w:rPr>
      <w:rFonts w:ascii="Arial" w:hAnsi="Arial" w:eastAsia="SimSun" w:cs="Arial"/>
      <w:b/>
      <w:bCs/>
    </w:rPr>
  </w:style>
  <w:style w:type="character" w:styleId="TextedebullesCar" w:customStyle="1">
    <w:name w:val="Texte de bulles Car"/>
    <w:qFormat/>
    <w:rPr>
      <w:rFonts w:ascii="Segoe UI" w:hAnsi="Segoe UI" w:eastAsia="SimSun" w:cs="Segoe UI"/>
      <w:sz w:val="18"/>
      <w:szCs w:val="18"/>
    </w:rPr>
  </w:style>
  <w:style w:type="character" w:styleId="Accentuation">
    <w:name w:val="Accentuation"/>
    <w:basedOn w:val="DefaultParagraphFont"/>
    <w:qFormat/>
    <w:rPr>
      <w:i/>
      <w:iCs/>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eastAsia="SimSun" w:cs="Arial"/>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eastAsia="SimSun" w:cs="Arial"/>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eastAsia="SimSun" w:cs="Arial"/>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Symbol"/>
    </w:rPr>
  </w:style>
  <w:style w:type="character" w:styleId="ListLabel16" w:customStyle="1">
    <w:name w:val="ListLabel 16"/>
    <w:qFormat/>
    <w:rPr>
      <w:rFonts w:cs="Wingdings"/>
    </w:rPr>
  </w:style>
  <w:style w:type="character" w:styleId="ListLabel17" w:customStyle="1">
    <w:name w:val="ListLabel 17"/>
    <w:qFormat/>
    <w:rPr>
      <w:rFonts w:cs="Symbol"/>
    </w:rPr>
  </w:style>
  <w:style w:type="character" w:styleId="ListLabel18" w:customStyle="1">
    <w:name w:val="ListLabel 18"/>
    <w:qFormat/>
    <w:rPr>
      <w:rFonts w:cs="Courier New"/>
    </w:rPr>
  </w:style>
  <w:style w:type="character" w:styleId="ListLabel19" w:customStyle="1">
    <w:name w:val="ListLabel 19"/>
    <w:qFormat/>
    <w:rPr>
      <w:rFonts w:cs="Wingdings"/>
    </w:rPr>
  </w:style>
  <w:style w:type="character" w:styleId="ListLabel20" w:customStyle="1">
    <w:name w:val="ListLabel 20"/>
    <w:qFormat/>
    <w:rPr>
      <w:rFonts w:cs="Symbol"/>
    </w:rPr>
  </w:style>
  <w:style w:type="character" w:styleId="ListLabel21" w:customStyle="1">
    <w:name w:val="ListLabel 21"/>
    <w:qFormat/>
    <w:rPr>
      <w:rFonts w:cs="Courier New"/>
    </w:rPr>
  </w:style>
  <w:style w:type="character" w:styleId="ListLabel22" w:customStyle="1">
    <w:name w:val="ListLabel 22"/>
    <w:qFormat/>
    <w:rPr>
      <w:rFonts w:cs="Wingdings"/>
    </w:rPr>
  </w:style>
  <w:style w:type="character" w:styleId="ListLabel23" w:customStyle="1">
    <w:name w:val="ListLabel 23"/>
    <w:qFormat/>
    <w:rPr>
      <w:rFonts w:cs="Arial"/>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name w:val="ListLabel 32"/>
    <w:qFormat/>
    <w:rPr>
      <w:rFonts w:cs="Symbol"/>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Aria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Aria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enInternet">
    <w:name w:val="Lien Internet"/>
    <w:rPr>
      <w:color w:val="000080"/>
      <w:u w:val="single"/>
      <w:lang w:val="zxx" w:eastAsia="zxx" w:bidi="zxx"/>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Symbol"/>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Aria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cs="Symbol"/>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Aria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cs="Symbol"/>
    </w:rPr>
  </w:style>
  <w:style w:type="character" w:styleId="ListLabel151">
    <w:name w:val="ListLabel 151"/>
    <w:qFormat/>
    <w:rPr>
      <w:rFonts w:cs="Courier New"/>
    </w:rPr>
  </w:style>
  <w:style w:type="character" w:styleId="ListLabel152">
    <w:name w:val="ListLabel 152"/>
    <w:qFormat/>
    <w:rPr>
      <w:rFonts w:cs="Wingdings"/>
    </w:rPr>
  </w:style>
  <w:style w:type="character" w:styleId="ListLabel153">
    <w:name w:val="ListLabel 153"/>
    <w:qFormat/>
    <w:rPr>
      <w:rFonts w:cs="Symbol"/>
    </w:rPr>
  </w:style>
  <w:style w:type="character" w:styleId="ListLabel154">
    <w:name w:val="ListLabel 154"/>
    <w:qFormat/>
    <w:rPr>
      <w:rFonts w:cs="Courier New"/>
    </w:rPr>
  </w:style>
  <w:style w:type="character" w:styleId="ListLabel155">
    <w:name w:val="ListLabel 155"/>
    <w:qFormat/>
    <w:rPr>
      <w:rFonts w:cs="Wingdings"/>
    </w:rPr>
  </w:style>
  <w:style w:type="character" w:styleId="ListLabel156">
    <w:name w:val="ListLabel 156"/>
    <w:qFormat/>
    <w:rPr>
      <w:rFonts w:cs="Symbol"/>
    </w:rPr>
  </w:style>
  <w:style w:type="character" w:styleId="ListLabel157">
    <w:name w:val="ListLabel 157"/>
    <w:qFormat/>
    <w:rPr>
      <w:rFonts w:cs="Courier New"/>
    </w:rPr>
  </w:style>
  <w:style w:type="character" w:styleId="ListLabel158">
    <w:name w:val="ListLabel 158"/>
    <w:qFormat/>
    <w:rPr>
      <w:rFonts w:cs="Wingdings"/>
    </w:rPr>
  </w:style>
  <w:style w:type="character" w:styleId="ListLabel159">
    <w:name w:val="ListLabel 159"/>
    <w:qFormat/>
    <w:rPr>
      <w:rFonts w:cs="Symbol"/>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cs="Symbol"/>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Aria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Symbol"/>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Wingdings"/>
    </w:rPr>
  </w:style>
  <w:style w:type="character" w:styleId="ListLabel195">
    <w:name w:val="ListLabel 195"/>
    <w:qFormat/>
    <w:rPr>
      <w:rFonts w:cs="Symbol"/>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cs="Symbol"/>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Aria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cs="Symbol"/>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rFonts w:cs="Symbol"/>
      <w:b/>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Symbol"/>
    </w:rPr>
  </w:style>
  <w:style w:type="character" w:styleId="ListLabel236">
    <w:name w:val="ListLabel 236"/>
    <w:qFormat/>
    <w:rPr>
      <w:rFonts w:cs="Wingdings"/>
    </w:rPr>
  </w:style>
  <w:style w:type="character" w:styleId="ListLabel237">
    <w:name w:val="ListLabel 237"/>
    <w:qFormat/>
    <w:rPr>
      <w:rFonts w:cs="Symbol"/>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cs="Symbol"/>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cs="Aria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cs="Symbol"/>
    </w:rPr>
  </w:style>
  <w:style w:type="character" w:styleId="ListLabel247">
    <w:name w:val="ListLabel 247"/>
    <w:qFormat/>
    <w:rPr>
      <w:rFonts w:cs="Courier New"/>
    </w:rPr>
  </w:style>
  <w:style w:type="character" w:styleId="ListLabel248">
    <w:name w:val="ListLabel 248"/>
    <w:qFormat/>
    <w:rPr>
      <w:rFonts w:cs="Wingdings"/>
    </w:rPr>
  </w:style>
  <w:style w:type="character" w:styleId="ListLabel249">
    <w:name w:val="ListLabel 249"/>
    <w:qFormat/>
    <w:rPr>
      <w:rFonts w:cs="Symbol"/>
    </w:rPr>
  </w:style>
  <w:style w:type="character" w:styleId="ListLabel250">
    <w:name w:val="ListLabel 250"/>
    <w:qFormat/>
    <w:rPr>
      <w:rFonts w:cs="Courier New"/>
    </w:rPr>
  </w:style>
  <w:style w:type="character" w:styleId="ListLabel251">
    <w:name w:val="ListLabel 251"/>
    <w:qFormat/>
    <w:rPr>
      <w:rFonts w:cs="Wingdings"/>
    </w:rPr>
  </w:style>
  <w:style w:type="character" w:styleId="ListLabel252">
    <w:name w:val="ListLabel 252"/>
    <w:qFormat/>
    <w:rPr>
      <w:rFonts w:cs="Symbol"/>
    </w:rPr>
  </w:style>
  <w:style w:type="character" w:styleId="ListLabel253">
    <w:name w:val="ListLabel 253"/>
    <w:qFormat/>
    <w:rPr>
      <w:rFonts w:cs="Courier New"/>
    </w:rPr>
  </w:style>
  <w:style w:type="character" w:styleId="ListLabel254">
    <w:name w:val="ListLabel 254"/>
    <w:qFormat/>
    <w:rPr>
      <w:rFonts w:cs="Wingdings"/>
    </w:rPr>
  </w:style>
  <w:style w:type="character" w:styleId="ListLabel255">
    <w:name w:val="ListLabel 255"/>
    <w:qFormat/>
    <w:rPr>
      <w:rFonts w:cs="Symbol"/>
    </w:rPr>
  </w:style>
  <w:style w:type="character" w:styleId="ListLabel256">
    <w:name w:val="ListLabel 256"/>
    <w:qFormat/>
    <w:rPr>
      <w:rFonts w:cs="Courier New"/>
    </w:rPr>
  </w:style>
  <w:style w:type="character" w:styleId="ListLabel257">
    <w:name w:val="ListLabel 257"/>
    <w:qFormat/>
    <w:rPr>
      <w:rFonts w:cs="Wingdings"/>
    </w:rPr>
  </w:style>
  <w:style w:type="character" w:styleId="ListLabel258">
    <w:name w:val="ListLabel 258"/>
    <w:qFormat/>
    <w:rPr>
      <w:rFonts w:cs="Symbol"/>
    </w:rPr>
  </w:style>
  <w:style w:type="character" w:styleId="ListLabel259">
    <w:name w:val="ListLabel 259"/>
    <w:qFormat/>
    <w:rPr>
      <w:rFonts w:cs="Courier New"/>
    </w:rPr>
  </w:style>
  <w:style w:type="character" w:styleId="ListLabel260">
    <w:name w:val="ListLabel 260"/>
    <w:qFormat/>
    <w:rPr>
      <w:rFonts w:cs="Wingdings"/>
    </w:rPr>
  </w:style>
  <w:style w:type="character" w:styleId="ListLabel261">
    <w:name w:val="ListLabel 261"/>
    <w:qFormat/>
    <w:rPr>
      <w:rFonts w:cs="Symbol"/>
      <w:b/>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cs="Symbol"/>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cs="Symbol"/>
    </w:rPr>
  </w:style>
  <w:style w:type="character" w:styleId="ListLabel270">
    <w:name w:val="ListLabel 270"/>
    <w:qFormat/>
    <w:rPr>
      <w:rFonts w:cs="Wingdings"/>
    </w:rPr>
  </w:style>
  <w:style w:type="character" w:styleId="ListLabel271">
    <w:name w:val="ListLabel 271"/>
    <w:qFormat/>
    <w:rPr>
      <w:rFonts w:cs="Symbol"/>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Aria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Symbol"/>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Symbol"/>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cs="Symbol"/>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b/>
    </w:rPr>
  </w:style>
  <w:style w:type="character" w:styleId="ListLabel296">
    <w:name w:val="ListLabel 296"/>
    <w:qFormat/>
    <w:rPr>
      <w:rFonts w:cs="Wingdings"/>
    </w:rPr>
  </w:style>
  <w:style w:type="character" w:styleId="ListLabel297">
    <w:name w:val="ListLabel 297"/>
    <w:qFormat/>
    <w:rPr>
      <w:rFonts w:cs="Symbol"/>
    </w:rPr>
  </w:style>
  <w:style w:type="character" w:styleId="ListLabel298">
    <w:name w:val="ListLabel 298"/>
    <w:qFormat/>
    <w:rPr>
      <w:rFonts w:cs="Courier New"/>
    </w:rPr>
  </w:style>
  <w:style w:type="character" w:styleId="ListLabel299">
    <w:name w:val="ListLabel 299"/>
    <w:qFormat/>
    <w:rPr>
      <w:rFonts w:cs="Wingdings"/>
    </w:rPr>
  </w:style>
  <w:style w:type="character" w:styleId="ListLabel300">
    <w:name w:val="ListLabel 300"/>
    <w:qFormat/>
    <w:rPr>
      <w:rFonts w:cs="Symbol"/>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cs="Symbol"/>
    </w:rPr>
  </w:style>
  <w:style w:type="character" w:styleId="ListLabel304">
    <w:name w:val="ListLabel 304"/>
    <w:qFormat/>
    <w:rPr>
      <w:rFonts w:cs="Wingdings"/>
    </w:rPr>
  </w:style>
  <w:style w:type="character" w:styleId="ListLabel305">
    <w:name w:val="ListLabel 305"/>
    <w:qFormat/>
    <w:rPr>
      <w:rFonts w:cs="Symbol"/>
    </w:rPr>
  </w:style>
  <w:style w:type="character" w:styleId="ListLabel306">
    <w:name w:val="ListLabel 306"/>
    <w:qFormat/>
    <w:rPr>
      <w:rFonts w:cs="Courier New"/>
    </w:rPr>
  </w:style>
  <w:style w:type="character" w:styleId="ListLabel307">
    <w:name w:val="ListLabel 307"/>
    <w:qFormat/>
    <w:rPr>
      <w:rFonts w:cs="Wingdings"/>
    </w:rPr>
  </w:style>
  <w:style w:type="character" w:styleId="ListLabel308">
    <w:name w:val="ListLabel 308"/>
    <w:qFormat/>
    <w:rPr>
      <w:rFonts w:cs="Symbol"/>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rFonts w:cs="Arial"/>
    </w:rPr>
  </w:style>
  <w:style w:type="character" w:styleId="ListLabel312">
    <w:name w:val="ListLabel 312"/>
    <w:qFormat/>
    <w:rPr>
      <w:rFonts w:cs="Courier New"/>
    </w:rPr>
  </w:style>
  <w:style w:type="character" w:styleId="ListLabel313">
    <w:name w:val="ListLabel 313"/>
    <w:qFormat/>
    <w:rPr>
      <w:rFonts w:cs="Wingdings"/>
    </w:rPr>
  </w:style>
  <w:style w:type="character" w:styleId="ListLabel314">
    <w:name w:val="ListLabel 314"/>
    <w:qFormat/>
    <w:rPr>
      <w:rFonts w:cs="Symbol"/>
    </w:rPr>
  </w:style>
  <w:style w:type="character" w:styleId="ListLabel315">
    <w:name w:val="ListLabel 315"/>
    <w:qFormat/>
    <w:rPr>
      <w:rFonts w:cs="Courier New"/>
    </w:rPr>
  </w:style>
  <w:style w:type="character" w:styleId="ListLabel316">
    <w:name w:val="ListLabel 316"/>
    <w:qFormat/>
    <w:rPr>
      <w:rFonts w:cs="Wingdings"/>
    </w:rPr>
  </w:style>
  <w:style w:type="character" w:styleId="ListLabel317">
    <w:name w:val="ListLabel 317"/>
    <w:qFormat/>
    <w:rPr>
      <w:rFonts w:cs="Symbol"/>
    </w:rPr>
  </w:style>
  <w:style w:type="character" w:styleId="ListLabel318">
    <w:name w:val="ListLabel 318"/>
    <w:qFormat/>
    <w:rPr>
      <w:rFonts w:cs="Courier New"/>
    </w:rPr>
  </w:style>
  <w:style w:type="character" w:styleId="ListLabel319">
    <w:name w:val="ListLabel 319"/>
    <w:qFormat/>
    <w:rPr>
      <w:rFonts w:cs="Wingdings"/>
    </w:rPr>
  </w:style>
  <w:style w:type="character" w:styleId="ListLabel320">
    <w:name w:val="ListLabel 320"/>
    <w:qFormat/>
    <w:rPr>
      <w:rFonts w:cs="Symbol"/>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rPr>
  </w:style>
  <w:style w:type="character" w:styleId="ListLabel327">
    <w:name w:val="ListLabel 327"/>
    <w:qFormat/>
    <w:rPr>
      <w:rFonts w:cs="Courier New"/>
    </w:rPr>
  </w:style>
  <w:style w:type="character" w:styleId="ListLabel328">
    <w:name w:val="ListLabel 328"/>
    <w:qFormat/>
    <w:rPr>
      <w:rFonts w:cs="Wingdings"/>
    </w:rPr>
  </w:style>
  <w:style w:type="paragraph" w:styleId="Titre" w:customStyle="1">
    <w:name w:val="Titre"/>
    <w:basedOn w:val="Normal"/>
    <w:next w:val="Corpsdetexte"/>
    <w:qFormat/>
    <w:pPr>
      <w:keepNext w:val="true"/>
      <w:widowControl w:val="false"/>
      <w:bidi w:val="0"/>
      <w:spacing w:before="240" w:after="120"/>
      <w:jc w:val="left"/>
    </w:pPr>
    <w:rPr>
      <w:rFonts w:ascii="Liberation Sans" w:hAnsi="Liberation Sans" w:eastAsia="Microsoft YaHei" w:cs="Mangal"/>
      <w:color w:val="00000A"/>
      <w:sz w:val="28"/>
      <w:szCs w:val="28"/>
      <w:lang w:val="fr-FR" w:eastAsia="fr-FR" w:bidi="ar-SA"/>
    </w:rPr>
  </w:style>
  <w:style w:type="paragraph" w:styleId="Corpsdetexte">
    <w:name w:val="Body Text"/>
    <w:basedOn w:val="Normal"/>
    <w:pPr>
      <w:spacing w:lineRule="auto" w:line="288" w:before="0" w:after="140"/>
    </w:pPr>
    <w:rPr/>
  </w:style>
  <w:style w:type="paragraph" w:styleId="Liste">
    <w:name w:val="List"/>
    <w:basedOn w:val="Normal"/>
    <w:pPr>
      <w:widowControl w:val="false"/>
      <w:bidi w:val="0"/>
      <w:jc w:val="left"/>
    </w:pPr>
    <w:rPr>
      <w:rFonts w:ascii="Times New Roman" w:hAnsi="Times New Roman" w:eastAsia="Times New Roman" w:cs="Tahoma"/>
      <w:color w:val="00000A"/>
      <w:sz w:val="21"/>
      <w:szCs w:val="20"/>
      <w:lang w:val="fr-FR" w:eastAsia="fr-FR" w:bidi="ar-SA"/>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suppressLineNumbers/>
      <w:bidi w:val="0"/>
      <w:jc w:val="left"/>
    </w:pPr>
    <w:rPr>
      <w:rFonts w:ascii="Trebuchet MS" w:hAnsi="Trebuchet MS" w:eastAsia="Trebuchet MS" w:cs="Tahoma"/>
      <w:color w:val="00000A"/>
      <w:sz w:val="21"/>
      <w:szCs w:val="20"/>
      <w:lang w:val="fr-FR" w:eastAsia="fr-FR" w:bidi="ar-SA"/>
    </w:rPr>
  </w:style>
  <w:style w:type="paragraph" w:styleId="Standard" w:customStyle="1">
    <w:name w:val="Standard"/>
    <w:autoRedefine/>
    <w:qFormat/>
    <w:pPr>
      <w:keepNext w:val="true"/>
      <w:keepLines/>
      <w:widowControl/>
      <w:suppressAutoHyphens w:val="true"/>
      <w:bidi w:val="0"/>
      <w:jc w:val="both"/>
      <w:textAlignment w:val="center"/>
    </w:pPr>
    <w:rPr>
      <w:rFonts w:ascii="Arial" w:hAnsi="Arial" w:eastAsia="Arial" w:cs="Arial"/>
      <w:b w:val="false"/>
      <w:bCs w:val="false"/>
      <w:color w:val="00000A"/>
      <w:sz w:val="21"/>
      <w:szCs w:val="24"/>
      <w:u w:val="none"/>
      <w:lang w:val="de-DE" w:eastAsia="ja-JP" w:bidi="fa-IR"/>
    </w:rPr>
  </w:style>
  <w:style w:type="paragraph" w:styleId="Textbody" w:customStyle="1">
    <w:name w:val="Text body"/>
    <w:basedOn w:val="Standard"/>
    <w:qFormat/>
    <w:pPr/>
    <w:rPr/>
  </w:style>
  <w:style w:type="paragraph" w:styleId="Caption">
    <w:name w:val="caption"/>
    <w:basedOn w:val="Standard"/>
    <w:qFormat/>
    <w:pPr>
      <w:suppressLineNumbers/>
      <w:spacing w:before="120" w:after="120"/>
    </w:pPr>
    <w:rPr>
      <w:i/>
      <w:iCs/>
      <w:sz w:val="24"/>
    </w:rPr>
  </w:style>
  <w:style w:type="paragraph" w:styleId="Titreprincipal">
    <w:name w:val="Title"/>
    <w:basedOn w:val="Standard"/>
    <w:qFormat/>
    <w:pPr>
      <w:spacing w:before="240" w:after="120"/>
    </w:pPr>
    <w:rPr>
      <w:rFonts w:ascii="Liberation Sans" w:hAnsi="Liberation Sans" w:eastAsia="Microsoft YaHei"/>
      <w:sz w:val="28"/>
      <w:szCs w:val="28"/>
    </w:rPr>
  </w:style>
  <w:style w:type="paragraph" w:styleId="Titre21" w:customStyle="1">
    <w:name w:val="Titre2"/>
    <w:basedOn w:val="Standard"/>
    <w:qFormat/>
    <w:pPr>
      <w:pBdr>
        <w:top w:val="single" w:sz="18" w:space="1" w:color="808080"/>
        <w:left w:val="single" w:sz="18" w:space="1" w:color="808080"/>
        <w:bottom w:val="single" w:sz="18" w:space="1" w:color="808080"/>
        <w:right w:val="single" w:sz="18" w:space="1" w:color="808080"/>
      </w:pBdr>
      <w:spacing w:before="567" w:after="567"/>
      <w:jc w:val="center"/>
    </w:pPr>
    <w:rPr>
      <w:rFonts w:eastAsia="Andale Sans UI" w:cs="Tahoma"/>
      <w:b/>
      <w:sz w:val="32"/>
      <w:szCs w:val="28"/>
    </w:rPr>
  </w:style>
  <w:style w:type="paragraph" w:styleId="Lgende1" w:customStyle="1">
    <w:name w:val="Légende1"/>
    <w:basedOn w:val="Standard"/>
    <w:qFormat/>
    <w:pPr>
      <w:suppressLineNumbers/>
      <w:spacing w:before="120" w:after="120"/>
    </w:pPr>
    <w:rPr>
      <w:rFonts w:ascii="Trebuchet MS" w:hAnsi="Trebuchet MS" w:eastAsia="Trebuchet MS" w:cs="Tahoma"/>
      <w:i/>
      <w:iCs/>
      <w:sz w:val="24"/>
    </w:rPr>
  </w:style>
  <w:style w:type="paragraph" w:styleId="Contenudetableau" w:customStyle="1">
    <w:name w:val="Contenu de tableau"/>
    <w:basedOn w:val="Standard"/>
    <w:qFormat/>
    <w:pPr>
      <w:suppressLineNumbers/>
    </w:pPr>
    <w:rPr>
      <w:rFonts w:ascii="Trebuchet MS" w:hAnsi="Trebuchet MS" w:eastAsia="Trebuchet MS" w:cs="Trebuchet MS"/>
    </w:rPr>
  </w:style>
  <w:style w:type="paragraph" w:styleId="Titredetableau" w:customStyle="1">
    <w:name w:val="Titre de tableau"/>
    <w:basedOn w:val="Contenudetableau"/>
    <w:qFormat/>
    <w:pPr>
      <w:jc w:val="center"/>
    </w:pPr>
    <w:rPr>
      <w:b/>
      <w:bCs/>
    </w:rPr>
  </w:style>
  <w:style w:type="paragraph" w:styleId="Titre11" w:customStyle="1">
    <w:name w:val="Titre 11"/>
    <w:basedOn w:val="Standard"/>
    <w:next w:val="Standard"/>
    <w:qFormat/>
    <w:pPr/>
    <w:rPr>
      <w:rFonts w:ascii="Trebuchet MS" w:hAnsi="Trebuchet MS" w:eastAsia="Trebuchet MS" w:cs="Trebuchet MS"/>
      <w:color w:val="808080"/>
      <w:sz w:val="36"/>
      <w:szCs w:val="36"/>
    </w:rPr>
  </w:style>
  <w:style w:type="paragraph" w:styleId="Titre211" w:customStyle="1">
    <w:name w:val="Titre 21"/>
    <w:basedOn w:val="Standard"/>
    <w:next w:val="Standard"/>
    <w:qFormat/>
    <w:pPr>
      <w:spacing w:before="240" w:after="60"/>
    </w:pPr>
    <w:rPr>
      <w:rFonts w:ascii="Trebuchet MS" w:hAnsi="Trebuchet MS" w:eastAsia="Trebuchet MS" w:cs="Trebuchet MS"/>
      <w:b/>
      <w:bCs/>
      <w:i/>
      <w:iCs/>
      <w:sz w:val="28"/>
      <w:szCs w:val="28"/>
    </w:rPr>
  </w:style>
  <w:style w:type="paragraph" w:styleId="Titre31" w:customStyle="1">
    <w:name w:val="Titre 31"/>
    <w:basedOn w:val="Standard"/>
    <w:next w:val="Standard"/>
    <w:qFormat/>
    <w:pPr>
      <w:spacing w:before="240" w:after="60"/>
    </w:pPr>
    <w:rPr>
      <w:rFonts w:ascii="Trebuchet MS" w:hAnsi="Trebuchet MS" w:eastAsia="Trebuchet MS" w:cs="Trebuchet MS"/>
      <w:b/>
      <w:bCs/>
      <w:sz w:val="26"/>
      <w:szCs w:val="26"/>
    </w:rPr>
  </w:style>
  <w:style w:type="paragraph" w:styleId="Entte1" w:customStyle="1">
    <w:name w:val="En-tête1"/>
    <w:basedOn w:val="Standard"/>
    <w:qFormat/>
    <w:pPr>
      <w:tabs>
        <w:tab w:val="center" w:pos="4536" w:leader="none"/>
        <w:tab w:val="right" w:pos="9072" w:leader="none"/>
      </w:tabs>
    </w:pPr>
    <w:rPr>
      <w:rFonts w:ascii="Trebuchet MS" w:hAnsi="Trebuchet MS" w:eastAsia="Trebuchet MS" w:cs="Trebuchet MS"/>
    </w:rPr>
  </w:style>
  <w:style w:type="paragraph" w:styleId="Numration1lamarge" w:customStyle="1">
    <w:name w:val="énumération 1  à la marge"/>
    <w:basedOn w:val="Standard"/>
    <w:qFormat/>
    <w:pPr>
      <w:tabs>
        <w:tab w:val="left" w:pos="360" w:leader="none"/>
      </w:tabs>
      <w:spacing w:before="0" w:after="120"/>
      <w:ind w:left="360" w:hanging="360"/>
    </w:pPr>
    <w:rPr>
      <w:rFonts w:ascii="Trebuchet MS" w:hAnsi="Trebuchet MS" w:eastAsia="Trebuchet MS" w:cs="Trebuchet MS"/>
    </w:rPr>
  </w:style>
  <w:style w:type="paragraph" w:styleId="HeaderandFooter" w:customStyle="1">
    <w:name w:val="Header and Footer"/>
    <w:basedOn w:val="Standard"/>
    <w:qFormat/>
    <w:pPr/>
    <w:rPr/>
  </w:style>
  <w:style w:type="paragraph" w:styleId="Entte">
    <w:name w:val="Header"/>
    <w:basedOn w:val="Standard"/>
    <w:pPr>
      <w:suppressLineNumbers/>
      <w:tabs>
        <w:tab w:val="center" w:pos="4818" w:leader="none"/>
        <w:tab w:val="right" w:pos="9637" w:leader="none"/>
      </w:tabs>
    </w:pPr>
    <w:rPr>
      <w:rFonts w:ascii="Trebuchet MS" w:hAnsi="Trebuchet MS" w:eastAsia="Trebuchet MS" w:cs="Trebuchet MS"/>
    </w:rPr>
  </w:style>
  <w:style w:type="paragraph" w:styleId="TitreTR1" w:customStyle="1">
    <w:name w:val="Titre TR1"/>
    <w:basedOn w:val="Titre21"/>
    <w:qFormat/>
    <w:pPr>
      <w:suppressLineNumbers/>
      <w:spacing w:before="0" w:after="283"/>
    </w:pPr>
    <w:rPr>
      <w:rFonts w:ascii="Trebuchet MS" w:hAnsi="Trebuchet MS" w:eastAsia="Trebuchet MS" w:cs="Trebuchet MS"/>
      <w:bCs/>
      <w:szCs w:val="32"/>
    </w:rPr>
  </w:style>
  <w:style w:type="paragraph" w:styleId="Contents1" w:customStyle="1">
    <w:name w:val="Contents 1"/>
    <w:basedOn w:val="Index"/>
    <w:qFormat/>
    <w:pPr>
      <w:tabs>
        <w:tab w:val="right" w:pos="9637" w:leader="dot"/>
      </w:tabs>
      <w:spacing w:lineRule="atLeast" w:line="100" w:before="170" w:after="113"/>
    </w:pPr>
    <w:rPr/>
  </w:style>
  <w:style w:type="paragraph" w:styleId="Contents2" w:customStyle="1">
    <w:name w:val="Contents 2"/>
    <w:basedOn w:val="Index"/>
    <w:qFormat/>
    <w:pPr>
      <w:spacing w:before="57" w:after="57"/>
    </w:pPr>
    <w:rPr/>
  </w:style>
  <w:style w:type="paragraph" w:styleId="Contents3" w:customStyle="1">
    <w:name w:val="Contents 3"/>
    <w:basedOn w:val="Index"/>
    <w:qFormat/>
    <w:pPr>
      <w:tabs>
        <w:tab w:val="right" w:pos="9241" w:leader="dot"/>
      </w:tabs>
      <w:spacing w:before="57" w:after="57"/>
      <w:ind w:left="170" w:hanging="0"/>
    </w:pPr>
    <w:rPr/>
  </w:style>
  <w:style w:type="paragraph" w:styleId="Contents4" w:customStyle="1">
    <w:name w:val="Contents 4"/>
    <w:basedOn w:val="Index"/>
    <w:qFormat/>
    <w:pPr>
      <w:tabs>
        <w:tab w:val="right" w:pos="9128" w:leader="dot"/>
      </w:tabs>
      <w:spacing w:before="57" w:after="57"/>
      <w:ind w:left="340" w:hanging="0"/>
    </w:pPr>
    <w:rPr/>
  </w:style>
  <w:style w:type="paragraph" w:styleId="Contents5" w:customStyle="1">
    <w:name w:val="Contents 5"/>
    <w:basedOn w:val="Index"/>
    <w:qFormat/>
    <w:pPr>
      <w:tabs>
        <w:tab w:val="right" w:pos="9015" w:leader="dot"/>
      </w:tabs>
      <w:spacing w:before="57" w:after="57"/>
      <w:ind w:left="510" w:hanging="0"/>
    </w:pPr>
    <w:rPr/>
  </w:style>
  <w:style w:type="paragraph" w:styleId="Indexpersonnalis1" w:customStyle="1">
    <w:name w:val="Index personnalisé 1"/>
    <w:basedOn w:val="Index"/>
    <w:qFormat/>
    <w:pPr>
      <w:tabs>
        <w:tab w:val="right" w:pos="9637" w:leader="dot"/>
      </w:tabs>
    </w:pPr>
    <w:rPr/>
  </w:style>
  <w:style w:type="paragraph" w:styleId="Pieddepage">
    <w:name w:val="Footer"/>
    <w:basedOn w:val="Standard"/>
    <w:pPr>
      <w:suppressLineNumbers/>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rFonts w:ascii="Trebuchet MS" w:hAnsi="Trebuchet MS" w:eastAsia="Trebuchet MS" w:cs="Trebuchet MS"/>
      <w:sz w:val="20"/>
    </w:rPr>
  </w:style>
  <w:style w:type="paragraph" w:styleId="Pieddepagegauche" w:customStyle="1">
    <w:name w:val="Pied de page gauche"/>
    <w:basedOn w:val="Standard"/>
    <w:qFormat/>
    <w:pPr>
      <w:suppressLineNumbers/>
      <w:tabs>
        <w:tab w:val="center" w:pos="4818" w:leader="none"/>
        <w:tab w:val="right" w:pos="9637" w:leader="none"/>
      </w:tabs>
    </w:pPr>
    <w:rPr>
      <w:rFonts w:ascii="Trebuchet MS" w:hAnsi="Trebuchet MS" w:eastAsia="Trebuchet MS" w:cs="Trebuchet MS"/>
      <w:sz w:val="20"/>
    </w:rPr>
  </w:style>
  <w:style w:type="paragraph" w:styleId="Pieddepagedroit" w:customStyle="1">
    <w:name w:val="Pied de page droit"/>
    <w:basedOn w:val="Standard"/>
    <w:qFormat/>
    <w:pPr>
      <w:suppressLineNumbers/>
      <w:tabs>
        <w:tab w:val="center" w:pos="4818" w:leader="none"/>
        <w:tab w:val="right" w:pos="9637" w:leader="none"/>
      </w:tabs>
    </w:pPr>
    <w:rPr>
      <w:rFonts w:ascii="Trebuchet MS" w:hAnsi="Trebuchet MS" w:eastAsia="Trebuchet MS" w:cs="Trebuchet MS"/>
      <w:sz w:val="20"/>
    </w:rPr>
  </w:style>
  <w:style w:type="paragraph" w:styleId="Titre10" w:customStyle="1">
    <w:name w:val="Titre 10"/>
    <w:basedOn w:val="Titre21"/>
    <w:qFormat/>
    <w:pPr>
      <w:tabs>
        <w:tab w:val="left" w:pos="3168" w:leader="none"/>
      </w:tabs>
      <w:ind w:left="1584" w:hanging="1584"/>
      <w:outlineLvl w:val="8"/>
    </w:pPr>
    <w:rPr>
      <w:bCs/>
      <w:sz w:val="24"/>
      <w:szCs w:val="21"/>
    </w:rPr>
  </w:style>
  <w:style w:type="paragraph" w:styleId="Standard20" w:customStyle="1">
    <w:name w:val="Standard 20"/>
    <w:basedOn w:val="Standard"/>
    <w:qFormat/>
    <w:pPr/>
    <w:rPr>
      <w:sz w:val="40"/>
      <w:szCs w:val="40"/>
    </w:rPr>
  </w:style>
  <w:style w:type="paragraph" w:styleId="Titre12" w:customStyle="1">
    <w:name w:val="Titre1"/>
    <w:basedOn w:val="Standard"/>
    <w:qFormat/>
    <w:pPr>
      <w:jc w:val="center"/>
    </w:pPr>
    <w:rPr>
      <w:b/>
      <w:sz w:val="40"/>
    </w:rPr>
  </w:style>
  <w:style w:type="paragraph" w:styleId="Tabledesmatiresniveau10" w:customStyle="1">
    <w:name w:val="Table des matières niveau 10"/>
    <w:basedOn w:val="Index"/>
    <w:qFormat/>
    <w:pPr>
      <w:tabs>
        <w:tab w:val="right" w:pos="8300" w:leader="dot"/>
      </w:tabs>
      <w:ind w:left="2547" w:hanging="0"/>
    </w:pPr>
    <w:rPr/>
  </w:style>
  <w:style w:type="paragraph" w:styleId="Contents6" w:customStyle="1">
    <w:name w:val="Contents 6"/>
    <w:basedOn w:val="Index"/>
    <w:qFormat/>
    <w:pPr>
      <w:tabs>
        <w:tab w:val="right" w:pos="8300" w:leader="dot"/>
      </w:tabs>
      <w:ind w:left="1415" w:hanging="0"/>
    </w:pPr>
    <w:rPr/>
  </w:style>
  <w:style w:type="paragraph" w:styleId="Contents7" w:customStyle="1">
    <w:name w:val="Contents 7"/>
    <w:basedOn w:val="Index"/>
    <w:qFormat/>
    <w:pPr>
      <w:tabs>
        <w:tab w:val="right" w:pos="8300" w:leader="dot"/>
      </w:tabs>
      <w:ind w:left="1698" w:hanging="0"/>
    </w:pPr>
    <w:rPr/>
  </w:style>
  <w:style w:type="paragraph" w:styleId="Contents8" w:customStyle="1">
    <w:name w:val="Contents 8"/>
    <w:basedOn w:val="Index"/>
    <w:qFormat/>
    <w:pPr>
      <w:tabs>
        <w:tab w:val="right" w:pos="8300" w:leader="dot"/>
      </w:tabs>
      <w:ind w:left="1981" w:hanging="0"/>
    </w:pPr>
    <w:rPr/>
  </w:style>
  <w:style w:type="paragraph" w:styleId="Contents9" w:customStyle="1">
    <w:name w:val="Contents 9"/>
    <w:basedOn w:val="Index"/>
    <w:qFormat/>
    <w:pPr>
      <w:tabs>
        <w:tab w:val="right" w:pos="8300" w:leader="dot"/>
      </w:tabs>
      <w:ind w:left="2264" w:hanging="0"/>
    </w:pPr>
    <w:rPr/>
  </w:style>
  <w:style w:type="paragraph" w:styleId="Textbodyindent" w:customStyle="1">
    <w:name w:val="Text body indent"/>
    <w:basedOn w:val="Textbody"/>
    <w:qFormat/>
    <w:pPr>
      <w:ind w:firstLine="283"/>
    </w:pPr>
    <w:rPr/>
  </w:style>
  <w:style w:type="paragraph" w:styleId="Alinangatif" w:customStyle="1">
    <w:name w:val="Alinéa négatif"/>
    <w:basedOn w:val="Textbody"/>
    <w:qFormat/>
    <w:pPr>
      <w:tabs>
        <w:tab w:val="left" w:pos="567" w:leader="none"/>
      </w:tabs>
      <w:ind w:left="567" w:hanging="283"/>
    </w:pPr>
    <w:rPr/>
  </w:style>
  <w:style w:type="paragraph" w:styleId="Intitule" w:customStyle="1">
    <w:name w:val="Intitule"/>
    <w:basedOn w:val="Standard"/>
    <w:qFormat/>
    <w:pPr>
      <w:pBdr>
        <w:bottom w:val="single" w:sz="18" w:space="1" w:color="000001"/>
      </w:pBdr>
    </w:pPr>
    <w:rPr>
      <w:color w:val="000000"/>
      <w:sz w:val="36"/>
      <w:shd w:fill="FFFFFF" w:val="clear"/>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2"/>
    <w:qFormat/>
    <w:pPr>
      <w:pBdr>
        <w:top w:val="single" w:sz="18" w:space="1" w:color="000001"/>
        <w:left w:val="single" w:sz="18" w:space="4" w:color="000001"/>
        <w:bottom w:val="single" w:sz="18" w:space="1" w:color="000001"/>
        <w:right w:val="single" w:sz="18" w:space="16" w:color="000001"/>
      </w:pBdr>
    </w:pPr>
    <w:rPr>
      <w:sz w:val="44"/>
      <w:szCs w:val="44"/>
    </w:rPr>
  </w:style>
  <w:style w:type="paragraph" w:styleId="NumeroConsultation" w:customStyle="1">
    <w:name w:val="NumeroConsultation"/>
    <w:basedOn w:val="Standard"/>
    <w:qFormat/>
    <w:pPr>
      <w:tabs>
        <w:tab w:val="left" w:pos="3600" w:leader="none"/>
      </w:tabs>
      <w:ind w:left="3600" w:hanging="3600"/>
      <w:jc w:val="center"/>
    </w:pPr>
    <w:rPr>
      <w:b/>
      <w:color w:val="000000"/>
      <w:sz w:val="24"/>
      <w:szCs w:val="20"/>
    </w:rPr>
  </w:style>
  <w:style w:type="paragraph" w:styleId="Procedure" w:customStyle="1">
    <w:name w:val="Procedure"/>
    <w:basedOn w:val="Standard"/>
    <w:qFormat/>
    <w:pPr>
      <w:tabs>
        <w:tab w:val="left" w:pos="3600" w:leader="none"/>
      </w:tabs>
      <w:ind w:left="3600" w:hanging="3600"/>
      <w:jc w:val="center"/>
    </w:pPr>
    <w:rPr>
      <w:b/>
      <w:color w:val="000000"/>
      <w:sz w:val="24"/>
      <w:szCs w:val="20"/>
    </w:rPr>
  </w:style>
  <w:style w:type="paragraph" w:styleId="DateLimite" w:customStyle="1">
    <w:name w:val="DateLimite"/>
    <w:basedOn w:val="Standard"/>
    <w:qFormat/>
    <w:pPr>
      <w:tabs>
        <w:tab w:val="left" w:pos="3600" w:leader="none"/>
      </w:tabs>
      <w:ind w:left="3600" w:hanging="3600"/>
      <w:jc w:val="center"/>
    </w:pPr>
    <w:rPr>
      <w:b/>
      <w:color w:val="000000"/>
      <w:sz w:val="24"/>
      <w:szCs w:val="20"/>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tyle>
  <w:style w:type="paragraph" w:styleId="Tableau" w:customStyle="1">
    <w:name w:val="Tableau"/>
    <w:basedOn w:val="Lgende1"/>
    <w:qFormat/>
    <w:pPr/>
    <w:rPr>
      <w:rFonts w:ascii="Arial" w:hAnsi="Arial" w:eastAsia="Arial" w:cs="Arial"/>
      <w:i w:val="false"/>
      <w:sz w:val="21"/>
    </w:rPr>
  </w:style>
  <w:style w:type="paragraph" w:styleId="Appniv1" w:customStyle="1">
    <w:name w:val="App niv 1"/>
    <w:basedOn w:val="Standard"/>
    <w:qFormat/>
    <w:pPr/>
    <w:rPr>
      <w:rFonts w:ascii="Trebuchet MS" w:hAnsi="Trebuchet MS" w:eastAsia="Trebuchet MS" w:cs="Trebuchet MS"/>
      <w:b/>
      <w:sz w:val="24"/>
    </w:rPr>
  </w:style>
  <w:style w:type="paragraph" w:styleId="Style31" w:customStyle="1">
    <w:name w:val="Style 3"/>
    <w:basedOn w:val="Titre12"/>
    <w:qFormat/>
    <w:pPr>
      <w:pBdr>
        <w:top w:val="single" w:sz="4" w:space="1" w:color="000001"/>
        <w:left w:val="single" w:sz="4" w:space="4" w:color="000001"/>
        <w:bottom w:val="single" w:sz="4" w:space="1" w:color="000001"/>
        <w:right w:val="single" w:sz="4" w:space="4" w:color="000001"/>
      </w:pBdr>
    </w:pPr>
    <w:rPr/>
  </w:style>
  <w:style w:type="paragraph" w:styleId="Style21" w:customStyle="1">
    <w:name w:val="Style 2"/>
    <w:basedOn w:val="Standard"/>
    <w:qFormat/>
    <w:pPr>
      <w:jc w:val="right"/>
    </w:pPr>
    <w:rPr/>
  </w:style>
  <w:style w:type="paragraph" w:styleId="Style11" w:customStyle="1">
    <w:name w:val="Style 1"/>
    <w:basedOn w:val="Standard"/>
    <w:qFormat/>
    <w:pPr/>
    <w:rPr>
      <w:b/>
    </w:rPr>
  </w:style>
  <w:style w:type="paragraph" w:styleId="Contenuducadre" w:customStyle="1">
    <w:name w:val="Contenu du cadre"/>
    <w:basedOn w:val="Textbody"/>
    <w:qFormat/>
    <w:pPr/>
    <w:rPr/>
  </w:style>
  <w:style w:type="paragraph" w:styleId="Liste31" w:customStyle="1">
    <w:name w:val="Liste 31"/>
    <w:basedOn w:val="Liste"/>
    <w:qFormat/>
    <w:pPr>
      <w:spacing w:before="0" w:after="120"/>
    </w:pPr>
    <w:rPr/>
  </w:style>
  <w:style w:type="paragraph" w:styleId="Default" w:customStyle="1">
    <w:name w:val="Default"/>
    <w:qFormat/>
    <w:pPr>
      <w:widowControl/>
      <w:suppressAutoHyphens w:val="true"/>
      <w:bidi w:val="0"/>
      <w:jc w:val="left"/>
    </w:pPr>
    <w:rPr>
      <w:rFonts w:ascii="Arial" w:hAnsi="Arial" w:eastAsia="Calibri" w:cs="Arial"/>
      <w:color w:val="000000"/>
      <w:sz w:val="24"/>
      <w:szCs w:val="24"/>
      <w:lang w:val="fr-FR" w:eastAsia="fr-FR" w:bidi="ar-SA"/>
    </w:rPr>
  </w:style>
  <w:style w:type="paragraph" w:styleId="Annotationtext">
    <w:name w:val="annotation text"/>
    <w:basedOn w:val="Standard"/>
    <w:qFormat/>
    <w:pPr/>
    <w:rPr>
      <w:sz w:val="20"/>
      <w:szCs w:val="20"/>
    </w:rPr>
  </w:style>
  <w:style w:type="paragraph" w:styleId="Annotationsubject">
    <w:name w:val="annotation subject"/>
    <w:basedOn w:val="Annotationtext"/>
    <w:qFormat/>
    <w:pPr/>
    <w:rPr>
      <w:b/>
      <w:bCs/>
    </w:rPr>
  </w:style>
  <w:style w:type="paragraph" w:styleId="BalloonText">
    <w:name w:val="Balloon Text"/>
    <w:basedOn w:val="Standard"/>
    <w:qFormat/>
    <w:pPr/>
    <w:rPr>
      <w:rFonts w:ascii="Segoe UI" w:hAnsi="Segoe UI" w:eastAsia="Segoe UI" w:cs="Segoe UI"/>
      <w:sz w:val="18"/>
      <w:szCs w:val="18"/>
    </w:rPr>
  </w:style>
  <w:style w:type="paragraph" w:styleId="ListParagraph">
    <w:name w:val="List Paragraph"/>
    <w:basedOn w:val="Standard"/>
    <w:qFormat/>
    <w:pPr>
      <w:ind w:left="720" w:hanging="0"/>
    </w:pPr>
    <w:rPr/>
  </w:style>
  <w:style w:type="paragraph" w:styleId="Revision">
    <w:name w:val="Revision"/>
    <w:qFormat/>
    <w:pPr>
      <w:widowControl/>
      <w:suppressAutoHyphens w:val="true"/>
      <w:bidi w:val="0"/>
      <w:jc w:val="left"/>
    </w:pPr>
    <w:rPr>
      <w:rFonts w:ascii="Arial" w:hAnsi="Arial" w:eastAsia="SimSun" w:cs="Arial"/>
      <w:color w:val="00000A"/>
      <w:sz w:val="21"/>
      <w:szCs w:val="24"/>
      <w:lang w:val="fr-FR" w:eastAsia="fr-FR" w:bidi="ar-SA"/>
    </w:rPr>
  </w:style>
  <w:style w:type="paragraph" w:styleId="TOCHeading">
    <w:name w:val="TOC Heading"/>
    <w:basedOn w:val="Titre1"/>
    <w:next w:val="Standard"/>
    <w:qFormat/>
    <w:pPr>
      <w:shd w:val="clear" w:color="auto" w:fill="auto"/>
      <w:tabs>
        <w:tab w:val="left" w:pos="6805" w:leader="none"/>
      </w:tabs>
      <w:spacing w:before="240" w:after="0"/>
      <w:ind w:left="6805" w:hanging="0"/>
    </w:pPr>
    <w:rPr>
      <w:rFonts w:ascii="Calibri Light" w:hAnsi="Calibri Light" w:eastAsia="F" w:cs="F"/>
      <w:b w:val="false"/>
      <w:bCs w:val="false"/>
      <w:color w:val="2E74B5"/>
      <w:sz w:val="32"/>
      <w:szCs w:val="32"/>
    </w:rPr>
  </w:style>
  <w:style w:type="paragraph" w:styleId="ListBullet">
    <w:name w:val="List Bullet"/>
    <w:basedOn w:val="Standard"/>
    <w:qFormat/>
    <w:pPr/>
    <w:rPr/>
  </w:style>
  <w:style w:type="numbering" w:styleId="NoList" w:default="1">
    <w:name w:val="No List"/>
    <w:uiPriority w:val="99"/>
    <w:semiHidden/>
    <w:unhideWhenUsed/>
    <w:qFormat/>
  </w:style>
  <w:style w:type="numbering" w:styleId="WWOutlineListStyle7" w:customStyle="1">
    <w:name w:val="WW_OutlineListStyle_7"/>
    <w:qFormat/>
  </w:style>
  <w:style w:type="numbering" w:styleId="WWOutlineListStyle6" w:customStyle="1">
    <w:name w:val="WW_OutlineListStyle_6"/>
    <w:qFormat/>
  </w:style>
  <w:style w:type="numbering" w:styleId="WWOutlineListStyle5" w:customStyle="1">
    <w:name w:val="WW_OutlineListStyle_5"/>
    <w:qFormat/>
  </w:style>
  <w:style w:type="numbering" w:styleId="WWOutlineListStyle4" w:customStyle="1">
    <w:name w:val="WW_OutlineListStyle_4"/>
    <w:qFormat/>
  </w:style>
  <w:style w:type="numbering" w:styleId="WWOutlineListStyle3" w:customStyle="1">
    <w:name w:val="WW_OutlineListStyle_3"/>
    <w:qFormat/>
  </w:style>
  <w:style w:type="numbering" w:styleId="WWOutlineListStyle2" w:customStyle="1">
    <w:name w:val="WW_OutlineListStyle_2"/>
    <w:qFormat/>
  </w:style>
  <w:style w:type="numbering" w:styleId="WWOutlineListStyle1" w:customStyle="1">
    <w:name w:val="WW_OutlineListStyle_1"/>
    <w:qFormat/>
  </w:style>
  <w:style w:type="numbering" w:styleId="WWOutlineListStyle" w:customStyle="1">
    <w:name w:val="WW_OutlineListStyle"/>
    <w:qFormat/>
  </w:style>
  <w:style w:type="numbering" w:styleId="Aucuneliste1" w:customStyle="1">
    <w:name w:val="Aucune liste1"/>
    <w:qFormat/>
  </w:style>
  <w:style w:type="numbering" w:styleId="Style12" w:customStyle="1">
    <w:name w:val="Style1"/>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http://www.e-attestations.com/" TargetMode="External"/><Relationship Id="rId4" Type="http://schemas.openxmlformats.org/officeDocument/2006/relationships/hyperlink" Target="http://www.telerecours.fr/" TargetMode="External"/><Relationship Id="rId5" Type="http://schemas.openxmlformats.org/officeDocument/2006/relationships/hyperlink" Target="http://www.paca.pref.gouv.fr/"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0E0D4-8027-43E7-923E-B139AAC5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Application>LibreOffice/5.3.6.1$Windows_x86 LibreOffice_project/686f202eff87ef707079aeb7f485847613344eb7</Application>
  <Pages>18</Pages>
  <Words>5763</Words>
  <Characters>31576</Characters>
  <CharactersWithSpaces>36952</CharactersWithSpaces>
  <Paragraphs>380</Paragraphs>
  <Company>DPSI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2020-05-14T08:47:00Z</dcterms:created>
  <dc:creator>LAURIER Marie-Anne</dc:creator>
  <dc:description/>
  <dc:language>fr-FR</dc:language>
  <cp:lastModifiedBy/>
  <cp:lastPrinted>2019-03-29T15:15:00Z</cp:lastPrinted>
  <dcterms:modified xsi:type="dcterms:W3CDTF">2020-06-24T09:26:41Z</dcterms:modified>
  <cp:revision>128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DPSI</vt:lpwstr>
  </property>
  <property fmtid="{D5CDD505-2E9C-101B-9397-08002B2CF9AE}" pid="4" name="ContentTypeId">
    <vt:lpwstr>0x010100B8FD82DEBBDD694DAFA94E8D0BAB28A3</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