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r>
    </w:p>
    <w:p>
      <w:pPr>
        <w:pStyle w:val="PA"/>
        <w:rPr/>
      </w:pPr>
      <w:r>
        <w:rPr/>
      </w:r>
    </w:p>
    <w:p>
      <w:pPr>
        <w:pStyle w:val="PA"/>
        <w:rPr/>
      </w:pPr>
      <w:r>
        <w:rPr/>
        <w:t>Ville de Marseille - Mairie de Marseille</w:t>
      </w:r>
    </w:p>
    <w:p>
      <w:pPr>
        <w:pStyle w:val="Textbody"/>
        <w:rPr/>
      </w:pPr>
      <w:r>
        <w:rPr/>
      </w:r>
    </w:p>
    <w:p>
      <w:pPr>
        <w:pStyle w:val="Direction"/>
        <w:rPr/>
      </w:pPr>
      <w:r>
        <w:rPr/>
        <w:t>DGASP - DOF - RMPF (30313)</w:t>
      </w:r>
    </w:p>
    <w:p>
      <w:pPr>
        <w:pStyle w:val="Textbody"/>
        <w:rPr/>
      </w:pPr>
      <w:r>
        <w:rPr/>
      </w:r>
    </w:p>
    <w:p>
      <w:pPr>
        <w:pStyle w:val="Textbody"/>
        <w:rPr/>
      </w:pPr>
      <w:r>
        <w:rPr/>
      </w:r>
    </w:p>
    <w:p>
      <w:pPr>
        <w:pStyle w:val="Textbody"/>
        <w:rPr/>
      </w:pPr>
      <w:r>
        <w:rPr/>
      </w:r>
    </w:p>
    <w:p>
      <w:pPr>
        <w:pStyle w:val="Textbody"/>
        <w:rPr/>
      </w:pPr>
      <w:r>
        <w:rPr/>
      </w:r>
    </w:p>
    <w:p>
      <w:pPr>
        <w:pStyle w:val="TypeDocument3"/>
        <w:rPr>
          <w:rFonts w:ascii="Arial" w:hAnsi="Arial"/>
        </w:rPr>
      </w:pPr>
      <w:r>
        <w:rPr>
          <w:rFonts w:ascii="Arial" w:hAnsi="Arial"/>
        </w:rPr>
        <w:t>Cahier des Clauses Techniques Particulières</w:t>
      </w:r>
    </w:p>
    <w:p>
      <w:pPr>
        <w:pStyle w:val="TypeDocument3"/>
        <w:rPr/>
      </w:pPr>
      <w:r>
        <w:rPr/>
      </w:r>
    </w:p>
    <w:p>
      <w:pPr>
        <w:pStyle w:val="TypeDocument3"/>
        <w:rPr/>
      </w:pPr>
      <w:r>
        <w:rPr/>
        <w:t>Commun aux 2 lots</w:t>
      </w:r>
    </w:p>
    <w:p>
      <w:pPr>
        <w:pStyle w:val="Textbody"/>
        <w:rPr/>
      </w:pPr>
      <w:r>
        <w:rPr/>
      </w:r>
    </w:p>
    <w:p>
      <w:pPr>
        <w:pStyle w:val="Intitule2"/>
        <w:rPr/>
      </w:pPr>
      <w:r>
        <w:rPr/>
      </w:r>
    </w:p>
    <w:p>
      <w:pPr>
        <w:pStyle w:val="Intitule2"/>
        <w:rPr/>
      </w:pPr>
      <w:r>
        <w:rPr/>
        <w:t>FOURNITURE D’EMBALLAGES A USAGE UNIQUE ET PRESTATIONS DE COLLECTE, TRANSPORT ET ELIMINATION DES DECHETS DE SOINS A RISQUES INFECTIEUX (DASRI) DU FUNERARIUM MUNICIPAL DE LA VILLE DE MARSEILLE</w:t>
      </w:r>
    </w:p>
    <w:p>
      <w:pPr>
        <w:pStyle w:val="Intitule2"/>
        <w:rPr/>
      </w:pPr>
      <w:r>
        <w:rPr/>
      </w:r>
    </w:p>
    <w:p>
      <w:pPr>
        <w:pStyle w:val="Textbody"/>
        <w:rPr/>
      </w:pPr>
      <w:r>
        <w:rPr/>
      </w:r>
    </w:p>
    <w:p>
      <w:pPr>
        <w:pStyle w:val="Textbody"/>
        <w:rPr/>
      </w:pPr>
      <w:r>
        <w:rPr/>
      </w:r>
    </w:p>
    <w:p>
      <w:pPr>
        <w:pStyle w:val="NumeroConsultation"/>
        <w:tabs>
          <w:tab w:val="left" w:pos="1418" w:leader="none"/>
          <w:tab w:val="left" w:pos="3600" w:leader="none"/>
        </w:tabs>
        <w:ind w:left="3600" w:hanging="2891"/>
        <w:jc w:val="left"/>
        <w:rPr/>
      </w:pPr>
      <w:r>
        <w:rPr/>
        <w:t>Numéro de la consultation</w:t>
        <w:tab/>
        <w:t>:</w:t>
        <w:tab/>
      </w:r>
      <w:r>
        <w:rPr>
          <w:shd w:fill="FFFFFF" w:val="clear"/>
        </w:rPr>
        <w:t>2020_</w:t>
      </w:r>
      <w:r>
        <w:rPr>
          <w:shd w:fill="FFFFFF" w:val="clear"/>
        </w:rPr>
        <w:t>40302</w:t>
      </w:r>
      <w:r>
        <w:rPr>
          <w:shd w:fill="FFFFFF" w:val="clear"/>
        </w:rPr>
        <w:t>_</w:t>
      </w:r>
      <w:r>
        <w:rPr>
          <w:shd w:fill="FFFFFF" w:val="clear"/>
        </w:rPr>
        <w:t>0004</w:t>
      </w:r>
    </w:p>
    <w:p>
      <w:pPr>
        <w:pStyle w:val="Standard"/>
        <w:tabs>
          <w:tab w:val="left" w:pos="1418" w:leader="none"/>
        </w:tabs>
        <w:ind w:hanging="2891"/>
        <w:jc w:val="left"/>
        <w:rPr>
          <w:shd w:fill="FFFFFF" w:val="clear"/>
        </w:rPr>
      </w:pPr>
      <w:r>
        <w:rPr>
          <w:shd w:fill="FFFFFF" w:val="clear"/>
        </w:rPr>
      </w:r>
    </w:p>
    <w:p>
      <w:pPr>
        <w:pStyle w:val="Standard"/>
        <w:tabs>
          <w:tab w:val="left" w:pos="1418" w:leader="none"/>
        </w:tabs>
        <w:ind w:hanging="2891"/>
        <w:jc w:val="left"/>
        <w:rPr/>
      </w:pPr>
      <w:r>
        <w:rPr/>
      </w:r>
    </w:p>
    <w:p>
      <w:pPr>
        <w:pStyle w:val="Procedure"/>
        <w:tabs>
          <w:tab w:val="left" w:pos="1418" w:leader="none"/>
          <w:tab w:val="left" w:pos="3600" w:leader="none"/>
        </w:tabs>
        <w:ind w:left="3600" w:hanging="2891"/>
        <w:jc w:val="left"/>
        <w:rPr/>
      </w:pPr>
      <w:r>
        <w:rPr/>
        <w:t>Procédure de passation :</w:t>
        <w:tab/>
        <w:tab/>
      </w:r>
      <w:r>
        <w:rPr>
          <w:shd w:fill="FFFFFF" w:val="clear"/>
        </w:rPr>
        <w:t>Procédure adaptée</w:t>
      </w:r>
    </w:p>
    <w:p>
      <w:pPr>
        <w:pStyle w:val="Standard"/>
        <w:tabs>
          <w:tab w:val="left" w:pos="1418" w:leader="none"/>
        </w:tabs>
        <w:ind w:hanging="2891"/>
        <w:jc w:val="left"/>
        <w:rPr>
          <w:shd w:fill="FFFFFF" w:val="clear"/>
        </w:rPr>
      </w:pPr>
      <w:r>
        <w:rPr>
          <w:shd w:fill="FFFFFF" w:val="clear"/>
        </w:rPr>
      </w:r>
    </w:p>
    <w:p>
      <w:pPr>
        <w:pStyle w:val="DateLimite"/>
        <w:tabs>
          <w:tab w:val="left" w:pos="1418" w:leader="none"/>
          <w:tab w:val="left" w:pos="3600" w:leader="none"/>
        </w:tabs>
        <w:ind w:left="3600" w:hanging="2891"/>
        <w:jc w:val="left"/>
        <w:rPr/>
      </w:pPr>
      <w:r>
        <w:rPr/>
      </w:r>
    </w:p>
    <w:p>
      <w:pPr>
        <w:pStyle w:val="DateLimite"/>
        <w:tabs>
          <w:tab w:val="left" w:pos="1418" w:leader="none"/>
          <w:tab w:val="left" w:pos="3600" w:leader="none"/>
        </w:tabs>
        <w:ind w:left="3600" w:hanging="2891"/>
        <w:jc w:val="left"/>
        <w:rPr/>
      </w:pPr>
      <w:r>
        <w:rPr/>
      </w:r>
    </w:p>
    <w:p>
      <w:pPr>
        <w:pStyle w:val="Standard"/>
        <w:rPr/>
      </w:pPr>
      <w:r>
        <w:rPr/>
      </w:r>
    </w:p>
    <w:p>
      <w:pPr>
        <w:pStyle w:val="Standard"/>
        <w:rPr/>
      </w:pPr>
      <w:r>
        <w:rPr/>
      </w:r>
      <w:r>
        <w:br w:type="page"/>
      </w:r>
    </w:p>
    <w:p>
      <w:pPr>
        <w:pStyle w:val="Normal"/>
        <w:pBdr>
          <w:top w:val="single" w:sz="4" w:space="1" w:color="000001"/>
          <w:left w:val="single" w:sz="4" w:space="4" w:color="000001"/>
          <w:bottom w:val="single" w:sz="4" w:space="1" w:color="000001"/>
          <w:right w:val="single" w:sz="4" w:space="4" w:color="000001"/>
        </w:pBdr>
        <w:suppressAutoHyphens w:val="false"/>
        <w:jc w:val="center"/>
        <w:rPr/>
      </w:pPr>
      <w:r>
        <w:rPr/>
        <w:t>SOMMAIRE</w:t>
      </w:r>
    </w:p>
    <w:p>
      <w:pPr>
        <w:pStyle w:val="Standard"/>
        <w:rPr>
          <w:rFonts w:ascii="Arial" w:hAnsi="Arial" w:eastAsia="Arial"/>
          <w:b/>
          <w:b/>
          <w:bCs/>
          <w:sz w:val="20"/>
          <w:szCs w:val="20"/>
        </w:rPr>
      </w:pPr>
      <w:r>
        <w:rPr>
          <w:rFonts w:eastAsia="Arial"/>
          <w:b/>
          <w:bCs/>
          <w:sz w:val="20"/>
          <w:szCs w:val="20"/>
        </w:rPr>
      </w:r>
    </w:p>
    <w:p>
      <w:pPr>
        <w:pStyle w:val="Standard"/>
        <w:suppressAutoHyphens w:val="false"/>
        <w:rPr>
          <w:rFonts w:ascii="Arial" w:hAnsi="Arial" w:eastAsia="Arial"/>
          <w:b/>
          <w:b/>
        </w:rPr>
      </w:pPr>
      <w:r>
        <w:rPr>
          <w:rFonts w:eastAsia="Arial"/>
          <w:b/>
        </w:rPr>
      </w:r>
    </w:p>
    <w:p>
      <w:pPr>
        <w:pStyle w:val="Standard"/>
        <w:suppressAutoHyphens w:val="false"/>
        <w:rPr>
          <w:sz w:val="20"/>
          <w:szCs w:val="20"/>
        </w:rPr>
      </w:pPr>
      <w:r>
        <w:rPr>
          <w:rFonts w:eastAsia="Arial"/>
          <w:b/>
          <w:sz w:val="20"/>
          <w:szCs w:val="20"/>
        </w:rPr>
        <w:t>ARTICLE 1</w:t>
        <w:tab/>
        <w:tab/>
        <w:t>OBJET DES ACCORDS-CADRES</w:t>
        <w:tab/>
        <w:tab/>
        <w:tab/>
        <w:tab/>
        <w:tab/>
        <w:tab/>
        <w:tab/>
        <w:tab/>
        <w:t>3</w:t>
      </w:r>
    </w:p>
    <w:p>
      <w:pPr>
        <w:pStyle w:val="Standard"/>
        <w:suppressAutoHyphens w:val="false"/>
        <w:rPr>
          <w:b w:val="false"/>
          <w:b w:val="false"/>
          <w:bCs w:val="false"/>
          <w:sz w:val="20"/>
          <w:szCs w:val="20"/>
        </w:rPr>
      </w:pPr>
      <w:r>
        <w:rPr>
          <w:rFonts w:eastAsia="Arial"/>
          <w:b w:val="false"/>
          <w:bCs w:val="false"/>
          <w:sz w:val="20"/>
          <w:szCs w:val="20"/>
        </w:rPr>
        <w:t>Article 1.1</w:t>
        <w:tab/>
        <w:t>SITE</w:t>
        <w:tab/>
        <w:tab/>
        <w:tab/>
        <w:tab/>
        <w:tab/>
        <w:tab/>
        <w:tab/>
        <w:tab/>
        <w:tab/>
        <w:tab/>
        <w:tab/>
        <w:tab/>
        <w:tab/>
        <w:tab/>
        <w:tab/>
        <w:t>3</w:t>
      </w:r>
    </w:p>
    <w:p>
      <w:pPr>
        <w:pStyle w:val="Standard"/>
        <w:suppressAutoHyphens w:val="false"/>
        <w:rPr>
          <w:sz w:val="20"/>
          <w:szCs w:val="20"/>
        </w:rPr>
      </w:pPr>
      <w:r>
        <w:rPr>
          <w:rFonts w:eastAsia="Arial"/>
          <w:b w:val="false"/>
          <w:bCs w:val="false"/>
          <w:sz w:val="20"/>
          <w:szCs w:val="20"/>
        </w:rPr>
        <w:t>Article 1.2</w:t>
        <w:tab/>
        <w:t>Prescriptions communes aux 2 lots</w:t>
        <w:tab/>
      </w:r>
      <w:r>
        <w:rPr>
          <w:rFonts w:eastAsia="Arial"/>
          <w:b/>
          <w:sz w:val="20"/>
          <w:szCs w:val="20"/>
        </w:rPr>
        <w:tab/>
        <w:tab/>
        <w:tab/>
        <w:tab/>
        <w:tab/>
        <w:tab/>
        <w:tab/>
        <w:tab/>
        <w:t>3</w:t>
      </w:r>
    </w:p>
    <w:p>
      <w:pPr>
        <w:pStyle w:val="Standard"/>
        <w:suppressAutoHyphens w:val="false"/>
        <w:rPr>
          <w:sz w:val="20"/>
          <w:szCs w:val="20"/>
        </w:rPr>
      </w:pPr>
      <w:r>
        <w:rPr>
          <w:rFonts w:eastAsia="Arial"/>
          <w:b/>
          <w:sz w:val="20"/>
          <w:szCs w:val="20"/>
        </w:rPr>
        <w:t>ARTICLE 2</w:t>
        <w:tab/>
        <w:tab/>
        <w:t>PRESTATIONS TECHNIQUES ET EXECUTION ATTENDUES</w:t>
        <w:tab/>
        <w:tab/>
        <w:t>4</w:t>
      </w:r>
    </w:p>
    <w:p>
      <w:pPr>
        <w:pStyle w:val="Standard"/>
        <w:suppressAutoHyphens w:val="false"/>
        <w:rPr>
          <w:b w:val="false"/>
          <w:b w:val="false"/>
          <w:bCs w:val="false"/>
          <w:sz w:val="20"/>
          <w:szCs w:val="20"/>
        </w:rPr>
      </w:pPr>
      <w:bookmarkStart w:id="0" w:name="__DdeLink__4008_3828914344"/>
      <w:bookmarkEnd w:id="0"/>
      <w:r>
        <w:rPr>
          <w:rFonts w:eastAsia="Arial"/>
          <w:b w:val="false"/>
          <w:bCs w:val="false"/>
          <w:sz w:val="20"/>
          <w:szCs w:val="20"/>
        </w:rPr>
        <w:t>Article 2.1</w:t>
        <w:tab/>
        <w:t>Fourniture d’emballage à usage unique DASRI</w:t>
        <w:tab/>
        <w:tab/>
        <w:tab/>
        <w:tab/>
        <w:tab/>
        <w:tab/>
        <w:tab/>
        <w:t>4</w:t>
      </w:r>
    </w:p>
    <w:p>
      <w:pPr>
        <w:pStyle w:val="Standard"/>
        <w:keepNext w:val="true"/>
        <w:keepLines/>
        <w:widowControl/>
        <w:suppressAutoHyphens w:val="false"/>
        <w:bidi w:val="0"/>
        <w:jc w:val="both"/>
        <w:textAlignment w:val="center"/>
        <w:rPr>
          <w:rFonts w:ascii="Arial" w:hAnsi="Arial" w:eastAsia="Arial" w:cs="Arial"/>
          <w:color w:val="00000A"/>
          <w:sz w:val="20"/>
          <w:szCs w:val="20"/>
          <w:lang w:val="fr-FR" w:eastAsia="zh-CN" w:bidi="hi-IN"/>
        </w:rPr>
      </w:pPr>
      <w:r>
        <w:rPr>
          <w:rFonts w:eastAsia="Arial" w:cs="Arial"/>
          <w:color w:val="00000A"/>
          <w:sz w:val="20"/>
          <w:szCs w:val="20"/>
          <w:lang w:val="fr-FR" w:eastAsia="zh-CN" w:bidi="hi-IN"/>
        </w:rPr>
        <w:t>Article 2.2</w:t>
        <w:tab/>
        <w:t>Collecte, transport et élimination des déchets de soins à risques infetieux</w:t>
        <w:tab/>
        <w:t>5</w:t>
      </w:r>
    </w:p>
    <w:p>
      <w:pPr>
        <w:pStyle w:val="Standard"/>
        <w:suppressAutoHyphens w:val="false"/>
        <w:rPr>
          <w:rFonts w:ascii="Arial" w:hAnsi="Arial" w:eastAsia="Arial"/>
          <w:b/>
          <w:b/>
        </w:rPr>
      </w:pPr>
      <w:r>
        <w:rPr>
          <w:rFonts w:eastAsia="Arial"/>
          <w:b/>
        </w:rPr>
      </w:r>
    </w:p>
    <w:p>
      <w:pPr>
        <w:pStyle w:val="Standard"/>
        <w:suppressAutoHyphens w:val="false"/>
        <w:rPr>
          <w:rFonts w:ascii="Arial" w:hAnsi="Arial" w:eastAsia="Arial"/>
          <w:b/>
          <w:b/>
        </w:rPr>
      </w:pPr>
      <w:r>
        <w:rPr>
          <w:rFonts w:eastAsia="Arial"/>
          <w:b/>
        </w:rPr>
      </w:r>
    </w:p>
    <w:p>
      <w:pPr>
        <w:pStyle w:val="Standard"/>
        <w:suppressAutoHyphens w:val="false"/>
        <w:rPr>
          <w:rFonts w:ascii="Arial" w:hAnsi="Arial" w:eastAsia="Arial"/>
          <w:b/>
          <w:b/>
        </w:rPr>
      </w:pPr>
      <w:r>
        <w:rPr>
          <w:rFonts w:eastAsia="Arial"/>
          <w:b/>
        </w:rPr>
      </w:r>
    </w:p>
    <w:p>
      <w:pPr>
        <w:pStyle w:val="Standard"/>
        <w:suppressAutoHyphens w:val="false"/>
        <w:rPr>
          <w:rFonts w:ascii="Arial" w:hAnsi="Arial" w:eastAsia="Arial"/>
          <w:b/>
          <w:b/>
        </w:rPr>
      </w:pPr>
      <w:r>
        <w:rPr>
          <w:rFonts w:eastAsia="Arial"/>
          <w:b/>
        </w:rPr>
      </w:r>
      <w:r>
        <w:br w:type="page"/>
      </w:r>
    </w:p>
    <w:p>
      <w:pPr>
        <w:pStyle w:val="Standard"/>
        <w:rPr/>
      </w:pPr>
      <w:r>
        <w:rPr>
          <w:b/>
        </w:rPr>
        <w:t>ARTICLE 1</w:t>
        <w:tab/>
        <w:tab/>
        <w:t>OBJET DES ACCORDS-CADRES</w:t>
      </w:r>
    </w:p>
    <w:p>
      <w:pPr>
        <w:pStyle w:val="Standard"/>
        <w:rPr/>
      </w:pPr>
      <w:r>
        <w:rPr/>
      </w:r>
    </w:p>
    <w:p>
      <w:pPr>
        <w:pStyle w:val="Standard"/>
        <w:rPr/>
      </w:pPr>
      <w:r>
        <w:rPr/>
        <w:t>La consultation a pour objet la fourniture d’emballages à usage unique et la collecte, transport et élimination des déchets d’activités de soins à risques infectieux (DASRI) du Funérarium Municipal de la ville de Marseille.</w:t>
      </w:r>
    </w:p>
    <w:p>
      <w:pPr>
        <w:pStyle w:val="Standard"/>
        <w:rPr/>
      </w:pPr>
      <w:r>
        <w:rPr/>
      </w:r>
    </w:p>
    <w:p>
      <w:pPr>
        <w:pStyle w:val="Standard"/>
        <w:rPr>
          <w:u w:val="single"/>
        </w:rPr>
      </w:pPr>
      <w:r>
        <w:rPr>
          <w:u w:val="single"/>
        </w:rPr>
        <w:t>Décomposition en lots</w:t>
      </w:r>
    </w:p>
    <w:p>
      <w:pPr>
        <w:pStyle w:val="Normal"/>
        <w:jc w:val="both"/>
        <w:rPr>
          <w:rFonts w:ascii="Arial" w:hAnsi="Arial"/>
          <w:sz w:val="20"/>
          <w:szCs w:val="20"/>
        </w:rPr>
      </w:pPr>
      <w:r>
        <w:rPr>
          <w:rFonts w:ascii="Arial" w:hAnsi="Arial"/>
          <w:sz w:val="20"/>
          <w:szCs w:val="20"/>
        </w:rPr>
      </w:r>
    </w:p>
    <w:tbl>
      <w:tblPr>
        <w:tblW w:w="8300" w:type="dxa"/>
        <w:jc w:val="left"/>
        <w:tblInd w:w="34" w:type="dxa"/>
        <w:tblBorders>
          <w:top w:val="single" w:sz="2" w:space="0" w:color="000001"/>
          <w:left w:val="single" w:sz="2" w:space="0" w:color="000001"/>
          <w:bottom w:val="single" w:sz="2" w:space="0" w:color="000001"/>
          <w:insideH w:val="single" w:sz="2" w:space="0" w:color="000001"/>
        </w:tblBorders>
        <w:tblCellMar>
          <w:top w:w="55" w:type="dxa"/>
          <w:left w:w="37" w:type="dxa"/>
          <w:bottom w:w="55" w:type="dxa"/>
          <w:right w:w="55" w:type="dxa"/>
        </w:tblCellMar>
        <w:tblLook w:firstRow="0" w:noVBand="0" w:lastRow="0" w:firstColumn="0" w:lastColumn="0" w:noHBand="0" w:val="0000"/>
      </w:tblPr>
      <w:tblGrid>
        <w:gridCol w:w="658"/>
        <w:gridCol w:w="7641"/>
      </w:tblGrid>
      <w:tr>
        <w:trPr/>
        <w:tc>
          <w:tcPr>
            <w:tcW w:w="658" w:type="dxa"/>
            <w:tcBorders>
              <w:top w:val="single" w:sz="2" w:space="0" w:color="000001"/>
              <w:left w:val="single" w:sz="2" w:space="0" w:color="000001"/>
              <w:bottom w:val="single" w:sz="2" w:space="0" w:color="000001"/>
              <w:insideH w:val="single" w:sz="2" w:space="0" w:color="000001"/>
            </w:tcBorders>
            <w:shd w:color="auto" w:fill="FFFFFF" w:val="clear"/>
            <w:tcMar>
              <w:left w:w="37" w:type="dxa"/>
            </w:tcMar>
            <w:vAlign w:val="center"/>
          </w:tcPr>
          <w:p>
            <w:pPr>
              <w:pStyle w:val="Tableau"/>
              <w:jc w:val="center"/>
              <w:rPr/>
            </w:pPr>
            <w:r>
              <w:rPr/>
              <w:t>N°</w:t>
            </w:r>
          </w:p>
        </w:tc>
        <w:tc>
          <w:tcPr>
            <w:tcW w:w="7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37" w:type="dxa"/>
            </w:tcMar>
            <w:vAlign w:val="center"/>
          </w:tcPr>
          <w:p>
            <w:pPr>
              <w:pStyle w:val="Tableau"/>
              <w:rPr/>
            </w:pPr>
            <w:r>
              <w:rPr/>
              <w:t>Intitulés lots séparés</w:t>
            </w:r>
          </w:p>
        </w:tc>
      </w:tr>
      <w:tr>
        <w:trPr/>
        <w:tc>
          <w:tcPr>
            <w:tcW w:w="658" w:type="dxa"/>
            <w:tcBorders>
              <w:top w:val="single" w:sz="2" w:space="0" w:color="000001"/>
              <w:left w:val="single" w:sz="2" w:space="0" w:color="000001"/>
              <w:bottom w:val="single" w:sz="2" w:space="0" w:color="000001"/>
              <w:insideH w:val="single" w:sz="2" w:space="0" w:color="000001"/>
            </w:tcBorders>
            <w:shd w:color="auto" w:fill="FFFFFF" w:val="clear"/>
            <w:tcMar>
              <w:left w:w="37" w:type="dxa"/>
            </w:tcMar>
          </w:tcPr>
          <w:p>
            <w:pPr>
              <w:pStyle w:val="Tableau"/>
              <w:jc w:val="center"/>
              <w:rPr/>
            </w:pPr>
            <w:r>
              <w:rPr/>
              <w:t>1</w:t>
            </w:r>
          </w:p>
        </w:tc>
        <w:tc>
          <w:tcPr>
            <w:tcW w:w="7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37" w:type="dxa"/>
            </w:tcMar>
          </w:tcPr>
          <w:p>
            <w:pPr>
              <w:pStyle w:val="Tableau"/>
              <w:rPr/>
            </w:pPr>
            <w:r>
              <w:rPr/>
              <w:t>Fourniture d’emballages à usage unique DASRI</w:t>
            </w:r>
          </w:p>
        </w:tc>
      </w:tr>
      <w:tr>
        <w:trPr/>
        <w:tc>
          <w:tcPr>
            <w:tcW w:w="658" w:type="dxa"/>
            <w:tcBorders>
              <w:top w:val="single" w:sz="4" w:space="0" w:color="000001"/>
              <w:left w:val="single" w:sz="2" w:space="0" w:color="000001"/>
              <w:bottom w:val="single" w:sz="4" w:space="0" w:color="000001"/>
              <w:insideH w:val="single" w:sz="4" w:space="0" w:color="000001"/>
            </w:tcBorders>
            <w:shd w:color="auto" w:fill="FFFFFF" w:val="clear"/>
            <w:tcMar>
              <w:left w:w="37" w:type="dxa"/>
            </w:tcMar>
          </w:tcPr>
          <w:p>
            <w:pPr>
              <w:pStyle w:val="Tableau"/>
              <w:jc w:val="center"/>
              <w:rPr/>
            </w:pPr>
            <w:r>
              <w:rPr/>
              <w:t>2</w:t>
            </w:r>
          </w:p>
        </w:tc>
        <w:tc>
          <w:tcPr>
            <w:tcW w:w="764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color="auto" w:fill="FFFFFF" w:val="clear"/>
            <w:tcMar>
              <w:left w:w="37" w:type="dxa"/>
            </w:tcMar>
          </w:tcPr>
          <w:p>
            <w:pPr>
              <w:pStyle w:val="Tableau"/>
              <w:rPr/>
            </w:pPr>
            <w:r>
              <w:rPr/>
              <w:t>Collecte, transport et élimination des déchets de soins à risques infectieux</w:t>
            </w:r>
          </w:p>
        </w:tc>
      </w:tr>
    </w:tbl>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b/>
          <w:b/>
          <w:sz w:val="22"/>
          <w:szCs w:val="22"/>
        </w:rPr>
      </w:pPr>
      <w:r>
        <w:rPr>
          <w:rFonts w:ascii="Arial" w:hAnsi="Arial"/>
          <w:b/>
          <w:sz w:val="22"/>
          <w:szCs w:val="22"/>
        </w:rPr>
        <w:t>Article 1.1</w:t>
        <w:tab/>
        <w:t>SITE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FUNERARIUM MUNICIPAL</w:t>
      </w:r>
    </w:p>
    <w:p>
      <w:pPr>
        <w:pStyle w:val="Normal"/>
        <w:jc w:val="both"/>
        <w:rPr>
          <w:rFonts w:ascii="Arial" w:hAnsi="Arial"/>
          <w:sz w:val="20"/>
          <w:szCs w:val="20"/>
        </w:rPr>
      </w:pPr>
      <w:r>
        <w:rPr>
          <w:rFonts w:ascii="Arial" w:hAnsi="Arial"/>
          <w:sz w:val="20"/>
          <w:szCs w:val="20"/>
        </w:rPr>
        <w:t>Service Post Mortem</w:t>
      </w:r>
    </w:p>
    <w:p>
      <w:pPr>
        <w:pStyle w:val="Normal"/>
        <w:jc w:val="both"/>
        <w:rPr>
          <w:rFonts w:ascii="Arial" w:hAnsi="Arial"/>
          <w:sz w:val="20"/>
          <w:szCs w:val="20"/>
        </w:rPr>
      </w:pPr>
      <w:r>
        <w:rPr>
          <w:rFonts w:ascii="Arial" w:hAnsi="Arial"/>
          <w:sz w:val="20"/>
          <w:szCs w:val="20"/>
        </w:rPr>
        <w:t>380A rue Saint Pierre</w:t>
      </w:r>
    </w:p>
    <w:p>
      <w:pPr>
        <w:pStyle w:val="Normal"/>
        <w:jc w:val="both"/>
        <w:rPr>
          <w:rFonts w:ascii="Arial" w:hAnsi="Arial"/>
          <w:sz w:val="20"/>
          <w:szCs w:val="20"/>
        </w:rPr>
      </w:pPr>
      <w:r>
        <w:rPr>
          <w:rFonts w:ascii="Arial" w:hAnsi="Arial"/>
          <w:sz w:val="20"/>
          <w:szCs w:val="20"/>
        </w:rPr>
        <w:t>13005 MARSEILLE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Personne à contacter</w:t>
      </w:r>
    </w:p>
    <w:p>
      <w:pPr>
        <w:pStyle w:val="Normal"/>
        <w:jc w:val="both"/>
        <w:rPr>
          <w:rFonts w:ascii="Arial" w:hAnsi="Arial"/>
          <w:sz w:val="20"/>
          <w:szCs w:val="20"/>
        </w:rPr>
      </w:pPr>
      <w:r>
        <w:rPr>
          <w:rFonts w:ascii="Arial" w:hAnsi="Arial"/>
          <w:sz w:val="20"/>
          <w:szCs w:val="20"/>
        </w:rPr>
        <w:t>Responsable ou son Adjoint de la Division du Funérarium</w:t>
      </w:r>
    </w:p>
    <w:p>
      <w:pPr>
        <w:pStyle w:val="Normal"/>
        <w:jc w:val="both"/>
        <w:rPr>
          <w:rFonts w:ascii="Arial" w:hAnsi="Arial"/>
          <w:sz w:val="20"/>
          <w:szCs w:val="20"/>
        </w:rPr>
      </w:pPr>
      <w:r>
        <w:rPr>
          <w:rFonts w:ascii="Arial" w:hAnsi="Arial"/>
          <w:sz w:val="20"/>
          <w:szCs w:val="20"/>
        </w:rPr>
        <w:t>Tél. 04 91 14 67 07</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DASRI sont stockés dans un local prévu à cet effet, accessible depuis l’intérieur du bâtiment.</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b/>
        </w:rPr>
        <w:t>Article 1.2</w:t>
        <w:tab/>
        <w:t>Prescriptions communes aux 2 lots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A titre indicatif, environ 250 soins de conservation et 250 toilettes mortuaires annuels sont effectués.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types de déchets les plus courants sont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u w:val="single"/>
        </w:rPr>
      </w:pPr>
      <w:r>
        <w:rPr>
          <w:rFonts w:ascii="Arial" w:hAnsi="Arial"/>
          <w:sz w:val="20"/>
          <w:szCs w:val="20"/>
          <w:u w:val="single"/>
        </w:rPr>
        <w:t>Prix 1 - Déchets d’activité de soins à risques infectieux ou assimilés à stocker en conteneurs en carton doublé plastique :</w:t>
      </w:r>
    </w:p>
    <w:p>
      <w:pPr>
        <w:pStyle w:val="Normal"/>
        <w:jc w:val="both"/>
        <w:rPr>
          <w:rFonts w:ascii="Arial" w:hAnsi="Arial"/>
          <w:sz w:val="20"/>
          <w:szCs w:val="20"/>
        </w:rPr>
      </w:pPr>
      <w:r>
        <w:rPr>
          <w:rFonts w:ascii="Arial" w:hAnsi="Arial"/>
          <w:sz w:val="20"/>
          <w:szCs w:val="20"/>
        </w:rPr>
      </w:r>
    </w:p>
    <w:p>
      <w:pPr>
        <w:pStyle w:val="ListParagraph"/>
        <w:numPr>
          <w:ilvl w:val="0"/>
          <w:numId w:val="1"/>
        </w:numPr>
        <w:jc w:val="both"/>
        <w:rPr>
          <w:rFonts w:ascii="Arial" w:hAnsi="Arial"/>
          <w:sz w:val="20"/>
          <w:szCs w:val="20"/>
        </w:rPr>
      </w:pPr>
      <w:r>
        <w:rPr>
          <w:rFonts w:ascii="Arial" w:hAnsi="Arial"/>
          <w:sz w:val="20"/>
          <w:szCs w:val="20"/>
        </w:rPr>
        <w:t>Equipements de protection individuelle non réutilisables (gants, masques …) ;</w:t>
      </w:r>
    </w:p>
    <w:p>
      <w:pPr>
        <w:pStyle w:val="ListParagraph"/>
        <w:numPr>
          <w:ilvl w:val="0"/>
          <w:numId w:val="1"/>
        </w:numPr>
        <w:jc w:val="both"/>
        <w:rPr>
          <w:rFonts w:ascii="Arial" w:hAnsi="Arial"/>
          <w:sz w:val="20"/>
          <w:szCs w:val="20"/>
        </w:rPr>
      </w:pPr>
      <w:bookmarkStart w:id="1" w:name="_GoBack"/>
      <w:bookmarkEnd w:id="1"/>
      <w:r>
        <w:rPr>
          <w:rFonts w:ascii="Arial" w:hAnsi="Arial"/>
          <w:sz w:val="20"/>
          <w:szCs w:val="20"/>
        </w:rPr>
        <w:t>Chiffons ;</w:t>
      </w:r>
    </w:p>
    <w:p>
      <w:pPr>
        <w:pStyle w:val="ListParagraph"/>
        <w:numPr>
          <w:ilvl w:val="0"/>
          <w:numId w:val="1"/>
        </w:numPr>
        <w:jc w:val="both"/>
        <w:rPr>
          <w:rFonts w:ascii="Arial" w:hAnsi="Arial"/>
          <w:sz w:val="20"/>
          <w:szCs w:val="20"/>
        </w:rPr>
      </w:pPr>
      <w:r>
        <w:rPr>
          <w:rFonts w:ascii="Arial" w:hAnsi="Arial"/>
          <w:sz w:val="20"/>
          <w:szCs w:val="20"/>
        </w:rPr>
        <w:t>Papiers absorbants.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u w:val="single"/>
        </w:rPr>
        <w:t xml:space="preserve">Prix 2 - Déchets d’activité de soins à risques infectieux ou assimilés liquides à stocker en poche souple étanche </w:t>
      </w:r>
      <w:r>
        <w:rPr>
          <w:rFonts w:ascii="Arial" w:hAnsi="Arial"/>
          <w:b/>
          <w:sz w:val="22"/>
          <w:szCs w:val="22"/>
          <w:u w:val="single"/>
        </w:rPr>
        <w:t>y compris la mise à disposition gracieuse du support</w:t>
      </w:r>
      <w:r>
        <w:rPr>
          <w:rFonts w:ascii="Arial" w:hAnsi="Arial"/>
          <w:sz w:val="20"/>
          <w:szCs w:val="20"/>
          <w:u w:val="single"/>
        </w:rPr>
        <w:t> :</w:t>
      </w:r>
    </w:p>
    <w:p>
      <w:pPr>
        <w:pStyle w:val="Normal"/>
        <w:jc w:val="both"/>
        <w:rPr>
          <w:rFonts w:ascii="Arial" w:hAnsi="Arial"/>
          <w:sz w:val="20"/>
          <w:szCs w:val="20"/>
        </w:rPr>
      </w:pPr>
      <w:r>
        <w:rPr>
          <w:rFonts w:ascii="Arial" w:hAnsi="Arial"/>
          <w:sz w:val="20"/>
          <w:szCs w:val="20"/>
        </w:rPr>
      </w:r>
    </w:p>
    <w:p>
      <w:pPr>
        <w:pStyle w:val="ListParagraph"/>
        <w:numPr>
          <w:ilvl w:val="0"/>
          <w:numId w:val="7"/>
        </w:numPr>
        <w:jc w:val="both"/>
        <w:rPr>
          <w:rFonts w:ascii="Arial" w:hAnsi="Arial"/>
          <w:sz w:val="20"/>
          <w:szCs w:val="20"/>
        </w:rPr>
      </w:pPr>
      <w:r>
        <w:rPr>
          <w:rFonts w:ascii="Arial" w:hAnsi="Arial"/>
          <w:sz w:val="20"/>
          <w:szCs w:val="20"/>
        </w:rPr>
        <w:t>Prélèvements sanguins.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u w:val="single"/>
        </w:rPr>
      </w:pPr>
      <w:r>
        <w:rPr>
          <w:rFonts w:ascii="Arial" w:hAnsi="Arial"/>
          <w:sz w:val="20"/>
          <w:szCs w:val="20"/>
          <w:u w:val="single"/>
        </w:rPr>
        <w:t xml:space="preserve">Prix 3 – Conteneur polypropylène haut densité pour transport de X poches souples (Prix 2)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u w:val="single"/>
        </w:rPr>
      </w:pPr>
      <w:r>
        <w:rPr>
          <w:rFonts w:ascii="Arial" w:hAnsi="Arial"/>
          <w:sz w:val="20"/>
          <w:szCs w:val="20"/>
          <w:u w:val="single"/>
        </w:rPr>
        <w:t>Prix 4 - Déchets piquants coupants ou tranchants</w:t>
      </w:r>
    </w:p>
    <w:p>
      <w:pPr>
        <w:pStyle w:val="Normal"/>
        <w:jc w:val="both"/>
        <w:rPr>
          <w:rFonts w:ascii="Arial" w:hAnsi="Arial"/>
          <w:sz w:val="20"/>
          <w:szCs w:val="20"/>
        </w:rPr>
      </w:pPr>
      <w:r>
        <w:rPr>
          <w:rFonts w:ascii="Arial" w:hAnsi="Arial"/>
          <w:sz w:val="20"/>
          <w:szCs w:val="20"/>
        </w:rPr>
      </w:r>
    </w:p>
    <w:p>
      <w:pPr>
        <w:pStyle w:val="ListParagraph"/>
        <w:numPr>
          <w:ilvl w:val="0"/>
          <w:numId w:val="2"/>
        </w:numPr>
        <w:jc w:val="both"/>
        <w:rPr>
          <w:rFonts w:ascii="Arial" w:hAnsi="Arial"/>
          <w:sz w:val="20"/>
          <w:szCs w:val="20"/>
        </w:rPr>
      </w:pPr>
      <w:r>
        <w:rPr>
          <w:rFonts w:ascii="Arial" w:hAnsi="Arial"/>
          <w:sz w:val="20"/>
          <w:szCs w:val="20"/>
        </w:rPr>
        <w:t>Aiguilles ;</w:t>
      </w:r>
    </w:p>
    <w:p>
      <w:pPr>
        <w:pStyle w:val="ListParagraph"/>
        <w:numPr>
          <w:ilvl w:val="0"/>
          <w:numId w:val="2"/>
        </w:numPr>
        <w:jc w:val="both"/>
        <w:rPr>
          <w:rFonts w:ascii="Arial" w:hAnsi="Arial"/>
          <w:sz w:val="20"/>
          <w:szCs w:val="20"/>
        </w:rPr>
      </w:pPr>
      <w:r>
        <w:rPr>
          <w:rFonts w:ascii="Arial" w:hAnsi="Arial"/>
          <w:sz w:val="20"/>
          <w:szCs w:val="20"/>
        </w:rPr>
        <w:t>Seringues ;</w:t>
      </w:r>
    </w:p>
    <w:p>
      <w:pPr>
        <w:pStyle w:val="ListParagraph"/>
        <w:numPr>
          <w:ilvl w:val="0"/>
          <w:numId w:val="2"/>
        </w:numPr>
        <w:jc w:val="both"/>
        <w:rPr>
          <w:rFonts w:ascii="Arial" w:hAnsi="Arial"/>
          <w:sz w:val="20"/>
          <w:szCs w:val="20"/>
        </w:rPr>
      </w:pPr>
      <w:r>
        <w:rPr>
          <w:rFonts w:ascii="Arial" w:hAnsi="Arial"/>
          <w:sz w:val="20"/>
          <w:szCs w:val="20"/>
        </w:rPr>
        <w:t>Rasoirs ;</w:t>
      </w:r>
    </w:p>
    <w:p>
      <w:pPr>
        <w:pStyle w:val="ListParagraph"/>
        <w:numPr>
          <w:ilvl w:val="0"/>
          <w:numId w:val="2"/>
        </w:numPr>
        <w:jc w:val="both"/>
        <w:rPr>
          <w:rFonts w:ascii="Arial" w:hAnsi="Arial"/>
          <w:sz w:val="20"/>
          <w:szCs w:val="20"/>
        </w:rPr>
      </w:pPr>
      <w:r>
        <w:rPr>
          <w:rFonts w:ascii="Arial" w:hAnsi="Arial"/>
          <w:sz w:val="20"/>
          <w:szCs w:val="20"/>
        </w:rPr>
        <w:t>Lames de bistouri.</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u w:val="single"/>
        </w:rPr>
      </w:pPr>
      <w:r>
        <w:rPr>
          <w:rFonts w:ascii="Arial" w:hAnsi="Arial"/>
          <w:sz w:val="20"/>
          <w:szCs w:val="20"/>
          <w:u w:val="single"/>
        </w:rPr>
        <w:t>Prix 5 - Déchets radio éléments</w:t>
      </w:r>
    </w:p>
    <w:p>
      <w:pPr>
        <w:pStyle w:val="Normal"/>
        <w:jc w:val="both"/>
        <w:rPr>
          <w:rFonts w:ascii="Arial" w:hAnsi="Arial"/>
          <w:sz w:val="20"/>
          <w:szCs w:val="20"/>
        </w:rPr>
      </w:pPr>
      <w:r>
        <w:rPr>
          <w:rFonts w:ascii="Arial" w:hAnsi="Arial"/>
          <w:sz w:val="20"/>
          <w:szCs w:val="20"/>
        </w:rPr>
      </w:r>
    </w:p>
    <w:p>
      <w:pPr>
        <w:pStyle w:val="ListParagraph"/>
        <w:numPr>
          <w:ilvl w:val="0"/>
          <w:numId w:val="3"/>
        </w:numPr>
        <w:jc w:val="both"/>
        <w:rPr>
          <w:rFonts w:ascii="Arial" w:hAnsi="Arial"/>
          <w:sz w:val="20"/>
          <w:szCs w:val="20"/>
        </w:rPr>
      </w:pPr>
      <w:r>
        <w:rPr>
          <w:rFonts w:ascii="Arial" w:hAnsi="Arial"/>
          <w:sz w:val="20"/>
          <w:szCs w:val="20"/>
        </w:rPr>
        <w:t>Stimulateurs cardiaques et autres appareils comportant des radio éléments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Un planning semestriel sera établi dès la notification de l’accord-cadre. Le bon de commande tiendra compte de cette planification.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prestations seront réalisées aux horaires suivants :</w:t>
      </w:r>
    </w:p>
    <w:p>
      <w:pPr>
        <w:pStyle w:val="Normal"/>
        <w:jc w:val="both"/>
        <w:rPr>
          <w:rFonts w:ascii="Arial" w:hAnsi="Arial"/>
          <w:sz w:val="20"/>
          <w:szCs w:val="20"/>
        </w:rPr>
      </w:pPr>
      <w:r>
        <w:rPr>
          <w:rFonts w:ascii="Arial" w:hAnsi="Arial"/>
          <w:sz w:val="20"/>
          <w:szCs w:val="20"/>
        </w:rPr>
        <w:t>du lundi au vendredi de 7H30 à 18H</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 ou les jours et heures de collecte seront fixés conjointement dès notification des accords-cadres.</w:t>
      </w:r>
    </w:p>
    <w:p>
      <w:pPr>
        <w:pStyle w:val="Normal"/>
        <w:jc w:val="both"/>
        <w:rPr>
          <w:rFonts w:ascii="Arial" w:hAnsi="Arial"/>
          <w:sz w:val="20"/>
          <w:szCs w:val="20"/>
        </w:rPr>
      </w:pPr>
      <w:r>
        <w:rPr>
          <w:rFonts w:ascii="Arial" w:hAnsi="Arial"/>
          <w:sz w:val="20"/>
          <w:szCs w:val="20"/>
        </w:rPr>
      </w:r>
    </w:p>
    <w:p>
      <w:pPr>
        <w:pStyle w:val="Normal"/>
        <w:jc w:val="both"/>
        <w:rPr>
          <w:rFonts w:ascii="Arial" w:hAnsi="Arial"/>
          <w:b/>
          <w:b/>
          <w:bCs/>
          <w:sz w:val="20"/>
          <w:szCs w:val="20"/>
        </w:rPr>
      </w:pPr>
      <w:r>
        <w:rPr>
          <w:rFonts w:ascii="Arial" w:hAnsi="Arial"/>
          <w:b/>
          <w:bCs/>
          <w:sz w:val="20"/>
          <w:szCs w:val="20"/>
        </w:rPr>
        <w:t>Développement durable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Chaque titulaire met en place une gestion rigoureuse de l’environnement qui prend en compte l’ensemble des facteurs intervenant dans le processus de réalisation des produits, des prestations, de sa logistique.</w:t>
      </w:r>
    </w:p>
    <w:p>
      <w:pPr>
        <w:pStyle w:val="Normal"/>
        <w:jc w:val="both"/>
        <w:rPr>
          <w:rFonts w:ascii="Arial" w:hAnsi="Arial"/>
          <w:sz w:val="20"/>
          <w:szCs w:val="20"/>
        </w:rPr>
      </w:pPr>
      <w:r>
        <w:rPr>
          <w:rFonts w:ascii="Arial" w:hAnsi="Arial"/>
          <w:sz w:val="20"/>
          <w:szCs w:val="20"/>
        </w:rPr>
      </w:r>
    </w:p>
    <w:p>
      <w:pPr>
        <w:pStyle w:val="Normal"/>
        <w:jc w:val="both"/>
        <w:rPr>
          <w:rFonts w:ascii="Arial" w:hAnsi="Arial"/>
          <w:b/>
          <w:b/>
          <w:sz w:val="20"/>
          <w:szCs w:val="20"/>
        </w:rPr>
      </w:pPr>
      <w:r>
        <w:rPr>
          <w:rFonts w:ascii="Arial" w:hAnsi="Arial"/>
          <w:b/>
        </w:rPr>
        <w:t>ARTICLE 2</w:t>
        <w:tab/>
        <w:tab/>
        <w:t>PRESTATIONS TECHNIQUES ET EXECUTION ATTENDUES</w:t>
      </w:r>
    </w:p>
    <w:p>
      <w:pPr>
        <w:pStyle w:val="Normal"/>
        <w:jc w:val="both"/>
        <w:rPr>
          <w:rFonts w:ascii="Arial" w:hAnsi="Arial"/>
          <w:sz w:val="20"/>
          <w:szCs w:val="20"/>
        </w:rPr>
      </w:pPr>
      <w:r>
        <w:rPr>
          <w:rFonts w:ascii="Arial" w:hAnsi="Arial"/>
          <w:sz w:val="20"/>
          <w:szCs w:val="20"/>
        </w:rPr>
      </w:r>
    </w:p>
    <w:p>
      <w:pPr>
        <w:pStyle w:val="Normal"/>
        <w:jc w:val="both"/>
        <w:rPr>
          <w:rFonts w:ascii="Arial" w:hAnsi="Arial"/>
          <w:b/>
          <w:b/>
        </w:rPr>
      </w:pPr>
      <w:r>
        <w:rPr>
          <w:rFonts w:ascii="Arial" w:hAnsi="Arial"/>
          <w:b/>
        </w:rPr>
        <w:t>Article 2.1</w:t>
        <w:tab/>
        <w:t>Fourniture d’emballage à usage unique DASRI</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u w:val="single"/>
        </w:rPr>
        <w:t>Lot n° 1</w:t>
      </w:r>
      <w:r>
        <w:rPr>
          <w:rFonts w:ascii="Arial" w:hAnsi="Arial"/>
          <w:sz w:val="20"/>
          <w:szCs w:val="20"/>
        </w:rPr>
        <w:t xml:space="preserve"> – </w:t>
      </w:r>
      <w:bookmarkStart w:id="2" w:name="__DdeLink__2499_3832004967"/>
      <w:r>
        <w:rPr>
          <w:rFonts w:ascii="Arial" w:hAnsi="Arial"/>
          <w:sz w:val="20"/>
          <w:szCs w:val="20"/>
        </w:rPr>
        <w:t>L’accord-cadre concerne</w:t>
      </w:r>
      <w:bookmarkEnd w:id="2"/>
      <w:r>
        <w:rPr>
          <w:rFonts w:ascii="Arial" w:hAnsi="Arial"/>
          <w:sz w:val="20"/>
          <w:szCs w:val="20"/>
        </w:rPr>
        <w:t xml:space="preserve"> la fourniture et de la livraison de containeurs à usage unique pour les déchets d’activités de soins DASRI du service Post Mortem du Funérarium Municipal.</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assure la fourniture des contenants adaptés et conformes à la règlementation en vigueur pour chaque type de déchets ci-dessous, notamment les normes ou équivalent :</w:t>
      </w:r>
    </w:p>
    <w:p>
      <w:pPr>
        <w:pStyle w:val="Normal"/>
        <w:jc w:val="both"/>
        <w:rPr>
          <w:rFonts w:ascii="Arial" w:hAnsi="Arial"/>
          <w:sz w:val="20"/>
          <w:szCs w:val="20"/>
        </w:rPr>
      </w:pPr>
      <w:r>
        <w:rPr>
          <w:rFonts w:ascii="Arial" w:hAnsi="Arial"/>
          <w:sz w:val="20"/>
          <w:szCs w:val="20"/>
        </w:rPr>
      </w:r>
    </w:p>
    <w:p>
      <w:pPr>
        <w:pStyle w:val="ListParagraph"/>
        <w:numPr>
          <w:ilvl w:val="0"/>
          <w:numId w:val="4"/>
        </w:numPr>
        <w:jc w:val="both"/>
        <w:rPr>
          <w:rFonts w:ascii="Arial" w:hAnsi="Arial"/>
          <w:sz w:val="20"/>
          <w:szCs w:val="20"/>
        </w:rPr>
      </w:pPr>
      <w:r>
        <w:rPr>
          <w:rFonts w:ascii="Arial" w:hAnsi="Arial"/>
          <w:sz w:val="20"/>
          <w:szCs w:val="20"/>
        </w:rPr>
        <w:t>NF X30-511 : 2015</w:t>
      </w:r>
    </w:p>
    <w:p>
      <w:pPr>
        <w:pStyle w:val="ListParagraph"/>
        <w:numPr>
          <w:ilvl w:val="0"/>
          <w:numId w:val="4"/>
        </w:numPr>
        <w:jc w:val="both"/>
        <w:rPr>
          <w:rFonts w:ascii="Arial" w:hAnsi="Arial"/>
          <w:sz w:val="20"/>
          <w:szCs w:val="20"/>
        </w:rPr>
      </w:pPr>
      <w:r>
        <w:rPr>
          <w:rFonts w:ascii="Arial" w:hAnsi="Arial"/>
          <w:sz w:val="20"/>
          <w:szCs w:val="20"/>
        </w:rPr>
        <w:t>NF EN ISO 23907-1 : 2019</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Il procède à la fourniture d’étiquettes normalisées et adaptées à chaque type de déchets si les contenants ne sont pas déjà étiquetés à la livraison.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devra fournir des collecteurs DASRI agréés selon l’ADR.</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organise le réapprovisionnement automatique du local dédié. Il ne doit pas y avoir de rupture d’approvisionnement en collecteurs. Une logistique sera mise en place dans ce sens.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Un stock tampon correspondant à </w:t>
      </w:r>
      <w:r>
        <w:rPr>
          <w:rFonts w:ascii="Arial" w:hAnsi="Arial"/>
          <w:sz w:val="20"/>
          <w:szCs w:val="20"/>
          <w:u w:val="single"/>
        </w:rPr>
        <w:t>2 semaines d’activité</w:t>
      </w:r>
      <w:r>
        <w:rPr>
          <w:rFonts w:ascii="Arial" w:hAnsi="Arial"/>
          <w:sz w:val="20"/>
          <w:szCs w:val="20"/>
        </w:rPr>
        <w:t xml:space="preserve"> doit être présent pour parer à toute fluctuation possible d’activité.</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normes en vigueur peuvent être amenées à évoluer durant l’exécution de l’accord-cadre, le titulaire devra en informer le Pouvoir adjudicateur.</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Le titulaire fournit dans son offre les certificats d’homologation pour les emballages utilisés dans le cadre de cet accord-cadre. </w:t>
      </w:r>
    </w:p>
    <w:p>
      <w:pPr>
        <w:pStyle w:val="Normal"/>
        <w:jc w:val="both"/>
        <w:rPr>
          <w:rFonts w:ascii="Arial" w:hAnsi="Arial"/>
          <w:sz w:val="20"/>
          <w:szCs w:val="20"/>
        </w:rPr>
      </w:pPr>
      <w:r>
        <w:rPr>
          <w:rFonts w:ascii="Arial" w:hAnsi="Arial"/>
          <w:sz w:val="20"/>
          <w:szCs w:val="20"/>
        </w:rPr>
      </w:r>
    </w:p>
    <w:p>
      <w:pPr>
        <w:pStyle w:val="Normal"/>
        <w:jc w:val="both"/>
        <w:rPr>
          <w:rFonts w:ascii="Arial" w:hAnsi="Arial"/>
          <w:b/>
          <w:b/>
        </w:rPr>
      </w:pPr>
      <w:r>
        <w:rPr>
          <w:rFonts w:ascii="Arial" w:hAnsi="Arial"/>
          <w:b/>
        </w:rPr>
        <w:t>Exigences particulières</w:t>
      </w:r>
    </w:p>
    <w:p>
      <w:pPr>
        <w:pStyle w:val="Normal"/>
        <w:jc w:val="both"/>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sz w:val="20"/>
          <w:szCs w:val="20"/>
        </w:rPr>
      </w:pPr>
      <w:r>
        <w:rPr>
          <w:rFonts w:ascii="Arial" w:hAnsi="Arial"/>
          <w:sz w:val="20"/>
          <w:szCs w:val="20"/>
        </w:rPr>
        <w:t>Le Pouvoir adjudicateur se réserve la possibilité d’exiger en cas de risque sanitaire ou de doute sur la conformité des fournitures à l’offre, un rapport d’essais attestant de la conformité de la fourniture.</w:t>
      </w:r>
    </w:p>
    <w:p>
      <w:pPr>
        <w:pStyle w:val="Normal"/>
        <w:jc w:val="both"/>
        <w:rPr>
          <w:rFonts w:ascii="Arial" w:hAnsi="Arial"/>
          <w:sz w:val="20"/>
          <w:szCs w:val="20"/>
        </w:rPr>
      </w:pPr>
      <w:r>
        <w:rPr>
          <w:rFonts w:ascii="Arial" w:hAnsi="Arial"/>
          <w:sz w:val="20"/>
          <w:szCs w:val="20"/>
        </w:rPr>
        <w:t>Ces essais seront à la charge du titulaire.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rPr>
      </w:pPr>
      <w:r>
        <w:rPr>
          <w:rFonts w:ascii="Arial" w:hAnsi="Arial"/>
          <w:b/>
        </w:rPr>
        <w:t>Article 2.2</w:t>
        <w:tab/>
        <w:t>Collecte, transport et élimination des déchets de soins à risques infectieux</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u w:val="single"/>
        </w:rPr>
        <w:t>Lot n° 2</w:t>
      </w:r>
      <w:r>
        <w:rPr>
          <w:rFonts w:ascii="Arial" w:hAnsi="Arial"/>
          <w:sz w:val="20"/>
          <w:szCs w:val="20"/>
        </w:rPr>
        <w:t xml:space="preserve"> – L’accord-cadre concerne la collecte, transport et élimination des déchets d’activités de soins DASRI du service Post Mortem du Funérarium Municipal.</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2"/>
          <w:szCs w:val="22"/>
          <w:u w:val="single"/>
        </w:rPr>
      </w:pPr>
      <w:r>
        <w:rPr>
          <w:rFonts w:ascii="Arial" w:hAnsi="Arial"/>
          <w:sz w:val="22"/>
          <w:szCs w:val="22"/>
          <w:u w:val="single"/>
        </w:rPr>
        <w:t>Références règlementaires</w:t>
      </w:r>
    </w:p>
    <w:p>
      <w:pPr>
        <w:pStyle w:val="Normal"/>
        <w:jc w:val="both"/>
        <w:rPr>
          <w:rFonts w:ascii="Arial" w:hAnsi="Arial"/>
          <w:sz w:val="20"/>
          <w:szCs w:val="20"/>
        </w:rPr>
      </w:pPr>
      <w:r>
        <w:rPr>
          <w:rFonts w:ascii="Arial" w:hAnsi="Arial"/>
          <w:sz w:val="20"/>
          <w:szCs w:val="20"/>
        </w:rPr>
      </w:r>
    </w:p>
    <w:p>
      <w:pPr>
        <w:pStyle w:val="ListParagraph"/>
        <w:numPr>
          <w:ilvl w:val="0"/>
          <w:numId w:val="8"/>
        </w:numPr>
        <w:ind w:left="426" w:hanging="360"/>
        <w:jc w:val="both"/>
        <w:rPr>
          <w:rFonts w:ascii="Arial" w:hAnsi="Arial"/>
          <w:sz w:val="20"/>
          <w:szCs w:val="20"/>
        </w:rPr>
      </w:pPr>
      <w:r>
        <w:rPr>
          <w:rFonts w:ascii="Arial" w:hAnsi="Arial"/>
          <w:sz w:val="20"/>
          <w:szCs w:val="20"/>
        </w:rPr>
        <w:t>Décret n°97-1048 du 6 novembre 1997 relatif à l’élimination des DASRI et assimilés et des pièces anatomiques et modifiant le Code de la santé publique ;</w:t>
      </w:r>
    </w:p>
    <w:p>
      <w:pPr>
        <w:pStyle w:val="ListParagraph"/>
        <w:numPr>
          <w:ilvl w:val="0"/>
          <w:numId w:val="8"/>
        </w:numPr>
        <w:ind w:left="426" w:hanging="360"/>
        <w:jc w:val="both"/>
        <w:rPr>
          <w:rFonts w:ascii="Arial" w:hAnsi="Arial"/>
          <w:sz w:val="20"/>
          <w:szCs w:val="20"/>
        </w:rPr>
      </w:pPr>
      <w:r>
        <w:rPr>
          <w:rFonts w:ascii="Arial" w:hAnsi="Arial"/>
          <w:sz w:val="20"/>
          <w:szCs w:val="20"/>
        </w:rPr>
        <w:t>Décret n°2005-540 du 18 avril 2002 relatif à la classification des déchets ;</w:t>
      </w:r>
    </w:p>
    <w:p>
      <w:pPr>
        <w:pStyle w:val="ListParagraph"/>
        <w:numPr>
          <w:ilvl w:val="0"/>
          <w:numId w:val="8"/>
        </w:numPr>
        <w:ind w:left="426" w:hanging="360"/>
        <w:jc w:val="both"/>
        <w:rPr>
          <w:rFonts w:ascii="Arial" w:hAnsi="Arial"/>
          <w:sz w:val="20"/>
          <w:szCs w:val="20"/>
        </w:rPr>
      </w:pPr>
      <w:r>
        <w:rPr>
          <w:rFonts w:ascii="Arial" w:hAnsi="Arial"/>
          <w:sz w:val="20"/>
          <w:szCs w:val="20"/>
        </w:rPr>
        <w:t>Décret n°2005-635 du 30 mai 2005 relatif au contrôle des circuits de traitement des déchets ;</w:t>
      </w:r>
    </w:p>
    <w:p>
      <w:pPr>
        <w:pStyle w:val="ListParagraph"/>
        <w:numPr>
          <w:ilvl w:val="0"/>
          <w:numId w:val="8"/>
        </w:numPr>
        <w:ind w:left="426" w:hanging="360"/>
        <w:jc w:val="both"/>
        <w:rPr>
          <w:rFonts w:ascii="Arial" w:hAnsi="Arial"/>
          <w:sz w:val="20"/>
          <w:szCs w:val="20"/>
        </w:rPr>
      </w:pPr>
      <w:r>
        <w:rPr>
          <w:rFonts w:ascii="Arial" w:hAnsi="Arial"/>
          <w:sz w:val="20"/>
          <w:szCs w:val="20"/>
        </w:rPr>
        <w:t>Arrêté du 7 septembre 1999 relatif aux modalités d’entreposage des DASRI, modifié par l’’arrêté du 14 octobre 2001 et l’arrêté du 20 mai 2014 ;</w:t>
      </w:r>
    </w:p>
    <w:p>
      <w:pPr>
        <w:pStyle w:val="ListParagraph"/>
        <w:numPr>
          <w:ilvl w:val="0"/>
          <w:numId w:val="8"/>
        </w:numPr>
        <w:ind w:left="426" w:hanging="360"/>
        <w:jc w:val="both"/>
        <w:rPr>
          <w:rFonts w:ascii="Arial" w:hAnsi="Arial"/>
          <w:sz w:val="20"/>
          <w:szCs w:val="20"/>
        </w:rPr>
      </w:pPr>
      <w:r>
        <w:rPr>
          <w:rFonts w:ascii="Arial" w:hAnsi="Arial"/>
          <w:sz w:val="20"/>
          <w:szCs w:val="20"/>
        </w:rPr>
        <w:t>Arrêté du 7 septembre 1999 relatif au contrôle des filières d’élimination des DASRI modifié par l’arrêté du 14 octobre 2011 et l’arrêté du 20 mai 2014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Cette liste n’est pas exhaustive.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s’engage à respecter et faire respecter la règlementation du transport par route (ADR) des marchandises dangereuses en ce qui concerne les DASRI pris en charge.</w:t>
      </w:r>
    </w:p>
    <w:p>
      <w:pPr>
        <w:pStyle w:val="Normal"/>
        <w:jc w:val="both"/>
        <w:rPr>
          <w:rFonts w:ascii="Arial" w:hAnsi="Arial"/>
          <w:sz w:val="20"/>
          <w:szCs w:val="20"/>
        </w:rPr>
      </w:pPr>
      <w:r>
        <w:rPr>
          <w:rFonts w:ascii="Arial" w:hAnsi="Arial"/>
          <w:sz w:val="20"/>
          <w:szCs w:val="20"/>
        </w:rPr>
      </w:r>
    </w:p>
    <w:p>
      <w:pPr>
        <w:pStyle w:val="Normal"/>
        <w:jc w:val="both"/>
        <w:rPr>
          <w:rFonts w:ascii="Arial" w:hAnsi="Arial"/>
          <w:b/>
          <w:b/>
          <w:sz w:val="22"/>
          <w:szCs w:val="22"/>
          <w:u w:val="single"/>
        </w:rPr>
      </w:pPr>
      <w:r>
        <w:rPr>
          <w:rFonts w:ascii="Arial" w:hAnsi="Arial"/>
          <w:b/>
          <w:sz w:val="22"/>
          <w:szCs w:val="22"/>
          <w:u w:val="single"/>
        </w:rPr>
        <w:t>Collecte des déchets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respectera les délais prévus par la règlementation au regard du volume des déchets à collecter.</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Les fréquences de la collecte des déchets (lundi et jeudi) sont les suivantes :</w:t>
      </w:r>
    </w:p>
    <w:p>
      <w:pPr>
        <w:pStyle w:val="Normal"/>
        <w:jc w:val="both"/>
        <w:rPr>
          <w:rFonts w:ascii="Arial" w:hAnsi="Arial"/>
          <w:sz w:val="20"/>
          <w:szCs w:val="20"/>
        </w:rPr>
      </w:pPr>
      <w:r>
        <w:rPr>
          <w:rFonts w:ascii="Arial" w:hAnsi="Arial"/>
          <w:sz w:val="20"/>
          <w:szCs w:val="20"/>
        </w:rPr>
      </w:r>
    </w:p>
    <w:p>
      <w:pPr>
        <w:pStyle w:val="ListParagraph"/>
        <w:numPr>
          <w:ilvl w:val="0"/>
          <w:numId w:val="6"/>
        </w:numPr>
        <w:jc w:val="both"/>
        <w:rPr>
          <w:rFonts w:ascii="Arial" w:hAnsi="Arial"/>
          <w:sz w:val="20"/>
          <w:szCs w:val="20"/>
        </w:rPr>
      </w:pPr>
      <w:r>
        <w:rPr>
          <w:rFonts w:ascii="Arial" w:hAnsi="Arial"/>
          <w:sz w:val="20"/>
          <w:szCs w:val="20"/>
        </w:rPr>
        <w:t>2 fois par semaine (sous forme liquide ou solide) ;</w:t>
      </w:r>
    </w:p>
    <w:p>
      <w:pPr>
        <w:pStyle w:val="ListParagraph"/>
        <w:numPr>
          <w:ilvl w:val="0"/>
          <w:numId w:val="0"/>
        </w:numPr>
        <w:ind w:left="720" w:hanging="0"/>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 xml:space="preserve">Ces jours n’ont qu’une valeur indicative.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Lors de chaque collecte, le titulaire fournit et remplit tous les documents de prise en charge, transport et de suivi des déchets conformément à la règlementation en vigueur.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bordereau de suivi des DASRI (formulaire CERFA n° 11351 04), qui sera joint au plus tard à la présentation de la facture correspondante, doit obligatoirement comporter les informations suivantes :</w:t>
      </w:r>
    </w:p>
    <w:p>
      <w:pPr>
        <w:pStyle w:val="Normal"/>
        <w:jc w:val="both"/>
        <w:rPr>
          <w:rFonts w:ascii="Arial" w:hAnsi="Arial"/>
          <w:sz w:val="20"/>
          <w:szCs w:val="20"/>
        </w:rPr>
      </w:pPr>
      <w:r>
        <w:rPr>
          <w:rFonts w:ascii="Arial" w:hAnsi="Arial"/>
          <w:sz w:val="20"/>
          <w:szCs w:val="20"/>
        </w:rPr>
      </w:r>
    </w:p>
    <w:p>
      <w:pPr>
        <w:pStyle w:val="ListParagraph"/>
        <w:numPr>
          <w:ilvl w:val="0"/>
          <w:numId w:val="9"/>
        </w:numPr>
        <w:jc w:val="both"/>
        <w:rPr>
          <w:rFonts w:ascii="Arial" w:hAnsi="Arial"/>
          <w:sz w:val="20"/>
          <w:szCs w:val="20"/>
        </w:rPr>
      </w:pPr>
      <w:r>
        <w:rPr>
          <w:rFonts w:ascii="Arial" w:hAnsi="Arial"/>
          <w:sz w:val="20"/>
          <w:szCs w:val="20"/>
        </w:rPr>
        <w:t>Dénomination du Funérarium Municipal ;</w:t>
      </w:r>
    </w:p>
    <w:p>
      <w:pPr>
        <w:pStyle w:val="ListParagraph"/>
        <w:numPr>
          <w:ilvl w:val="0"/>
          <w:numId w:val="9"/>
        </w:numPr>
        <w:jc w:val="both"/>
        <w:rPr>
          <w:rFonts w:ascii="Arial" w:hAnsi="Arial"/>
          <w:sz w:val="20"/>
          <w:szCs w:val="20"/>
        </w:rPr>
      </w:pPr>
      <w:r>
        <w:rPr>
          <w:rFonts w:ascii="Arial" w:hAnsi="Arial"/>
          <w:sz w:val="20"/>
          <w:szCs w:val="20"/>
        </w:rPr>
        <w:t>Dénomination et coordonnées du collecteur/transporteur ;</w:t>
      </w:r>
    </w:p>
    <w:p>
      <w:pPr>
        <w:pStyle w:val="ListParagraph"/>
        <w:numPr>
          <w:ilvl w:val="0"/>
          <w:numId w:val="9"/>
        </w:numPr>
        <w:jc w:val="both"/>
        <w:rPr>
          <w:rFonts w:ascii="Arial" w:hAnsi="Arial"/>
          <w:sz w:val="20"/>
          <w:szCs w:val="20"/>
        </w:rPr>
      </w:pPr>
      <w:r>
        <w:rPr>
          <w:rFonts w:ascii="Arial" w:hAnsi="Arial"/>
          <w:sz w:val="20"/>
          <w:szCs w:val="20"/>
        </w:rPr>
        <w:t>Date de remise au collecteur/transporteur des déchets ;</w:t>
      </w:r>
    </w:p>
    <w:p>
      <w:pPr>
        <w:pStyle w:val="ListParagraph"/>
        <w:numPr>
          <w:ilvl w:val="0"/>
          <w:numId w:val="9"/>
        </w:numPr>
        <w:jc w:val="both"/>
        <w:rPr>
          <w:rFonts w:ascii="Arial" w:hAnsi="Arial"/>
          <w:sz w:val="20"/>
          <w:szCs w:val="20"/>
        </w:rPr>
      </w:pPr>
      <w:r>
        <w:rPr>
          <w:rFonts w:ascii="Arial" w:hAnsi="Arial"/>
          <w:sz w:val="20"/>
          <w:szCs w:val="20"/>
        </w:rPr>
        <w:t>Dénomination de l’exploitant de l’installation de destination</w:t>
      </w:r>
    </w:p>
    <w:p>
      <w:pPr>
        <w:pStyle w:val="ListParagraph"/>
        <w:numPr>
          <w:ilvl w:val="0"/>
          <w:numId w:val="9"/>
        </w:numPr>
        <w:jc w:val="both"/>
        <w:rPr>
          <w:rFonts w:ascii="Arial" w:hAnsi="Arial"/>
          <w:sz w:val="20"/>
          <w:szCs w:val="20"/>
        </w:rPr>
      </w:pPr>
      <w:r>
        <w:rPr>
          <w:rFonts w:ascii="Arial" w:hAnsi="Arial"/>
          <w:sz w:val="20"/>
          <w:szCs w:val="20"/>
        </w:rPr>
        <w:t>Date de remise à l’exploitant de l’installation ;</w:t>
      </w:r>
    </w:p>
    <w:p>
      <w:pPr>
        <w:pStyle w:val="ListParagraph"/>
        <w:numPr>
          <w:ilvl w:val="0"/>
          <w:numId w:val="9"/>
        </w:numPr>
        <w:jc w:val="both"/>
        <w:rPr>
          <w:rFonts w:ascii="Arial" w:hAnsi="Arial"/>
          <w:sz w:val="20"/>
          <w:szCs w:val="20"/>
        </w:rPr>
      </w:pPr>
      <w:r>
        <w:rPr>
          <w:rFonts w:ascii="Arial" w:hAnsi="Arial"/>
          <w:sz w:val="20"/>
          <w:szCs w:val="20"/>
        </w:rPr>
        <w:t>Date de prise en charge pour opération (stockage, destruction des déchets ou autre) par l’exploitant de l’installation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2"/>
          <w:szCs w:val="22"/>
          <w:u w:val="single"/>
        </w:rPr>
      </w:pPr>
      <w:r>
        <w:rPr>
          <w:rFonts w:ascii="Arial" w:hAnsi="Arial"/>
          <w:sz w:val="22"/>
          <w:szCs w:val="22"/>
          <w:u w:val="single"/>
        </w:rPr>
        <w:t>Transport des déchets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s’engage à utiliser des véhicules spécialement équipés pour le transport des déchets et à respecter la règlementation du transport par route (ADR).</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détaillera le mode de transport des déchets.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2"/>
          <w:szCs w:val="22"/>
          <w:u w:val="single"/>
        </w:rPr>
      </w:pPr>
      <w:r>
        <w:rPr>
          <w:rFonts w:ascii="Arial" w:hAnsi="Arial"/>
          <w:sz w:val="22"/>
          <w:szCs w:val="22"/>
          <w:u w:val="single"/>
        </w:rPr>
        <w:t>Traitement des déchets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garantit que le traitement des déchets est effectué en respect de la règlementation en vigueur notamment des lois, décrets et arrêtés préfectoraux et notamment ceux des installations classées dans lesquelles seront effectués les traitements de déchets.</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 titulaire s’assure du suivi d’élimination par les filières adaptées jusqu’à l’élimination finale selon le circuit de collecte proposé.</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2"/>
          <w:szCs w:val="22"/>
          <w:u w:val="single"/>
        </w:rPr>
        <w:t>Traçabilité</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L’enlèvement des déchets donnera lieu à l’établissement d’un bon d’intervention reprenant tous les éléments du jour.</w:t>
      </w:r>
    </w:p>
    <w:p>
      <w:pPr>
        <w:pStyle w:val="Normal"/>
        <w:jc w:val="both"/>
        <w:rPr>
          <w:rFonts w:ascii="Arial" w:hAnsi="Arial"/>
          <w:sz w:val="20"/>
          <w:szCs w:val="20"/>
        </w:rPr>
      </w:pPr>
      <w:r>
        <w:rPr>
          <w:rFonts w:ascii="Arial" w:hAnsi="Arial"/>
          <w:sz w:val="20"/>
          <w:szCs w:val="20"/>
        </w:rPr>
      </w:r>
    </w:p>
    <w:p>
      <w:pPr>
        <w:pStyle w:val="Normal"/>
        <w:jc w:val="both"/>
        <w:rPr>
          <w:rFonts w:ascii="Arial" w:hAnsi="Arial"/>
          <w:b/>
          <w:b/>
          <w:sz w:val="22"/>
          <w:szCs w:val="22"/>
          <w:u w:val="single"/>
        </w:rPr>
      </w:pPr>
      <w:r>
        <w:rPr>
          <w:rFonts w:ascii="Arial" w:hAnsi="Arial"/>
          <w:b/>
          <w:sz w:val="22"/>
          <w:szCs w:val="22"/>
          <w:u w:val="single"/>
        </w:rPr>
        <w:t>Obligations du titulaire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devra en outre :</w:t>
      </w:r>
    </w:p>
    <w:p>
      <w:pPr>
        <w:pStyle w:val="Normal"/>
        <w:jc w:val="both"/>
        <w:rPr>
          <w:rFonts w:ascii="Arial" w:hAnsi="Arial"/>
          <w:sz w:val="20"/>
          <w:szCs w:val="20"/>
        </w:rPr>
      </w:pPr>
      <w:r>
        <w:rPr>
          <w:rFonts w:ascii="Arial" w:hAnsi="Arial"/>
          <w:sz w:val="20"/>
          <w:szCs w:val="20"/>
        </w:rPr>
      </w:r>
    </w:p>
    <w:p>
      <w:pPr>
        <w:pStyle w:val="ListParagraph"/>
        <w:numPr>
          <w:ilvl w:val="0"/>
          <w:numId w:val="5"/>
        </w:numPr>
        <w:jc w:val="both"/>
        <w:rPr>
          <w:rFonts w:ascii="Arial" w:hAnsi="Arial"/>
          <w:sz w:val="20"/>
          <w:szCs w:val="20"/>
        </w:rPr>
      </w:pPr>
      <w:r>
        <w:rPr>
          <w:rFonts w:ascii="Arial" w:hAnsi="Arial"/>
          <w:sz w:val="20"/>
          <w:szCs w:val="20"/>
        </w:rPr>
        <w:t>Tenir un registre décrivant les opérations effectuées sur les déchets ;</w:t>
      </w:r>
    </w:p>
    <w:p>
      <w:pPr>
        <w:pStyle w:val="ListParagraph"/>
        <w:numPr>
          <w:ilvl w:val="0"/>
          <w:numId w:val="5"/>
        </w:numPr>
        <w:jc w:val="both"/>
        <w:rPr>
          <w:rFonts w:ascii="Arial" w:hAnsi="Arial"/>
          <w:sz w:val="20"/>
          <w:szCs w:val="20"/>
        </w:rPr>
      </w:pPr>
      <w:r>
        <w:rPr>
          <w:rFonts w:ascii="Arial" w:hAnsi="Arial"/>
          <w:sz w:val="20"/>
          <w:szCs w:val="20"/>
        </w:rPr>
        <w:t>Etablir une déclaration annuelle ;</w:t>
      </w:r>
    </w:p>
    <w:p>
      <w:pPr>
        <w:pStyle w:val="ListParagraph"/>
        <w:numPr>
          <w:ilvl w:val="0"/>
          <w:numId w:val="5"/>
        </w:numPr>
        <w:jc w:val="both"/>
        <w:rPr>
          <w:rFonts w:ascii="Arial" w:hAnsi="Arial"/>
          <w:sz w:val="20"/>
          <w:szCs w:val="20"/>
        </w:rPr>
      </w:pPr>
      <w:r>
        <w:rPr>
          <w:rFonts w:ascii="Arial" w:hAnsi="Arial"/>
          <w:sz w:val="20"/>
          <w:szCs w:val="20"/>
        </w:rPr>
        <w:t>Respecter une tenue et un comportement adaptés aux circonstances d’exposition ;</w:t>
      </w:r>
    </w:p>
    <w:p>
      <w:pPr>
        <w:pStyle w:val="ListParagraph"/>
        <w:numPr>
          <w:ilvl w:val="0"/>
          <w:numId w:val="5"/>
        </w:numPr>
        <w:jc w:val="both"/>
        <w:rPr>
          <w:rFonts w:ascii="Arial" w:hAnsi="Arial"/>
          <w:sz w:val="20"/>
          <w:szCs w:val="20"/>
        </w:rPr>
      </w:pPr>
      <w:r>
        <w:rPr>
          <w:rFonts w:ascii="Arial" w:hAnsi="Arial"/>
          <w:sz w:val="20"/>
          <w:szCs w:val="20"/>
        </w:rPr>
        <w:t>Avoir une gestion rigoureuse de l’élimination des DASRI</w:t>
      </w:r>
    </w:p>
    <w:p>
      <w:pPr>
        <w:pStyle w:val="ListParagraph"/>
        <w:numPr>
          <w:ilvl w:val="0"/>
          <w:numId w:val="5"/>
        </w:numPr>
        <w:jc w:val="both"/>
        <w:rPr>
          <w:rFonts w:ascii="Arial" w:hAnsi="Arial"/>
          <w:sz w:val="20"/>
          <w:szCs w:val="20"/>
        </w:rPr>
      </w:pPr>
      <w:r>
        <w:rPr>
          <w:rFonts w:ascii="Arial" w:hAnsi="Arial"/>
          <w:sz w:val="20"/>
          <w:szCs w:val="20"/>
        </w:rPr>
        <w:t>S’engager à une maîtrise de l’hygiène et de la sécurité pour l’ensemble des étapes de la filière d’élimination ;</w:t>
      </w:r>
    </w:p>
    <w:p>
      <w:pPr>
        <w:pStyle w:val="ListParagraph"/>
        <w:numPr>
          <w:ilvl w:val="0"/>
          <w:numId w:val="5"/>
        </w:numPr>
        <w:jc w:val="both"/>
        <w:rPr>
          <w:rFonts w:ascii="Arial" w:hAnsi="Arial"/>
          <w:sz w:val="20"/>
          <w:szCs w:val="20"/>
        </w:rPr>
      </w:pPr>
      <w:r>
        <w:rPr>
          <w:rFonts w:ascii="Arial" w:hAnsi="Arial"/>
          <w:sz w:val="20"/>
          <w:szCs w:val="20"/>
        </w:rPr>
        <w:t>Produire des certificats de qualité.</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Il est entièrement responsable du personnel qu’il met à disposition pour effectuer les prestations.</w:t>
      </w:r>
    </w:p>
    <w:p>
      <w:pPr>
        <w:pStyle w:val="Normal"/>
        <w:jc w:val="both"/>
        <w:rPr>
          <w:rFonts w:ascii="Arial" w:hAnsi="Arial"/>
          <w:sz w:val="20"/>
          <w:szCs w:val="20"/>
        </w:rPr>
      </w:pPr>
      <w:r>
        <w:rPr>
          <w:rFonts w:ascii="Arial" w:hAnsi="Arial"/>
          <w:sz w:val="20"/>
          <w:szCs w:val="20"/>
        </w:rPr>
      </w:r>
    </w:p>
    <w:p>
      <w:pPr>
        <w:pStyle w:val="Normal"/>
        <w:jc w:val="both"/>
        <w:rPr/>
      </w:pPr>
      <w:r>
        <w:rPr/>
      </w:r>
    </w:p>
    <w:sectPr>
      <w:footerReference w:type="default" r:id="rId2"/>
      <w:footerReference w:type="first" r:id="rId3"/>
      <w:type w:val="nextPage"/>
      <w:pgSz w:w="11906" w:h="16838"/>
      <w:pgMar w:left="1701" w:right="1803" w:header="0" w:top="1418" w:footer="714" w:bottom="1418" w:gutter="0"/>
      <w:pgNumType w:fmt="decimal"/>
      <w:formProt w:val="false"/>
      <w:titlePg/>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Arial Unicode M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sz w:val="18"/>
        <w:szCs w:val="18"/>
      </w:rPr>
    </w:pPr>
    <w:r>
      <w:rPr>
        <w:sz w:val="18"/>
        <w:szCs w:val="18"/>
        <w:shd w:fill="FFFFFF" w:val="clear"/>
      </w:rPr>
      <w:t>Ville de Marseille - CCTP</w:t>
    </w:r>
  </w:p>
  <w:p>
    <w:pPr>
      <w:pStyle w:val="Pieddepage"/>
      <w:rPr/>
    </w:pPr>
    <w:r>
      <w:rPr>
        <w:sz w:val="18"/>
        <w:szCs w:val="18"/>
      </w:rPr>
      <w:t>Fourniture d’emballages à usage unique et prestations de collecte, transport et élimination des déchets de soins à risques infectieux (DASRI) du funérarium Municipal</w:t>
      <w:tab/>
    </w:r>
    <w:r>
      <w:rPr>
        <w:sz w:val="18"/>
        <w:szCs w:val="18"/>
      </w:rPr>
      <w:fldChar w:fldCharType="begin"/>
    </w:r>
    <w:r>
      <w:instrText> PAGE </w:instrText>
    </w:r>
    <w:r>
      <w:fldChar w:fldCharType="separate"/>
    </w:r>
    <w:r>
      <w:t>6</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4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SimSun" w:cs="Arial"/>
      <w:color w:val="00000A"/>
      <w:sz w:val="24"/>
      <w:szCs w:val="24"/>
      <w:lang w:val="fr-FR" w:eastAsia="zh-CN" w:bidi="hi-IN"/>
    </w:rPr>
  </w:style>
  <w:style w:type="paragraph" w:styleId="Titre1">
    <w:name w:val="Heading 1"/>
    <w:basedOn w:val="Normal"/>
    <w:qFormat/>
    <w:pPr>
      <w:widowControl w:val="false"/>
      <w:bidi w:val="0"/>
      <w:jc w:val="left"/>
      <w:outlineLvl w:val="0"/>
    </w:pPr>
    <w:rPr>
      <w:rFonts w:ascii="Trebuchet MS" w:hAnsi="Trebuchet MS" w:eastAsia="Trebuchet MS" w:cs="Trebuchet MS"/>
      <w:color w:val="808080"/>
      <w:sz w:val="36"/>
      <w:szCs w:val="36"/>
      <w:lang w:val="fr-FR" w:eastAsia="zh-CN" w:bidi="hi-IN"/>
    </w:rPr>
  </w:style>
  <w:style w:type="paragraph" w:styleId="Titre2">
    <w:name w:val="Heading 2"/>
    <w:basedOn w:val="Normal"/>
    <w:qFormat/>
    <w:pPr>
      <w:widowControl w:val="false"/>
      <w:bidi w:val="0"/>
      <w:spacing w:before="240" w:after="60"/>
      <w:jc w:val="left"/>
      <w:outlineLvl w:val="1"/>
    </w:pPr>
    <w:rPr>
      <w:rFonts w:ascii="Trebuchet MS" w:hAnsi="Trebuchet MS" w:eastAsia="Trebuchet MS" w:cs="Trebuchet MS"/>
      <w:b/>
      <w:bCs/>
      <w:i/>
      <w:iCs/>
      <w:color w:val="00000A"/>
      <w:sz w:val="28"/>
      <w:szCs w:val="28"/>
      <w:lang w:val="fr-FR" w:eastAsia="zh-CN" w:bidi="hi-IN"/>
    </w:rPr>
  </w:style>
  <w:style w:type="paragraph" w:styleId="Titre3">
    <w:name w:val="Heading 3"/>
    <w:basedOn w:val="Normal"/>
    <w:qFormat/>
    <w:pPr>
      <w:widowControl w:val="false"/>
      <w:bidi w:val="0"/>
      <w:spacing w:before="240" w:after="60"/>
      <w:jc w:val="left"/>
      <w:outlineLvl w:val="2"/>
    </w:pPr>
    <w:rPr>
      <w:rFonts w:ascii="Trebuchet MS" w:hAnsi="Trebuchet MS" w:eastAsia="Trebuchet MS" w:cs="Trebuchet MS"/>
      <w:b/>
      <w:bCs/>
      <w:color w:val="00000A"/>
      <w:sz w:val="26"/>
      <w:szCs w:val="26"/>
      <w:lang w:val="fr-FR" w:eastAsia="zh-CN" w:bidi="hi-IN"/>
    </w:rPr>
  </w:style>
  <w:style w:type="paragraph" w:styleId="Titre4">
    <w:name w:val="Heading 4"/>
    <w:basedOn w:val="Normal"/>
    <w:autoRedefine/>
    <w:qFormat/>
    <w:pPr>
      <w:widowControl w:val="false"/>
      <w:bidi w:val="0"/>
      <w:spacing w:before="283" w:after="57"/>
      <w:jc w:val="left"/>
      <w:outlineLvl w:val="3"/>
    </w:pPr>
    <w:rPr>
      <w:rFonts w:ascii="Liberation Serif" w:hAnsi="Liberation Serif" w:eastAsia="SimSun" w:cs="Arial"/>
      <w:b/>
      <w:bCs/>
      <w:i/>
      <w:iCs/>
      <w:color w:val="00000A"/>
      <w:sz w:val="24"/>
      <w:szCs w:val="24"/>
      <w:lang w:val="fr-FR" w:eastAsia="zh-CN" w:bidi="hi-IN"/>
    </w:rPr>
  </w:style>
  <w:style w:type="paragraph" w:styleId="Titre5">
    <w:name w:val="Heading 5"/>
    <w:basedOn w:val="Normal"/>
    <w:autoRedefine/>
    <w:qFormat/>
    <w:pPr>
      <w:widowControl w:val="false"/>
      <w:bidi w:val="0"/>
      <w:spacing w:before="283" w:after="57"/>
      <w:jc w:val="left"/>
      <w:outlineLvl w:val="4"/>
    </w:pPr>
    <w:rPr>
      <w:rFonts w:ascii="Liberation Serif" w:hAnsi="Liberation Serif" w:eastAsia="SimSun" w:cs="Arial"/>
      <w:b/>
      <w:bCs/>
      <w:i/>
      <w:color w:val="00000A"/>
      <w:sz w:val="22"/>
      <w:szCs w:val="24"/>
      <w:lang w:val="fr-FR" w:eastAsia="zh-CN" w:bidi="hi-IN"/>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WW8Num10z0" w:customStyle="1">
    <w:name w:val="WW8Num10z0"/>
    <w:qFormat/>
    <w:rPr>
      <w:rFonts w:ascii="Arial" w:hAnsi="Arial" w:eastAsia="Times New Roman" w:cs="Arial"/>
    </w:rPr>
  </w:style>
  <w:style w:type="character" w:styleId="Textenonproportionnel" w:customStyle="1">
    <w:name w:val="Texte non proportionnel"/>
    <w:qFormat/>
    <w:rPr>
      <w:rFonts w:ascii="Courier New" w:hAnsi="Courier New" w:eastAsia="Courier New" w:cs="Courier New"/>
    </w:rPr>
  </w:style>
  <w:style w:type="character" w:styleId="Policepardfaut1" w:customStyle="1">
    <w:name w:val="Police par défaut1"/>
    <w:qFormat/>
    <w:rPr/>
  </w:style>
  <w:style w:type="character" w:styleId="WWAbsatzStandardschriftart111111" w:customStyle="1">
    <w:name w:val="WW-Absatz-Standardschriftart111111"/>
    <w:qFormat/>
    <w:rPr/>
  </w:style>
  <w:style w:type="character" w:styleId="WWAbsatzStandardschriftart11111" w:customStyle="1">
    <w:name w:val="WW-Absatz-Standardschriftart11111"/>
    <w:qFormat/>
    <w:rPr/>
  </w:style>
  <w:style w:type="character" w:styleId="WWAbsatzStandardschriftart1111" w:customStyle="1">
    <w:name w:val="WW-Absatz-Standardschriftart1111"/>
    <w:qFormat/>
    <w:rPr/>
  </w:style>
  <w:style w:type="character" w:styleId="WWAbsatzStandardschriftart111" w:customStyle="1">
    <w:name w:val="WW-Absatz-Standardschriftart111"/>
    <w:qFormat/>
    <w:rPr/>
  </w:style>
  <w:style w:type="character" w:styleId="WWAbsatzStandardschriftart11" w:customStyle="1">
    <w:name w:val="WW-Absatz-Standardschriftart11"/>
    <w:qFormat/>
    <w:rPr/>
  </w:style>
  <w:style w:type="character" w:styleId="WWAbsatzStandardschriftart1" w:customStyle="1">
    <w:name w:val="WW-Absatz-Standardschriftart1"/>
    <w:qFormat/>
    <w:rPr/>
  </w:style>
  <w:style w:type="character" w:styleId="Policepardfaut2" w:customStyle="1">
    <w:name w:val="Police par défaut2"/>
    <w:qFormat/>
    <w:rPr/>
  </w:style>
  <w:style w:type="character" w:styleId="WW8Num6z0" w:customStyle="1">
    <w:name w:val="WW8Num6z0"/>
    <w:qFormat/>
    <w:rPr>
      <w:rFonts w:ascii="Symbol" w:hAnsi="Symbol" w:eastAsia="Symbol" w:cs="OpenSymbol"/>
    </w:rPr>
  </w:style>
  <w:style w:type="character" w:styleId="WWAbsatzStandardschriftart" w:customStyle="1">
    <w:name w:val="WW-Absatz-Standardschriftart"/>
    <w:qFormat/>
    <w:rPr/>
  </w:style>
  <w:style w:type="character" w:styleId="AbsatzStandardschriftart" w:customStyle="1">
    <w:name w:val="Absatz-Standardschriftart"/>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0" w:customStyle="1">
    <w:name w:val="WW8Num4z0"/>
    <w:qFormat/>
    <w:rPr>
      <w:rFonts w:ascii="Symbol" w:hAnsi="Symbol" w:eastAsia="Symbol" w:cs="OpenSymbol"/>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3" w:customStyle="1">
    <w:name w:val="WW8Num2z3"/>
    <w:qFormat/>
    <w:rPr>
      <w:rFonts w:ascii="Symbol" w:hAnsi="Symbol" w:eastAsia="Symbol" w:cs="Symbol"/>
    </w:rPr>
  </w:style>
  <w:style w:type="character" w:styleId="WW8Num2z2" w:customStyle="1">
    <w:name w:val="WW8Num2z2"/>
    <w:qFormat/>
    <w:rPr>
      <w:rFonts w:ascii="Wingdings" w:hAnsi="Wingdings" w:eastAsia="Wingdings" w:cs="Wingdings"/>
    </w:rPr>
  </w:style>
  <w:style w:type="character" w:styleId="WW8Num2z1" w:customStyle="1">
    <w:name w:val="WW8Num2z1"/>
    <w:qFormat/>
    <w:rPr>
      <w:rFonts w:ascii="Courier New" w:hAnsi="Courier New" w:eastAsia="Courier New" w:cs="Courier New"/>
    </w:rPr>
  </w:style>
  <w:style w:type="character" w:styleId="WW8Num2z0" w:customStyle="1">
    <w:name w:val="WW8Num2z0"/>
    <w:qFormat/>
    <w:rPr>
      <w:rFonts w:ascii="Times New Roman" w:hAnsi="Times New Roman" w:eastAsia="Times New Roman" w:cs="Times New Roman"/>
      <w:color w:val="000000"/>
      <w:shd w:fill="FFFF00" w:val="clear"/>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actresdenotedebasdepage" w:customStyle="1">
    <w:name w:val="Caractères de note de bas de page"/>
    <w:qFormat/>
    <w:rPr/>
  </w:style>
  <w:style w:type="character" w:styleId="Footnoteanchor" w:customStyle="1">
    <w:name w:val="Footnote anchor"/>
    <w:qFormat/>
    <w:rPr>
      <w:vertAlign w:val="superscript"/>
    </w:rPr>
  </w:style>
  <w:style w:type="character" w:styleId="EndnoteSymbol" w:customStyle="1">
    <w:name w:val="Endnote Symbol"/>
    <w:qFormat/>
    <w:rPr/>
  </w:style>
  <w:style w:type="character" w:styleId="Endnoteanchor" w:customStyle="1">
    <w:name w:val="Endnote anchor"/>
    <w:qFormat/>
    <w:rPr>
      <w:vertAlign w:val="superscript"/>
    </w:rPr>
  </w:style>
  <w:style w:type="character" w:styleId="Annotationreference">
    <w:name w:val="annotation reference"/>
    <w:basedOn w:val="DefaultParagraphFont"/>
    <w:qFormat/>
    <w:rPr>
      <w:sz w:val="16"/>
      <w:szCs w:val="16"/>
    </w:rPr>
  </w:style>
  <w:style w:type="character" w:styleId="CommentaireCar" w:customStyle="1">
    <w:name w:val="Commentaire Car"/>
    <w:basedOn w:val="DefaultParagraphFont"/>
    <w:qFormat/>
    <w:rPr>
      <w:rFonts w:cs="Mangal"/>
      <w:sz w:val="20"/>
      <w:szCs w:val="18"/>
    </w:rPr>
  </w:style>
  <w:style w:type="character" w:styleId="ObjetducommentaireCar" w:customStyle="1">
    <w:name w:val="Objet du commentaire Car"/>
    <w:basedOn w:val="CommentaireCar"/>
    <w:qFormat/>
    <w:rPr>
      <w:rFonts w:cs="Mangal"/>
      <w:b/>
      <w:bCs/>
      <w:sz w:val="20"/>
      <w:szCs w:val="18"/>
    </w:rPr>
  </w:style>
  <w:style w:type="character" w:styleId="TextedebullesCar" w:customStyle="1">
    <w:name w:val="Texte de bulles Car"/>
    <w:basedOn w:val="DefaultParagraphFont"/>
    <w:qFormat/>
    <w:rPr>
      <w:rFonts w:ascii="Segoe UI" w:hAnsi="Segoe UI" w:eastAsia="Segoe UI" w:cs="Mangal"/>
      <w:sz w:val="18"/>
      <w:szCs w:val="16"/>
    </w:rPr>
  </w:style>
  <w:style w:type="character" w:styleId="CorpsdetexteCar1" w:customStyle="1">
    <w:name w:val="Corps de texte Car1"/>
    <w:basedOn w:val="DefaultParagraphFont"/>
    <w:qFormat/>
    <w:rPr>
      <w:rFonts w:cs="Mangal"/>
      <w:szCs w:val="21"/>
    </w:rPr>
  </w:style>
  <w:style w:type="character" w:styleId="LienInternet">
    <w:name w:val="Lien Internet"/>
    <w:basedOn w:val="DefaultParagraphFont"/>
    <w:uiPriority w:val="99"/>
    <w:unhideWhenUsed/>
    <w:rsid w:val="00a90fa7"/>
    <w:rPr>
      <w:color w:val="0563C1" w:themeColor="hyperlink"/>
      <w:u w:val="single"/>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ListLabel46">
    <w:name w:val="ListLabel 46"/>
    <w:qFormat/>
    <w:rPr>
      <w:rFonts w:cs="Times New Roman"/>
      <w:color w:val="000000"/>
      <w:highlight w:val="yellow"/>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eastAsia="Times New Roman" w:cs="Arial"/>
    </w:rPr>
  </w:style>
  <w:style w:type="character" w:styleId="ListLabel65">
    <w:name w:val="ListLabel 65"/>
    <w:qFormat/>
    <w:rPr>
      <w:rFonts w:eastAsia="Times New Roman" w:cs="Arial"/>
    </w:rPr>
  </w:style>
  <w:style w:type="character" w:styleId="ListLabel66">
    <w:name w:val="ListLabel 66"/>
    <w:qFormat/>
    <w:rPr>
      <w:rFonts w:eastAsia="Times New Roman" w:cs="Arial"/>
    </w:rPr>
  </w:style>
  <w:style w:type="character" w:styleId="ListLabel67">
    <w:name w:val="ListLabel 67"/>
    <w:qFormat/>
    <w:rPr>
      <w:rFonts w:eastAsia="Times New Roman" w:cs="Arial"/>
    </w:rPr>
  </w:style>
  <w:style w:type="character" w:styleId="ListLabel68">
    <w:name w:val="ListLabel 68"/>
    <w:qFormat/>
    <w:rPr>
      <w:rFonts w:eastAsia="Times New Roman" w:cs="Arial"/>
    </w:rPr>
  </w:style>
  <w:style w:type="character" w:styleId="ListLabel69">
    <w:name w:val="ListLabel 69"/>
    <w:qFormat/>
    <w:rPr>
      <w:rFonts w:eastAsia="Times New Roman" w:cs="Arial"/>
    </w:rPr>
  </w:style>
  <w:style w:type="character" w:styleId="ListLabel70">
    <w:name w:val="ListLabel 70"/>
    <w:qFormat/>
    <w:rPr>
      <w:rFonts w:eastAsia="Times New Roman" w:cs="Arial"/>
    </w:rPr>
  </w:style>
  <w:style w:type="character" w:styleId="ListLabel71">
    <w:name w:val="ListLabel 71"/>
    <w:qFormat/>
    <w:rPr>
      <w:rFonts w:eastAsia="Times New Roman" w:cs="Arial"/>
    </w:rPr>
  </w:style>
  <w:style w:type="character" w:styleId="ListLabel72">
    <w:name w:val="ListLabel 72"/>
    <w:qFormat/>
    <w:rPr>
      <w:rFonts w:eastAsia="Times New Roman" w:cs="Arial"/>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ascii="Arial" w:hAnsi="Arial" w:cs="Wingdings"/>
      <w:sz w:val="20"/>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Arial" w:hAnsi="Arial" w:cs="Wingdings"/>
      <w:sz w:val="20"/>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ascii="Arial" w:hAnsi="Arial" w:cs="Wingdings"/>
      <w:sz w:val="20"/>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ascii="Arial" w:hAnsi="Arial" w:cs="Symbol"/>
      <w:sz w:val="20"/>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ascii="Arial" w:hAnsi="Arial" w:cs="Symbol"/>
      <w:sz w:val="20"/>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Arial" w:hAnsi="Arial" w:cs="Symbol"/>
      <w:sz w:val="20"/>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Arial" w:hAnsi="Arial" w:cs="Wingdings"/>
      <w:sz w:val="20"/>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ascii="Arial" w:hAnsi="Arial" w:cs="Wingdings"/>
      <w:sz w:val="20"/>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ascii="Arial" w:hAnsi="Arial" w:cs="Wingdings"/>
      <w:sz w:val="20"/>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ascii="Arial" w:hAnsi="Arial" w:cs="Wingdings"/>
      <w:sz w:val="20"/>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ascii="Arial" w:hAnsi="Arial" w:cs="Wingdings"/>
      <w:sz w:val="20"/>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ascii="Arial" w:hAnsi="Arial" w:cs="Wingdings"/>
      <w:sz w:val="20"/>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ascii="Arial" w:hAnsi="Arial" w:cs="Symbol"/>
      <w:sz w:val="20"/>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ascii="Arial" w:hAnsi="Arial" w:cs="Symbol"/>
      <w:sz w:val="20"/>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ascii="Arial" w:hAnsi="Arial" w:cs="Symbol"/>
      <w:sz w:val="20"/>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ascii="Arial" w:hAnsi="Arial" w:cs="Wingdings"/>
      <w:sz w:val="20"/>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ascii="Arial" w:hAnsi="Arial" w:cs="Wingdings"/>
      <w:sz w:val="20"/>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ascii="Arial" w:hAnsi="Arial" w:cs="Wingdings"/>
      <w:sz w:val="20"/>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ascii="Arial" w:hAnsi="Arial" w:cs="Wingdings"/>
      <w:sz w:val="20"/>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ascii="Arial" w:hAnsi="Arial" w:cs="Wingdings"/>
      <w:sz w:val="20"/>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Arial" w:hAnsi="Arial" w:cs="Wingdings"/>
      <w:sz w:val="20"/>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ascii="Arial" w:hAnsi="Arial" w:cs="Symbol"/>
      <w:sz w:val="20"/>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ascii="Arial" w:hAnsi="Arial" w:cs="Symbol"/>
      <w:sz w:val="20"/>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ascii="Arial" w:hAnsi="Arial" w:cs="Symbol"/>
      <w:sz w:val="20"/>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ascii="Arial" w:hAnsi="Arial" w:cs="Wingdings"/>
      <w:sz w:val="20"/>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ascii="Arial" w:hAnsi="Arial" w:cs="Wingdings"/>
      <w:sz w:val="20"/>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ascii="Arial" w:hAnsi="Arial" w:cs="Wingdings"/>
      <w:sz w:val="20"/>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ascii="Arial" w:hAnsi="Arial" w:cs="Wingdings"/>
      <w:sz w:val="20"/>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ascii="Arial" w:hAnsi="Arial" w:cs="Wingdings"/>
      <w:sz w:val="20"/>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ascii="Arial" w:hAnsi="Arial" w:cs="Wingdings"/>
      <w:sz w:val="20"/>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ascii="Arial" w:hAnsi="Arial" w:cs="Symbol"/>
      <w:sz w:val="20"/>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ascii="Arial" w:hAnsi="Arial" w:cs="Symbol"/>
      <w:sz w:val="20"/>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ascii="Arial" w:hAnsi="Arial" w:cs="Symbol"/>
      <w:sz w:val="20"/>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ascii="Arial" w:hAnsi="Arial" w:cs="Wingdings"/>
      <w:sz w:val="20"/>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ascii="Arial" w:hAnsi="Arial" w:cs="Wingdings"/>
      <w:sz w:val="20"/>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ascii="Arial" w:hAnsi="Arial" w:cs="Wingdings"/>
      <w:sz w:val="20"/>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w:hAnsi="Arial" w:cs="Wingdings"/>
      <w:sz w:val="20"/>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ascii="Arial" w:hAnsi="Arial" w:cs="Wingdings"/>
      <w:sz w:val="20"/>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Symbol"/>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Symbol"/>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ascii="Arial" w:hAnsi="Arial" w:cs="Wingdings"/>
      <w:sz w:val="20"/>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cs="Symbol"/>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ascii="Arial" w:hAnsi="Arial" w:cs="Symbol"/>
      <w:sz w:val="20"/>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ascii="Arial" w:hAnsi="Arial" w:cs="Symbol"/>
      <w:sz w:val="20"/>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ascii="Arial" w:hAnsi="Arial" w:cs="Symbol"/>
      <w:sz w:val="20"/>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ascii="Arial" w:hAnsi="Arial" w:cs="Wingdings"/>
      <w:sz w:val="20"/>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ascii="Arial" w:hAnsi="Arial" w:cs="Wingdings"/>
      <w:sz w:val="20"/>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cs="Symbol"/>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cs="Symbol"/>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ascii="Arial" w:hAnsi="Arial" w:cs="Wingdings"/>
      <w:sz w:val="20"/>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rFonts w:cs="Symbol"/>
    </w:rPr>
  </w:style>
  <w:style w:type="character" w:styleId="ListLabel503">
    <w:name w:val="ListLabel 503"/>
    <w:qFormat/>
    <w:rPr>
      <w:rFonts w:cs="Courier New"/>
    </w:rPr>
  </w:style>
  <w:style w:type="character" w:styleId="ListLabel504">
    <w:name w:val="ListLabel 504"/>
    <w:qFormat/>
    <w:rPr>
      <w:rFonts w:cs="Wingdings"/>
    </w:rPr>
  </w:style>
  <w:style w:type="paragraph" w:styleId="Titre" w:customStyle="1">
    <w:name w:val="Titre"/>
    <w:basedOn w:val="Normal"/>
    <w:next w:val="Corpsdetexte"/>
    <w:qFormat/>
    <w:pPr>
      <w:widowControl w:val="false"/>
      <w:bidi w:val="0"/>
      <w:jc w:val="left"/>
    </w:pPr>
    <w:rPr>
      <w:rFonts w:ascii="Liberation Serif" w:hAnsi="Liberation Serif" w:eastAsia="SimSun" w:cs="Arial"/>
      <w:color w:val="00000A"/>
      <w:sz w:val="24"/>
      <w:szCs w:val="24"/>
      <w:lang w:val="fr-FR" w:eastAsia="zh-CN" w:bidi="hi-IN"/>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Liberation Serif" w:hAnsi="Liberation Serif" w:eastAsia="SimSun" w:cs="Tahoma"/>
      <w:color w:val="00000A"/>
      <w:sz w:val="24"/>
      <w:szCs w:val="24"/>
      <w:lang w:val="fr-FR" w:eastAsia="zh-CN" w:bidi="hi-I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1"/>
      <w:szCs w:val="24"/>
      <w:lang w:val="fr-FR" w:eastAsia="zh-CN" w:bidi="hi-IN"/>
    </w:rPr>
  </w:style>
  <w:style w:type="paragraph" w:styleId="Standard" w:customStyle="1">
    <w:name w:val="Standard"/>
    <w:autoRedefine/>
    <w:qFormat/>
    <w:rsid w:val="007a418a"/>
    <w:pPr>
      <w:keepNext w:val="true"/>
      <w:keepLines/>
      <w:widowControl/>
      <w:suppressAutoHyphens w:val="true"/>
      <w:bidi w:val="0"/>
      <w:jc w:val="both"/>
      <w:textAlignment w:val="center"/>
    </w:pPr>
    <w:rPr>
      <w:rFonts w:ascii="Arial" w:hAnsi="Arial" w:eastAsia="Arial" w:cs="Arial"/>
      <w:b w:val="false"/>
      <w:bCs w:val="false"/>
      <w:color w:val="00000A"/>
      <w:sz w:val="24"/>
      <w:szCs w:val="24"/>
      <w:lang w:val="fr-FR" w:eastAsia="zh-CN" w:bidi="hi-IN"/>
    </w:rPr>
  </w:style>
  <w:style w:type="paragraph" w:styleId="Textbody" w:customStyle="1">
    <w:name w:val="Text body"/>
    <w:basedOn w:val="Normal"/>
    <w:qFormat/>
    <w:pPr>
      <w:spacing w:before="0" w:after="120"/>
    </w:pPr>
    <w:rPr>
      <w:rFonts w:cs="Mangal"/>
      <w:szCs w:val="21"/>
    </w:rPr>
  </w:style>
  <w:style w:type="paragraph" w:styleId="Caption">
    <w:name w:val="caption"/>
    <w:basedOn w:val="Standard"/>
    <w:qFormat/>
    <w:pPr>
      <w:suppressLineNumbers/>
      <w:spacing w:before="120" w:after="120"/>
    </w:pPr>
    <w:rPr>
      <w:rFonts w:ascii="Trebuchet MS" w:hAnsi="Trebuchet MS" w:eastAsia="Trebuchet MS" w:cs="Tahoma"/>
      <w:i/>
      <w:iCs/>
    </w:rPr>
  </w:style>
  <w:style w:type="paragraph" w:styleId="Contenudetableau" w:customStyle="1">
    <w:name w:val="Contenu de tableau"/>
    <w:basedOn w:val="Standard"/>
    <w:qFormat/>
    <w:pPr>
      <w:suppressLineNumbers/>
    </w:pPr>
    <w:rPr>
      <w:rFonts w:ascii="Trebuchet MS" w:hAnsi="Trebuchet MS" w:eastAsia="Trebuchet MS" w:cs="Trebuchet MS"/>
      <w:sz w:val="21"/>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sz w:val="21"/>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sz w:val="21"/>
    </w:rPr>
  </w:style>
  <w:style w:type="paragraph" w:styleId="Indexheading">
    <w:name w:val="index heading"/>
    <w:basedOn w:val="Titre"/>
    <w:qFormat/>
    <w:pPr>
      <w:suppressLineNumbers/>
    </w:pPr>
    <w:rPr>
      <w:b/>
      <w:bCs/>
      <w:sz w:val="32"/>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rPr>
  </w:style>
  <w:style w:type="paragraph" w:styleId="NumeroConsultation" w:customStyle="1">
    <w:name w:val="NumeroConsultation"/>
    <w:basedOn w:val="Standard"/>
    <w:qFormat/>
    <w:pPr>
      <w:tabs>
        <w:tab w:val="left" w:pos="3600" w:leader="none"/>
      </w:tabs>
      <w:ind w:left="3600" w:hanging="3600"/>
      <w:jc w:val="center"/>
    </w:pPr>
    <w:rPr>
      <w:b/>
      <w:color w:val="000000"/>
    </w:rPr>
  </w:style>
  <w:style w:type="paragraph" w:styleId="Procedure" w:customStyle="1">
    <w:name w:val="Procedure"/>
    <w:basedOn w:val="Standard"/>
    <w:qFormat/>
    <w:pPr>
      <w:tabs>
        <w:tab w:val="left" w:pos="3600" w:leader="none"/>
      </w:tabs>
      <w:ind w:left="3600" w:hanging="3600"/>
      <w:jc w:val="center"/>
    </w:pPr>
    <w:rPr>
      <w:b/>
      <w:color w:val="000000"/>
    </w:rPr>
  </w:style>
  <w:style w:type="paragraph" w:styleId="DateLimite" w:customStyle="1">
    <w:name w:val="DateLimite"/>
    <w:basedOn w:val="Standard"/>
    <w:qFormat/>
    <w:pPr>
      <w:tabs>
        <w:tab w:val="left" w:pos="3600" w:leader="none"/>
      </w:tabs>
      <w:ind w:left="3600" w:hanging="3600"/>
      <w:jc w:val="center"/>
    </w:pPr>
    <w:rPr>
      <w:b/>
      <w:color w:val="00000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Normal"/>
    <w:qFormat/>
    <w:pPr>
      <w:widowControl w:val="false"/>
      <w:bidi w:val="0"/>
      <w:jc w:val="left"/>
    </w:pPr>
    <w:rPr>
      <w:rFonts w:ascii="Liberation Serif" w:hAnsi="Liberation Serif" w:eastAsia="SimSun" w:cs="Tahoma"/>
      <w:i w:val="false"/>
      <w:color w:val="00000A"/>
      <w:sz w:val="21"/>
      <w:szCs w:val="24"/>
      <w:lang w:val="fr-FR" w:eastAsia="fr-FR" w:bidi="ar-SA"/>
    </w:rPr>
  </w:style>
  <w:style w:type="paragraph" w:styleId="LONormal" w:customStyle="1">
    <w:name w:val="LO-Normal"/>
    <w:qFormat/>
    <w:pPr>
      <w:widowControl/>
      <w:suppressAutoHyphens w:val="true"/>
      <w:bidi w:val="0"/>
      <w:spacing w:lineRule="atLeast" w:line="100"/>
      <w:jc w:val="left"/>
    </w:pPr>
    <w:rPr>
      <w:rFonts w:ascii="Times New Roman" w:hAnsi="Times New Roman" w:eastAsia="Arial Unicode MS" w:cs="Times New Roman"/>
      <w:color w:val="00000A"/>
      <w:sz w:val="24"/>
      <w:szCs w:val="24"/>
      <w:lang w:val="fr-FR" w:eastAsia="zh-CN" w:bidi="hi-IN"/>
    </w:rPr>
  </w:style>
  <w:style w:type="paragraph" w:styleId="Soustitre">
    <w:name w:val="Subtitle"/>
    <w:basedOn w:val="Titre"/>
    <w:qFormat/>
    <w:pPr/>
    <w:rPr/>
  </w:style>
  <w:style w:type="paragraph" w:styleId="Quotations" w:customStyle="1">
    <w:name w:val="Quotations"/>
    <w:basedOn w:val="Standard"/>
    <w:qFormat/>
    <w:pPr/>
    <w:rPr/>
  </w:style>
  <w:style w:type="paragraph" w:styleId="Default" w:customStyle="1">
    <w:name w:val="Default"/>
    <w:qFormat/>
    <w:pPr>
      <w:widowControl/>
      <w:suppressAutoHyphens w:val="true"/>
      <w:bidi w:val="0"/>
      <w:jc w:val="left"/>
    </w:pPr>
    <w:rPr>
      <w:rFonts w:ascii="Times New Roman" w:hAnsi="Times New Roman" w:eastAsia="Times New Roman" w:cs="Times New Roman"/>
      <w:color w:val="000000"/>
      <w:sz w:val="24"/>
      <w:szCs w:val="24"/>
      <w:lang w:val="fr-FR" w:eastAsia="zh-CN" w:bidi="hi-IN"/>
    </w:rPr>
  </w:style>
  <w:style w:type="paragraph" w:styleId="Style11" w:customStyle="1">
    <w:name w:val="Style1"/>
    <w:basedOn w:val="Standard"/>
    <w:qFormat/>
    <w:pPr/>
    <w:rPr/>
  </w:style>
  <w:style w:type="paragraph" w:styleId="BodyText3">
    <w:name w:val="Body Text 3"/>
    <w:basedOn w:val="Standard"/>
    <w:qFormat/>
    <w:pPr/>
    <w:rPr>
      <w:i/>
      <w:iCs/>
      <w:u w:val="single"/>
    </w:rPr>
  </w:style>
  <w:style w:type="paragraph" w:styleId="NormalWeb">
    <w:name w:val="Normal (Web)"/>
    <w:basedOn w:val="Standard"/>
    <w:qFormat/>
    <w:pPr>
      <w:spacing w:before="280" w:after="119"/>
    </w:pPr>
    <w:rPr>
      <w:rFonts w:ascii="Arial Unicode MS" w:hAnsi="Arial Unicode MS" w:eastAsia="Arial Unicode MS" w:cs="Arial Unicode MS"/>
    </w:rPr>
  </w:style>
  <w:style w:type="paragraph" w:styleId="BodyTextIndent2">
    <w:name w:val="Body Text Indent 2"/>
    <w:basedOn w:val="Standard"/>
    <w:qFormat/>
    <w:pPr>
      <w:ind w:firstLine="12"/>
    </w:pPr>
    <w:rPr/>
  </w:style>
  <w:style w:type="paragraph" w:styleId="BodyText2">
    <w:name w:val="Body Text 2"/>
    <w:basedOn w:val="Standard"/>
    <w:qFormat/>
    <w:pPr/>
    <w:rPr/>
  </w:style>
  <w:style w:type="paragraph" w:styleId="Western" w:customStyle="1">
    <w:name w:val="western"/>
    <w:basedOn w:val="Standard"/>
    <w:qFormat/>
    <w:pPr>
      <w:spacing w:before="0" w:after="119"/>
    </w:pPr>
    <w:rPr>
      <w:rFonts w:eastAsia="Times New Roman"/>
    </w:rPr>
  </w:style>
  <w:style w:type="paragraph" w:styleId="Corpsdutexte" w:customStyle="1">
    <w:name w:val="Corps du texte"/>
    <w:basedOn w:val="Standard"/>
    <w:qFormat/>
    <w:pPr>
      <w:shd w:val="clear" w:color="auto" w:fill="FFFFFF"/>
      <w:spacing w:lineRule="exact" w:line="274"/>
      <w:ind w:hanging="380"/>
      <w:jc w:val="right"/>
    </w:pPr>
    <w:rPr>
      <w:rFonts w:ascii="Times New Roman" w:hAnsi="Times New Roman" w:eastAsia="Times New Roman" w:cs="Times New Roman"/>
      <w:sz w:val="22"/>
      <w:szCs w:val="22"/>
    </w:rPr>
  </w:style>
  <w:style w:type="paragraph" w:styleId="Retraitcorpsdetexte21" w:customStyle="1">
    <w:name w:val="Retrait corps de texte 21"/>
    <w:basedOn w:val="Standard"/>
    <w:qFormat/>
    <w:pPr>
      <w:ind w:left="705" w:hanging="0"/>
    </w:pPr>
    <w:rPr/>
  </w:style>
  <w:style w:type="paragraph" w:styleId="Textbodyindent" w:customStyle="1">
    <w:name w:val="Text body indent"/>
    <w:basedOn w:val="Standard"/>
    <w:qFormat/>
    <w:pPr>
      <w:ind w:left="705" w:hanging="0"/>
    </w:pPr>
    <w:rPr>
      <w:u w:val="single"/>
    </w:rPr>
  </w:style>
  <w:style w:type="paragraph" w:styleId="Corpsdetexte21" w:customStyle="1">
    <w:name w:val="Corps de texte 21"/>
    <w:basedOn w:val="Standard"/>
    <w:qFormat/>
    <w:pPr>
      <w:jc w:val="center"/>
    </w:pPr>
    <w:rPr>
      <w:b/>
      <w:bCs/>
      <w:sz w:val="28"/>
    </w:rPr>
  </w:style>
  <w:style w:type="paragraph" w:styleId="Lgende1" w:customStyle="1">
    <w:name w:val="Légende1"/>
    <w:basedOn w:val="Standard"/>
    <w:qFormat/>
    <w:pPr>
      <w:suppressLineNumbers/>
      <w:spacing w:before="120" w:after="120"/>
    </w:pPr>
    <w:rPr>
      <w:rFonts w:cs="Arial Unicode MS"/>
      <w:i/>
      <w:iCs/>
    </w:rPr>
  </w:style>
  <w:style w:type="paragraph" w:styleId="Lgende2" w:customStyle="1">
    <w:name w:val="Légende2"/>
    <w:basedOn w:val="Standard"/>
    <w:qFormat/>
    <w:pPr>
      <w:suppressLineNumbers/>
      <w:spacing w:before="120" w:after="120"/>
    </w:pPr>
    <w:rPr>
      <w:rFonts w:cs="Arial Unicode MS"/>
      <w:i/>
      <w:iCs/>
    </w:rPr>
  </w:style>
  <w:style w:type="paragraph" w:styleId="Titre21" w:customStyle="1">
    <w:name w:val="Titre2"/>
    <w:basedOn w:val="Standard"/>
    <w:qFormat/>
    <w:pPr>
      <w:spacing w:before="240" w:after="120"/>
    </w:pPr>
    <w:rPr>
      <w:rFonts w:eastAsia="SimSun, 宋体" w:cs="Arial Unicode MS"/>
      <w:sz w:val="28"/>
      <w:szCs w:val="28"/>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eastAsia="Segoe UI" w:cs="Mangal"/>
      <w:sz w:val="18"/>
      <w:szCs w:val="16"/>
    </w:rPr>
  </w:style>
  <w:style w:type="paragraph" w:styleId="Tabledesmatiresniveau1">
    <w:name w:val="TOC 1"/>
    <w:basedOn w:val="Normal"/>
    <w:next w:val="Normal"/>
    <w:autoRedefine/>
    <w:uiPriority w:val="39"/>
    <w:pPr>
      <w:tabs>
        <w:tab w:val="right" w:pos="8290" w:leader="dot"/>
      </w:tabs>
      <w:spacing w:before="0" w:after="100"/>
    </w:pPr>
    <w:rPr>
      <w:rFonts w:ascii="Arial" w:hAnsi="Arial" w:eastAsia="Arial"/>
      <w:sz w:val="20"/>
      <w:szCs w:val="20"/>
    </w:rPr>
  </w:style>
  <w:style w:type="paragraph" w:styleId="Tabledesmatiresniveau2">
    <w:name w:val="TOC 2"/>
    <w:basedOn w:val="Normal"/>
    <w:next w:val="Normal"/>
    <w:autoRedefine/>
    <w:uiPriority w:val="39"/>
    <w:pPr>
      <w:tabs>
        <w:tab w:val="right" w:pos="8290" w:leader="dot"/>
      </w:tabs>
      <w:spacing w:before="0" w:after="100"/>
      <w:ind w:left="240" w:hanging="0"/>
    </w:pPr>
    <w:rPr>
      <w:rFonts w:ascii="Arial" w:hAnsi="Arial" w:eastAsia="Arial"/>
      <w:sz w:val="20"/>
      <w:szCs w:val="20"/>
    </w:rPr>
  </w:style>
  <w:style w:type="paragraph" w:styleId="Tabledesmatiresniveau3">
    <w:name w:val="TOC 3"/>
    <w:basedOn w:val="Normal"/>
    <w:next w:val="Normal"/>
    <w:autoRedefine/>
    <w:uiPriority w:val="39"/>
    <w:pPr>
      <w:tabs>
        <w:tab w:val="right" w:pos="8290" w:leader="dot"/>
      </w:tabs>
      <w:spacing w:before="0" w:after="100"/>
      <w:ind w:left="480" w:hanging="0"/>
    </w:pPr>
    <w:rPr>
      <w:rFonts w:ascii="Arial" w:hAnsi="Arial" w:eastAsia="Arial"/>
      <w:sz w:val="20"/>
      <w:szCs w:val="20"/>
    </w:rPr>
  </w:style>
  <w:style w:type="paragraph" w:styleId="ListParagraph">
    <w:name w:val="List Paragraph"/>
    <w:basedOn w:val="Normal"/>
    <w:qFormat/>
    <w:pPr>
      <w:ind w:left="720" w:hanging="0"/>
    </w:pPr>
    <w:rPr>
      <w:rFonts w:cs="Mangal"/>
      <w:szCs w:val="21"/>
    </w:rPr>
  </w:style>
  <w:style w:type="numbering" w:styleId="NoList" w:default="1">
    <w:name w:val="No List"/>
    <w:uiPriority w:val="99"/>
    <w:semiHidden/>
    <w:unhideWhenUsed/>
    <w:qFormat/>
  </w:style>
  <w:style w:type="numbering" w:styleId="WWOutlineListStyle17" w:customStyle="1">
    <w:name w:val="WW_OutlineListStyle_17"/>
    <w:qFormat/>
  </w:style>
  <w:style w:type="numbering" w:styleId="WWOutlineListStyle16" w:customStyle="1">
    <w:name w:val="WW_OutlineListStyle_16"/>
    <w:qFormat/>
  </w:style>
  <w:style w:type="numbering" w:styleId="WWOutlineListStyle15" w:customStyle="1">
    <w:name w:val="WW_OutlineListStyle_1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14" w:customStyle="1">
    <w:name w:val="WW_OutlineListStyle_14"/>
    <w:qFormat/>
  </w:style>
  <w:style w:type="numbering" w:styleId="WWOutlineListStyle13" w:customStyle="1">
    <w:name w:val="WW_OutlineListStyle_13"/>
    <w:qFormat/>
  </w:style>
  <w:style w:type="numbering" w:styleId="WWOutlineListStyle12" w:customStyle="1">
    <w:name w:val="WW_OutlineListStyle_12"/>
    <w:qFormat/>
  </w:style>
  <w:style w:type="numbering" w:styleId="WWOutlineListStyle11" w:customStyle="1">
    <w:name w:val="WW_OutlineListStyle_11"/>
    <w:qFormat/>
  </w:style>
  <w:style w:type="numbering" w:styleId="WWOutlineListStyle10" w:customStyle="1">
    <w:name w:val="WW_OutlineListStyle_10"/>
    <w:qFormat/>
  </w:style>
  <w:style w:type="numbering" w:styleId="WWOutlineListStyle9" w:customStyle="1">
    <w:name w:val="WW_OutlineListStyle_9"/>
    <w:qFormat/>
  </w:style>
  <w:style w:type="numbering" w:styleId="WWOutlineListStyle8" w:customStyle="1">
    <w:name w:val="WW_OutlineListStyle_8"/>
    <w:qFormat/>
  </w:style>
  <w:style w:type="numbering" w:styleId="WWOutlineListStyle7" w:customStyle="1">
    <w:name w:val="WW_OutlineListStyle_7"/>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6" w:customStyle="1">
    <w:name w:val="WW_OutlineListStyle_6"/>
    <w:qFormat/>
  </w:style>
  <w:style w:type="numbering" w:styleId="WWOutlineListStyle5" w:customStyle="1">
    <w:name w:val="WW_OutlineListStyle_5"/>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10" w:customStyle="1">
    <w:name w:val="WW8Num10"/>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DA1E2-4AA5-448B-AC8A-B7D33A3E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Application>LibreOffice/5.3.6.1$Windows_x86 LibreOffice_project/686f202eff87ef707079aeb7f485847613344eb7</Application>
  <Pages>6</Pages>
  <Words>1292</Words>
  <Characters>7035</Characters>
  <CharactersWithSpaces>8236</CharactersWithSpaces>
  <Paragraphs>114</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2020-05-14T09:08:00Z</dcterms:created>
  <dc:creator>LAURIER Marie-Anne</dc:creator>
  <dc:description/>
  <dc:language>fr-FR</dc:language>
  <cp:lastModifiedBy/>
  <cp:lastPrinted>2020-06-09T10:05:38Z</cp:lastPrinted>
  <dcterms:modified xsi:type="dcterms:W3CDTF">2020-06-22T15:05:59Z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