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DIN-Bold" w:hAnsi="DIN-Bold" w:cs="DIN-Bold" w:eastAsia="DIN-Bold"/>
          <w:b/>
          <w:color w:val="auto"/>
          <w:spacing w:val="0"/>
          <w:position w:val="0"/>
          <w:sz w:val="17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Bold" w:hAnsi="DIN-Bold" w:cs="DIN-Bold" w:eastAsia="DIN-Bold"/>
          <w:b/>
          <w:color w:val="auto"/>
          <w:spacing w:val="0"/>
          <w:position w:val="0"/>
          <w:sz w:val="17"/>
          <w:shd w:fill="auto" w:val="clear"/>
        </w:rPr>
        <w:tab/>
      </w:r>
      <w:r>
        <w:rPr>
          <w:rFonts w:ascii="DIN-Bold" w:hAnsi="DIN-Bold" w:cs="DIN-Bold" w:eastAsia="DIN-Bold"/>
          <w:b/>
          <w:color w:val="auto"/>
          <w:spacing w:val="0"/>
          <w:position w:val="0"/>
          <w:sz w:val="36"/>
          <w:shd w:fill="auto" w:val="clear"/>
        </w:rPr>
        <w:t xml:space="preserve">Fiche technique : détecteur de métaux fixe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DIN-Bold" w:hAnsi="DIN-Bold" w:cs="DIN-Bold" w:eastAsia="DIN-Bold"/>
          <w:b/>
          <w:color w:val="auto"/>
          <w:spacing w:val="0"/>
          <w:position w:val="0"/>
          <w:sz w:val="17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DIN-Bold" w:hAnsi="DIN-Bold" w:cs="DIN-Bold" w:eastAsia="DIN-Bold"/>
          <w:b/>
          <w:color w:val="auto"/>
          <w:spacing w:val="0"/>
          <w:position w:val="0"/>
          <w:sz w:val="17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DIN-Bold" w:hAnsi="DIN-Bold" w:cs="DIN-Bold" w:eastAsia="DIN-Bold"/>
          <w:b/>
          <w:color w:val="auto"/>
          <w:spacing w:val="0"/>
          <w:position w:val="0"/>
          <w:sz w:val="17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Bold" w:hAnsi="DIN-Bold" w:cs="DIN-Bold" w:eastAsia="DIN-Bold"/>
          <w:b/>
          <w:color w:val="auto"/>
          <w:spacing w:val="0"/>
          <w:position w:val="0"/>
          <w:sz w:val="24"/>
          <w:shd w:fill="auto" w:val="clear"/>
        </w:rPr>
        <w:t xml:space="preserve">Le détecteur de métaux doit comprendre les caractéristiques techniques suivantes 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DIN-Bold" w:hAnsi="DIN-Bold" w:cs="DIN-Bold" w:eastAsia="DIN-Bold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DIN-Bold" w:hAnsi="DIN-Bold" w:cs="DIN-Bold" w:eastAsia="DIN-Bold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DIN-Bold" w:hAnsi="DIN-Bold" w:cs="DIN-Bold" w:eastAsia="DIN-Bold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De 6 à 18 zones avec afficheurs lumineux gauche et droite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Sensibilité maximale, détection d’une masse métallique de quelques grammes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Détection dynamique des objets dangereux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Immunité aux interférences environnantes,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Ecran de contrôle intégré et accès protégé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Calibration et étalonnage automatique au démarrage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Conforme aux standards de détection pour détecteurs de métaux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Détection de passage par faisceau infrarouge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Compteur de passages et compteur d’alarmes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7 scénarios de détection conformes aux standards internationaux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Alarme visuelle et localisation par rampes LED visibles à 180° sur les 2 montants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Alarmes sonores 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Esthétique et couleur permettant l’intégration dans le site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Maintenance annuelle souhaitable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Montants latéraux lavables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Traitement contre la poussière, la corrosion et l’humidité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Mise en route rapide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Flux de passage de 60 personnes à la minute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Contrôle des fonctions par écran LCD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Lecture rapide des informations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 Alimentation : 220 V, 30 W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Dimensions de passage : 200 x 70 cm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Conforme à toutes les normes internationales EMC EN60950,</w:t>
      </w:r>
    </w:p>
    <w:p>
      <w:pPr>
        <w:widowControl w:val="false"/>
        <w:spacing w:before="0" w:after="0" w:line="240"/>
        <w:ind w:right="0" w:left="62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EN50081-1, EN50082-1, GB15210-2003 et CE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Conforme aux normes applicables pour les détecteurs de métaux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Conforme aux normes en matière d’exposition humaine aux champs</w:t>
      </w:r>
    </w:p>
    <w:p>
      <w:pPr>
        <w:widowControl w:val="false"/>
        <w:spacing w:before="0" w:after="0" w:line="240"/>
        <w:ind w:right="0" w:left="737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électromagnétiques et aux consignes de sécurité pour porteurs de stimulateurs cardiaques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Conforme aux normes CE en matière de sécurité électrique</w:t>
      </w:r>
    </w:p>
    <w:p>
      <w:pPr>
        <w:widowControl w:val="false"/>
        <w:spacing w:before="0" w:after="0" w:line="240"/>
        <w:ind w:right="0" w:left="737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et compatibilité électromagnétique</w:t>
      </w:r>
    </w:p>
    <w:p>
      <w:pPr>
        <w:widowControl w:val="false"/>
        <w:spacing w:before="0" w:after="0" w:line="240"/>
        <w:ind w:right="0" w:left="454" w:firstLine="113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DIN-Regular" w:hAnsi="DIN-Regular" w:cs="DIN-Regular" w:eastAsia="DIN-Regular"/>
          <w:color w:val="auto"/>
          <w:spacing w:val="0"/>
          <w:position w:val="0"/>
          <w:sz w:val="24"/>
          <w:shd w:fill="auto" w:val="clear"/>
        </w:rPr>
        <w:t xml:space="preserve">• Sans effet sur les supports magnétiques et cartes à puce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